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March 13, 2018.</w:t>
      </w:r>
    </w:p>
    <w:p>
      <w:pPr>
        <w:spacing w:after="0" w:line="44" w:lineRule="exact"/>
        <w:rPr>
          <w:sz w:val="24"/>
          <w:szCs w:val="24"/>
          <w:color w:val="auto"/>
        </w:rPr>
      </w:pPr>
    </w:p>
    <w:p>
      <w:pPr>
        <w:jc w:val="right"/>
        <w:ind w:right="20"/>
        <w:spacing w:after="0"/>
        <w:rPr>
          <w:sz w:val="20"/>
          <w:szCs w:val="20"/>
          <w:color w:val="auto"/>
        </w:rPr>
      </w:pPr>
      <w:r>
        <w:rPr>
          <w:rFonts w:ascii="Arial" w:cs="Arial" w:eastAsia="Arial" w:hAnsi="Arial"/>
          <w:sz w:val="15"/>
          <w:szCs w:val="15"/>
          <w:b w:val="1"/>
          <w:bCs w:val="1"/>
          <w:color w:val="auto"/>
        </w:rPr>
        <w:t>Registration No. 333-223072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98425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Amendment No. 2</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ZSCALER,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88265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172"/>
        </w:trPr>
        <w:tc>
          <w:tcPr>
            <w:tcW w:w="2820" w:type="dxa"/>
            <w:vAlign w:val="bottom"/>
          </w:tcPr>
          <w:p>
            <w:pPr>
              <w:jc w:val="center"/>
              <w:ind w:right="887"/>
              <w:spacing w:after="0"/>
              <w:rPr>
                <w:sz w:val="20"/>
                <w:szCs w:val="20"/>
                <w:color w:val="auto"/>
              </w:rPr>
            </w:pPr>
            <w:r>
              <w:rPr>
                <w:rFonts w:ascii="Arial" w:cs="Arial" w:eastAsia="Arial" w:hAnsi="Arial"/>
                <w:sz w:val="15"/>
                <w:szCs w:val="15"/>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5"/>
                <w:szCs w:val="15"/>
                <w:b w:val="1"/>
                <w:bCs w:val="1"/>
                <w:color w:val="auto"/>
                <w:w w:val="89"/>
              </w:rPr>
              <w:t>7371</w:t>
            </w:r>
          </w:p>
        </w:tc>
        <w:tc>
          <w:tcPr>
            <w:tcW w:w="2440" w:type="dxa"/>
            <w:vAlign w:val="bottom"/>
          </w:tcPr>
          <w:p>
            <w:pPr>
              <w:jc w:val="center"/>
              <w:ind w:left="927"/>
              <w:spacing w:after="0"/>
              <w:rPr>
                <w:sz w:val="20"/>
                <w:szCs w:val="20"/>
                <w:color w:val="auto"/>
              </w:rPr>
            </w:pPr>
            <w:r>
              <w:rPr>
                <w:rFonts w:ascii="Arial" w:cs="Arial" w:eastAsia="Arial" w:hAnsi="Arial"/>
                <w:sz w:val="15"/>
                <w:szCs w:val="15"/>
                <w:b w:val="1"/>
                <w:bCs w:val="1"/>
                <w:color w:val="auto"/>
                <w:w w:val="89"/>
              </w:rPr>
              <w:t>26-1173892</w:t>
            </w:r>
          </w:p>
        </w:tc>
      </w:tr>
      <w:tr>
        <w:trPr>
          <w:trHeight w:val="149"/>
        </w:trPr>
        <w:tc>
          <w:tcPr>
            <w:tcW w:w="2820" w:type="dxa"/>
            <w:vAlign w:val="bottom"/>
          </w:tcPr>
          <w:p>
            <w:pPr>
              <w:jc w:val="center"/>
              <w:ind w:right="8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7"/>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7"/>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110 Rose Orchard Way</w:t>
      </w:r>
    </w:p>
    <w:p>
      <w:pPr>
        <w:jc w:val="center"/>
        <w:ind w:right="-179"/>
        <w:spacing w:after="0" w:line="233" w:lineRule="auto"/>
        <w:rPr>
          <w:sz w:val="20"/>
          <w:szCs w:val="20"/>
          <w:color w:val="auto"/>
        </w:rPr>
      </w:pPr>
      <w:r>
        <w:rPr>
          <w:rFonts w:ascii="Arial" w:cs="Arial" w:eastAsia="Arial" w:hAnsi="Arial"/>
          <w:sz w:val="15"/>
          <w:szCs w:val="15"/>
          <w:b w:val="1"/>
          <w:bCs w:val="1"/>
          <w:color w:val="auto"/>
        </w:rPr>
        <w:t>San Jose, California 95134</w:t>
      </w:r>
    </w:p>
    <w:p>
      <w:pPr>
        <w:jc w:val="center"/>
        <w:ind w:right="-179"/>
        <w:spacing w:after="0" w:line="218" w:lineRule="auto"/>
        <w:rPr>
          <w:sz w:val="20"/>
          <w:szCs w:val="20"/>
          <w:color w:val="auto"/>
        </w:rPr>
      </w:pPr>
      <w:r>
        <w:rPr>
          <w:rFonts w:ascii="Arial" w:cs="Arial" w:eastAsia="Arial" w:hAnsi="Arial"/>
          <w:sz w:val="15"/>
          <w:szCs w:val="15"/>
          <w:b w:val="1"/>
          <w:bCs w:val="1"/>
          <w:color w:val="auto"/>
        </w:rPr>
        <w:t>(408) 533-0288</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Jagtar S. Chaudhry</w:t>
      </w:r>
    </w:p>
    <w:p>
      <w:pPr>
        <w:jc w:val="center"/>
        <w:ind w:right="-179"/>
        <w:spacing w:after="0" w:line="233" w:lineRule="auto"/>
        <w:rPr>
          <w:sz w:val="20"/>
          <w:szCs w:val="20"/>
          <w:color w:val="auto"/>
        </w:rPr>
      </w:pPr>
      <w:r>
        <w:rPr>
          <w:rFonts w:ascii="Arial" w:cs="Arial" w:eastAsia="Arial" w:hAnsi="Arial"/>
          <w:sz w:val="15"/>
          <w:szCs w:val="15"/>
          <w:b w:val="1"/>
          <w:bCs w:val="1"/>
          <w:color w:val="auto"/>
        </w:rPr>
        <w:t>President, Chief Executive Officer and Chairman</w:t>
      </w:r>
    </w:p>
    <w:p>
      <w:pPr>
        <w:jc w:val="center"/>
        <w:ind w:right="-179"/>
        <w:spacing w:after="0" w:line="225" w:lineRule="auto"/>
        <w:rPr>
          <w:sz w:val="20"/>
          <w:szCs w:val="20"/>
          <w:color w:val="auto"/>
        </w:rPr>
      </w:pPr>
      <w:r>
        <w:rPr>
          <w:rFonts w:ascii="Arial" w:cs="Arial" w:eastAsia="Arial" w:hAnsi="Arial"/>
          <w:sz w:val="15"/>
          <w:szCs w:val="15"/>
          <w:b w:val="1"/>
          <w:bCs w:val="1"/>
          <w:color w:val="auto"/>
        </w:rPr>
        <w:t>Zscaler, Inc.</w:t>
      </w:r>
    </w:p>
    <w:p>
      <w:pPr>
        <w:jc w:val="center"/>
        <w:ind w:right="-179"/>
        <w:spacing w:after="0" w:line="226" w:lineRule="auto"/>
        <w:rPr>
          <w:sz w:val="20"/>
          <w:szCs w:val="20"/>
          <w:color w:val="auto"/>
        </w:rPr>
      </w:pPr>
      <w:r>
        <w:rPr>
          <w:rFonts w:ascii="Arial" w:cs="Arial" w:eastAsia="Arial" w:hAnsi="Arial"/>
          <w:sz w:val="15"/>
          <w:szCs w:val="15"/>
          <w:b w:val="1"/>
          <w:bCs w:val="1"/>
          <w:color w:val="auto"/>
        </w:rPr>
        <w:t>110 Rose Orchard Way</w:t>
      </w:r>
    </w:p>
    <w:p>
      <w:pPr>
        <w:jc w:val="center"/>
        <w:ind w:right="-179"/>
        <w:spacing w:after="0" w:line="225" w:lineRule="auto"/>
        <w:rPr>
          <w:sz w:val="20"/>
          <w:szCs w:val="20"/>
          <w:color w:val="auto"/>
        </w:rPr>
      </w:pPr>
      <w:r>
        <w:rPr>
          <w:rFonts w:ascii="Arial" w:cs="Arial" w:eastAsia="Arial" w:hAnsi="Arial"/>
          <w:sz w:val="15"/>
          <w:szCs w:val="15"/>
          <w:b w:val="1"/>
          <w:bCs w:val="1"/>
          <w:color w:val="auto"/>
        </w:rPr>
        <w:t>San Jose, California 95134</w:t>
      </w:r>
    </w:p>
    <w:p>
      <w:pPr>
        <w:jc w:val="center"/>
        <w:ind w:right="-179"/>
        <w:spacing w:after="0" w:line="218" w:lineRule="auto"/>
        <w:rPr>
          <w:sz w:val="20"/>
          <w:szCs w:val="20"/>
          <w:color w:val="auto"/>
        </w:rPr>
      </w:pPr>
      <w:r>
        <w:rPr>
          <w:rFonts w:ascii="Arial" w:cs="Arial" w:eastAsia="Arial" w:hAnsi="Arial"/>
          <w:sz w:val="15"/>
          <w:szCs w:val="15"/>
          <w:b w:val="1"/>
          <w:bCs w:val="1"/>
          <w:color w:val="auto"/>
        </w:rPr>
        <w:t>(408) 533-0288</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7" w:lineRule="exact"/>
        <w:rPr>
          <w:sz w:val="24"/>
          <w:szCs w:val="24"/>
          <w:color w:val="auto"/>
        </w:rPr>
      </w:pPr>
    </w:p>
    <w:p>
      <w:pPr>
        <w:jc w:val="center"/>
        <w:ind w:right="-179"/>
        <w:spacing w:after="0"/>
        <w:rPr>
          <w:sz w:val="20"/>
          <w:szCs w:val="20"/>
          <w:color w:val="auto"/>
        </w:rPr>
      </w:pPr>
      <w:r>
        <w:rPr>
          <w:rFonts w:ascii="Arial" w:cs="Arial" w:eastAsia="Arial" w:hAnsi="Arial"/>
          <w:sz w:val="16"/>
          <w:szCs w:val="16"/>
          <w:i w:val="1"/>
          <w:iCs w:val="1"/>
          <w:color w:val="auto"/>
        </w:rPr>
        <w:t>Copies to:</w:t>
      </w:r>
    </w:p>
    <w:p>
      <w:pPr>
        <w:spacing w:after="0" w:line="1" w:lineRule="exact"/>
        <w:rPr>
          <w:sz w:val="24"/>
          <w:szCs w:val="24"/>
          <w:color w:val="auto"/>
        </w:rPr>
      </w:pPr>
    </w:p>
    <w:tbl>
      <w:tblPr>
        <w:tblLayout w:type="fixed"/>
        <w:tblInd w:w="940" w:type="dxa"/>
        <w:tblCellMar>
          <w:top w:w="0" w:type="dxa"/>
          <w:left w:w="0" w:type="dxa"/>
          <w:bottom w:w="0" w:type="dxa"/>
          <w:right w:w="0" w:type="dxa"/>
        </w:tblCellMar>
      </w:tblPr>
      <w:tr>
        <w:trPr>
          <w:trHeight w:val="172"/>
        </w:trPr>
        <w:tc>
          <w:tcPr>
            <w:tcW w:w="3220" w:type="dxa"/>
            <w:vAlign w:val="bottom"/>
          </w:tcPr>
          <w:p>
            <w:pPr>
              <w:jc w:val="center"/>
              <w:ind w:right="543"/>
              <w:spacing w:after="0"/>
              <w:rPr>
                <w:sz w:val="20"/>
                <w:szCs w:val="20"/>
                <w:color w:val="auto"/>
              </w:rPr>
            </w:pPr>
            <w:r>
              <w:rPr>
                <w:rFonts w:ascii="Arial" w:cs="Arial" w:eastAsia="Arial" w:hAnsi="Arial"/>
                <w:sz w:val="15"/>
                <w:szCs w:val="15"/>
                <w:b w:val="1"/>
                <w:bCs w:val="1"/>
                <w:color w:val="auto"/>
                <w:w w:val="92"/>
              </w:rPr>
              <w:t>Raj S. Judge, Esq.</w:t>
            </w:r>
          </w:p>
        </w:tc>
        <w:tc>
          <w:tcPr>
            <w:tcW w:w="3160" w:type="dxa"/>
            <w:vAlign w:val="bottom"/>
          </w:tcPr>
          <w:p>
            <w:pPr>
              <w:jc w:val="center"/>
              <w:ind w:right="63"/>
              <w:spacing w:after="0"/>
              <w:rPr>
                <w:sz w:val="20"/>
                <w:szCs w:val="20"/>
                <w:color w:val="auto"/>
              </w:rPr>
            </w:pPr>
            <w:r>
              <w:rPr>
                <w:rFonts w:ascii="Arial" w:cs="Arial" w:eastAsia="Arial" w:hAnsi="Arial"/>
                <w:sz w:val="15"/>
                <w:szCs w:val="15"/>
                <w:b w:val="1"/>
                <w:bCs w:val="1"/>
                <w:color w:val="auto"/>
                <w:w w:val="89"/>
              </w:rPr>
              <w:t>Robert Schlossman, Esq.</w:t>
            </w:r>
          </w:p>
        </w:tc>
        <w:tc>
          <w:tcPr>
            <w:tcW w:w="2840" w:type="dxa"/>
            <w:vAlign w:val="bottom"/>
          </w:tcPr>
          <w:p>
            <w:pPr>
              <w:jc w:val="center"/>
              <w:ind w:left="703"/>
              <w:spacing w:after="0"/>
              <w:rPr>
                <w:sz w:val="20"/>
                <w:szCs w:val="20"/>
                <w:color w:val="auto"/>
              </w:rPr>
            </w:pPr>
            <w:r>
              <w:rPr>
                <w:rFonts w:ascii="Arial" w:cs="Arial" w:eastAsia="Arial" w:hAnsi="Arial"/>
                <w:sz w:val="15"/>
                <w:szCs w:val="15"/>
                <w:b w:val="1"/>
                <w:bCs w:val="1"/>
                <w:color w:val="auto"/>
                <w:w w:val="92"/>
              </w:rPr>
              <w:t>Andrew S. Williamson, Esq.</w:t>
            </w:r>
          </w:p>
        </w:tc>
      </w:tr>
      <w:tr>
        <w:trPr>
          <w:trHeight w:val="162"/>
        </w:trPr>
        <w:tc>
          <w:tcPr>
            <w:tcW w:w="3220" w:type="dxa"/>
            <w:vAlign w:val="bottom"/>
          </w:tcPr>
          <w:p>
            <w:pPr>
              <w:jc w:val="center"/>
              <w:ind w:right="523"/>
              <w:spacing w:after="0" w:line="162" w:lineRule="exact"/>
              <w:rPr>
                <w:sz w:val="20"/>
                <w:szCs w:val="20"/>
                <w:color w:val="auto"/>
              </w:rPr>
            </w:pPr>
            <w:r>
              <w:rPr>
                <w:rFonts w:ascii="Arial" w:cs="Arial" w:eastAsia="Arial" w:hAnsi="Arial"/>
                <w:sz w:val="15"/>
                <w:szCs w:val="15"/>
                <w:b w:val="1"/>
                <w:bCs w:val="1"/>
                <w:color w:val="auto"/>
                <w:w w:val="94"/>
              </w:rPr>
              <w:t>Mark B. Baudler, Esq.</w:t>
            </w:r>
          </w:p>
        </w:tc>
        <w:tc>
          <w:tcPr>
            <w:tcW w:w="3160" w:type="dxa"/>
            <w:vAlign w:val="bottom"/>
          </w:tcPr>
          <w:p>
            <w:pPr>
              <w:jc w:val="center"/>
              <w:ind w:right="63"/>
              <w:spacing w:after="0" w:line="162" w:lineRule="exact"/>
              <w:rPr>
                <w:sz w:val="20"/>
                <w:szCs w:val="20"/>
                <w:color w:val="auto"/>
              </w:rPr>
            </w:pPr>
            <w:r>
              <w:rPr>
                <w:rFonts w:ascii="Arial" w:cs="Arial" w:eastAsia="Arial" w:hAnsi="Arial"/>
                <w:sz w:val="15"/>
                <w:szCs w:val="15"/>
                <w:b w:val="1"/>
                <w:bCs w:val="1"/>
                <w:color w:val="auto"/>
                <w:w w:val="94"/>
              </w:rPr>
              <w:t>Chief Legal Officer</w:t>
            </w:r>
          </w:p>
        </w:tc>
        <w:tc>
          <w:tcPr>
            <w:tcW w:w="284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3"/>
              </w:rPr>
              <w:t>Charles S. Kim, Esq.</w:t>
            </w:r>
          </w:p>
        </w:tc>
      </w:tr>
      <w:tr>
        <w:trPr>
          <w:trHeight w:val="162"/>
        </w:trPr>
        <w:tc>
          <w:tcPr>
            <w:tcW w:w="3220" w:type="dxa"/>
            <w:vAlign w:val="bottom"/>
          </w:tcPr>
          <w:p>
            <w:pPr>
              <w:jc w:val="center"/>
              <w:ind w:right="543"/>
              <w:spacing w:after="0" w:line="162" w:lineRule="exact"/>
              <w:rPr>
                <w:sz w:val="20"/>
                <w:szCs w:val="20"/>
                <w:color w:val="auto"/>
              </w:rPr>
            </w:pPr>
            <w:r>
              <w:rPr>
                <w:rFonts w:ascii="Arial" w:cs="Arial" w:eastAsia="Arial" w:hAnsi="Arial"/>
                <w:sz w:val="15"/>
                <w:szCs w:val="15"/>
                <w:b w:val="1"/>
                <w:bCs w:val="1"/>
                <w:color w:val="auto"/>
                <w:w w:val="95"/>
              </w:rPr>
              <w:t>Lianna C. Whittleton, Esq.</w:t>
            </w:r>
          </w:p>
        </w:tc>
        <w:tc>
          <w:tcPr>
            <w:tcW w:w="3160" w:type="dxa"/>
            <w:vAlign w:val="bottom"/>
          </w:tcPr>
          <w:p>
            <w:pPr>
              <w:jc w:val="center"/>
              <w:ind w:right="83"/>
              <w:spacing w:after="0" w:line="162" w:lineRule="exact"/>
              <w:rPr>
                <w:sz w:val="20"/>
                <w:szCs w:val="20"/>
                <w:color w:val="auto"/>
              </w:rPr>
            </w:pPr>
            <w:r>
              <w:rPr>
                <w:rFonts w:ascii="Arial" w:cs="Arial" w:eastAsia="Arial" w:hAnsi="Arial"/>
                <w:sz w:val="15"/>
                <w:szCs w:val="15"/>
                <w:b w:val="1"/>
                <w:bCs w:val="1"/>
                <w:color w:val="auto"/>
                <w:w w:val="92"/>
              </w:rPr>
              <w:t>Zscaler, Inc.</w:t>
            </w:r>
          </w:p>
        </w:tc>
        <w:tc>
          <w:tcPr>
            <w:tcW w:w="2840" w:type="dxa"/>
            <w:vAlign w:val="bottom"/>
          </w:tcPr>
          <w:p>
            <w:pPr>
              <w:jc w:val="center"/>
              <w:ind w:left="703"/>
              <w:spacing w:after="0" w:line="162" w:lineRule="exact"/>
              <w:rPr>
                <w:sz w:val="20"/>
                <w:szCs w:val="20"/>
                <w:color w:val="auto"/>
              </w:rPr>
            </w:pPr>
            <w:r>
              <w:rPr>
                <w:rFonts w:ascii="Arial" w:cs="Arial" w:eastAsia="Arial" w:hAnsi="Arial"/>
                <w:sz w:val="15"/>
                <w:szCs w:val="15"/>
                <w:b w:val="1"/>
                <w:bCs w:val="1"/>
                <w:color w:val="auto"/>
                <w:w w:val="91"/>
              </w:rPr>
              <w:t>Dave Peinsipp</w:t>
            </w:r>
          </w:p>
        </w:tc>
      </w:tr>
      <w:tr>
        <w:trPr>
          <w:trHeight w:val="162"/>
        </w:trPr>
        <w:tc>
          <w:tcPr>
            <w:tcW w:w="3220" w:type="dxa"/>
            <w:vAlign w:val="bottom"/>
          </w:tcPr>
          <w:p>
            <w:pPr>
              <w:jc w:val="center"/>
              <w:ind w:right="543"/>
              <w:spacing w:after="0" w:line="162" w:lineRule="exact"/>
              <w:rPr>
                <w:sz w:val="20"/>
                <w:szCs w:val="20"/>
                <w:color w:val="auto"/>
              </w:rPr>
            </w:pPr>
            <w:r>
              <w:rPr>
                <w:rFonts w:ascii="Arial" w:cs="Arial" w:eastAsia="Arial" w:hAnsi="Arial"/>
                <w:sz w:val="15"/>
                <w:szCs w:val="15"/>
                <w:b w:val="1"/>
                <w:bCs w:val="1"/>
                <w:color w:val="auto"/>
                <w:w w:val="92"/>
              </w:rPr>
              <w:t>Wilson Sonsini Goodrich &amp; Rosati, P.C.</w:t>
            </w:r>
          </w:p>
        </w:tc>
        <w:tc>
          <w:tcPr>
            <w:tcW w:w="3160" w:type="dxa"/>
            <w:vAlign w:val="bottom"/>
          </w:tcPr>
          <w:p>
            <w:pPr>
              <w:jc w:val="center"/>
              <w:ind w:right="83"/>
              <w:spacing w:after="0" w:line="162" w:lineRule="exact"/>
              <w:rPr>
                <w:sz w:val="20"/>
                <w:szCs w:val="20"/>
                <w:color w:val="auto"/>
              </w:rPr>
            </w:pPr>
            <w:r>
              <w:rPr>
                <w:rFonts w:ascii="Arial" w:cs="Arial" w:eastAsia="Arial" w:hAnsi="Arial"/>
                <w:sz w:val="15"/>
                <w:szCs w:val="15"/>
                <w:b w:val="1"/>
                <w:bCs w:val="1"/>
                <w:color w:val="auto"/>
                <w:w w:val="92"/>
              </w:rPr>
              <w:t>110 Rose Orchard Way</w:t>
            </w:r>
          </w:p>
        </w:tc>
        <w:tc>
          <w:tcPr>
            <w:tcW w:w="2840" w:type="dxa"/>
            <w:vAlign w:val="bottom"/>
          </w:tcPr>
          <w:p>
            <w:pPr>
              <w:jc w:val="center"/>
              <w:ind w:left="703"/>
              <w:spacing w:after="0" w:line="162" w:lineRule="exact"/>
              <w:rPr>
                <w:sz w:val="20"/>
                <w:szCs w:val="20"/>
                <w:color w:val="auto"/>
              </w:rPr>
            </w:pPr>
            <w:r>
              <w:rPr>
                <w:rFonts w:ascii="Arial" w:cs="Arial" w:eastAsia="Arial" w:hAnsi="Arial"/>
                <w:sz w:val="15"/>
                <w:szCs w:val="15"/>
                <w:b w:val="1"/>
                <w:bCs w:val="1"/>
                <w:color w:val="auto"/>
                <w:w w:val="94"/>
              </w:rPr>
              <w:t>Cooley LLP</w:t>
            </w:r>
          </w:p>
        </w:tc>
      </w:tr>
      <w:tr>
        <w:trPr>
          <w:trHeight w:val="162"/>
        </w:trPr>
        <w:tc>
          <w:tcPr>
            <w:tcW w:w="3220" w:type="dxa"/>
            <w:vAlign w:val="bottom"/>
          </w:tcPr>
          <w:p>
            <w:pPr>
              <w:jc w:val="center"/>
              <w:ind w:right="543"/>
              <w:spacing w:after="0" w:line="162" w:lineRule="exact"/>
              <w:rPr>
                <w:sz w:val="20"/>
                <w:szCs w:val="20"/>
                <w:color w:val="auto"/>
              </w:rPr>
            </w:pPr>
            <w:r>
              <w:rPr>
                <w:rFonts w:ascii="Arial" w:cs="Arial" w:eastAsia="Arial" w:hAnsi="Arial"/>
                <w:sz w:val="15"/>
                <w:szCs w:val="15"/>
                <w:b w:val="1"/>
                <w:bCs w:val="1"/>
                <w:color w:val="auto"/>
                <w:w w:val="94"/>
              </w:rPr>
              <w:t>650 Page Mill Road</w:t>
            </w:r>
          </w:p>
        </w:tc>
        <w:tc>
          <w:tcPr>
            <w:tcW w:w="3160" w:type="dxa"/>
            <w:vAlign w:val="bottom"/>
          </w:tcPr>
          <w:p>
            <w:pPr>
              <w:jc w:val="center"/>
              <w:ind w:right="63"/>
              <w:spacing w:after="0" w:line="162" w:lineRule="exact"/>
              <w:rPr>
                <w:sz w:val="20"/>
                <w:szCs w:val="20"/>
                <w:color w:val="auto"/>
              </w:rPr>
            </w:pPr>
            <w:r>
              <w:rPr>
                <w:rFonts w:ascii="Arial" w:cs="Arial" w:eastAsia="Arial" w:hAnsi="Arial"/>
                <w:sz w:val="15"/>
                <w:szCs w:val="15"/>
                <w:b w:val="1"/>
                <w:bCs w:val="1"/>
                <w:color w:val="auto"/>
                <w:w w:val="91"/>
              </w:rPr>
              <w:t>San Jose, California 95134</w:t>
            </w:r>
          </w:p>
        </w:tc>
        <w:tc>
          <w:tcPr>
            <w:tcW w:w="2840" w:type="dxa"/>
            <w:vAlign w:val="bottom"/>
          </w:tcPr>
          <w:p>
            <w:pPr>
              <w:jc w:val="center"/>
              <w:ind w:left="703"/>
              <w:spacing w:after="0" w:line="162" w:lineRule="exact"/>
              <w:rPr>
                <w:sz w:val="20"/>
                <w:szCs w:val="20"/>
                <w:color w:val="auto"/>
              </w:rPr>
            </w:pPr>
            <w:r>
              <w:rPr>
                <w:rFonts w:ascii="Arial" w:cs="Arial" w:eastAsia="Arial" w:hAnsi="Arial"/>
                <w:sz w:val="15"/>
                <w:szCs w:val="15"/>
                <w:b w:val="1"/>
                <w:bCs w:val="1"/>
                <w:color w:val="auto"/>
                <w:w w:val="94"/>
              </w:rPr>
              <w:t>101 California Street, 5th Floor</w:t>
            </w:r>
          </w:p>
        </w:tc>
      </w:tr>
      <w:tr>
        <w:trPr>
          <w:trHeight w:val="162"/>
        </w:trPr>
        <w:tc>
          <w:tcPr>
            <w:tcW w:w="3220" w:type="dxa"/>
            <w:vAlign w:val="bottom"/>
          </w:tcPr>
          <w:p>
            <w:pPr>
              <w:jc w:val="center"/>
              <w:ind w:right="543"/>
              <w:spacing w:after="0" w:line="162" w:lineRule="exact"/>
              <w:rPr>
                <w:sz w:val="20"/>
                <w:szCs w:val="20"/>
                <w:color w:val="auto"/>
              </w:rPr>
            </w:pPr>
            <w:r>
              <w:rPr>
                <w:rFonts w:ascii="Arial" w:cs="Arial" w:eastAsia="Arial" w:hAnsi="Arial"/>
                <w:sz w:val="15"/>
                <w:szCs w:val="15"/>
                <w:b w:val="1"/>
                <w:bCs w:val="1"/>
                <w:color w:val="auto"/>
                <w:w w:val="93"/>
              </w:rPr>
              <w:t>Palo Alto, California 94304</w:t>
            </w:r>
          </w:p>
        </w:tc>
        <w:tc>
          <w:tcPr>
            <w:tcW w:w="3160" w:type="dxa"/>
            <w:vAlign w:val="bottom"/>
          </w:tcPr>
          <w:p>
            <w:pPr>
              <w:jc w:val="center"/>
              <w:ind w:right="83"/>
              <w:spacing w:after="0" w:line="162" w:lineRule="exact"/>
              <w:rPr>
                <w:sz w:val="20"/>
                <w:szCs w:val="20"/>
                <w:color w:val="auto"/>
              </w:rPr>
            </w:pPr>
            <w:r>
              <w:rPr>
                <w:rFonts w:ascii="Arial" w:cs="Arial" w:eastAsia="Arial" w:hAnsi="Arial"/>
                <w:sz w:val="15"/>
                <w:szCs w:val="15"/>
                <w:b w:val="1"/>
                <w:bCs w:val="1"/>
                <w:color w:val="auto"/>
                <w:w w:val="93"/>
              </w:rPr>
              <w:t>(408) 533-0288</w:t>
            </w:r>
          </w:p>
        </w:tc>
        <w:tc>
          <w:tcPr>
            <w:tcW w:w="2840" w:type="dxa"/>
            <w:vAlign w:val="bottom"/>
          </w:tcPr>
          <w:p>
            <w:pPr>
              <w:jc w:val="center"/>
              <w:ind w:left="703"/>
              <w:spacing w:after="0" w:line="162" w:lineRule="exact"/>
              <w:rPr>
                <w:sz w:val="20"/>
                <w:szCs w:val="20"/>
                <w:color w:val="auto"/>
              </w:rPr>
            </w:pPr>
            <w:r>
              <w:rPr>
                <w:rFonts w:ascii="Arial" w:cs="Arial" w:eastAsia="Arial" w:hAnsi="Arial"/>
                <w:sz w:val="15"/>
                <w:szCs w:val="15"/>
                <w:b w:val="1"/>
                <w:bCs w:val="1"/>
                <w:color w:val="auto"/>
                <w:w w:val="91"/>
              </w:rPr>
              <w:t>San Francisco, California 94111</w:t>
            </w:r>
          </w:p>
        </w:tc>
      </w:tr>
      <w:tr>
        <w:trPr>
          <w:trHeight w:val="198"/>
        </w:trPr>
        <w:tc>
          <w:tcPr>
            <w:tcW w:w="3220" w:type="dxa"/>
            <w:vAlign w:val="bottom"/>
          </w:tcPr>
          <w:p>
            <w:pPr>
              <w:jc w:val="center"/>
              <w:ind w:right="543"/>
              <w:spacing w:after="0"/>
              <w:rPr>
                <w:sz w:val="20"/>
                <w:szCs w:val="20"/>
                <w:color w:val="auto"/>
              </w:rPr>
            </w:pPr>
            <w:r>
              <w:rPr>
                <w:rFonts w:ascii="Arial" w:cs="Arial" w:eastAsia="Arial" w:hAnsi="Arial"/>
                <w:sz w:val="15"/>
                <w:szCs w:val="15"/>
                <w:b w:val="1"/>
                <w:bCs w:val="1"/>
                <w:color w:val="auto"/>
                <w:w w:val="93"/>
              </w:rPr>
              <w:t>(650) 493-9300</w:t>
            </w:r>
          </w:p>
        </w:tc>
        <w:tc>
          <w:tcPr>
            <w:tcW w:w="3160" w:type="dxa"/>
            <w:vAlign w:val="bottom"/>
          </w:tcPr>
          <w:p>
            <w:pPr>
              <w:spacing w:after="0"/>
              <w:rPr>
                <w:sz w:val="17"/>
                <w:szCs w:val="17"/>
                <w:color w:val="auto"/>
              </w:rPr>
            </w:pPr>
          </w:p>
        </w:tc>
        <w:tc>
          <w:tcPr>
            <w:tcW w:w="2840" w:type="dxa"/>
            <w:vAlign w:val="bottom"/>
          </w:tcPr>
          <w:p>
            <w:pPr>
              <w:jc w:val="center"/>
              <w:ind w:left="703"/>
              <w:spacing w:after="0"/>
              <w:rPr>
                <w:sz w:val="20"/>
                <w:szCs w:val="20"/>
                <w:color w:val="auto"/>
              </w:rPr>
            </w:pPr>
            <w:r>
              <w:rPr>
                <w:rFonts w:ascii="Arial" w:cs="Arial" w:eastAsia="Arial" w:hAnsi="Arial"/>
                <w:sz w:val="15"/>
                <w:szCs w:val="15"/>
                <w:b w:val="1"/>
                <w:bCs w:val="1"/>
                <w:color w:val="auto"/>
                <w:w w:val="91"/>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25"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left="200" w:right="20" w:firstLine="33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0" w:firstLine="331"/>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240" w:top="230" w:right="419" w:bottom="966" w:gutter="0" w:footer="0" w:header="0"/>
        </w:sectPr>
      </w:pPr>
    </w:p>
    <w:p>
      <w:pPr>
        <w:ind w:left="5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7780" w:space="720"/>
            <w:col w:w="2740"/>
          </w:cols>
          <w:pgMar w:left="240" w:top="230" w:right="419" w:bottom="966" w:gutter="0" w:footer="0" w:header="0"/>
          <w:type w:val="continuous"/>
        </w:sectPr>
      </w:pPr>
    </w:p>
    <w:p>
      <w:pPr>
        <w:ind w:left="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3">
            <w:col w:w="1920" w:space="80"/>
            <w:col w:w="5780" w:space="720"/>
            <w:col w:w="2740"/>
          </w:cols>
          <w:pgMar w:left="240" w:top="230" w:right="419" w:bottom="966" w:gutter="0" w:footer="0" w:header="0"/>
          <w:type w:val="continuous"/>
        </w:sectPr>
      </w:pPr>
    </w:p>
    <w:p>
      <w:pPr>
        <w:ind w:left="85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240" w:top="230" w:right="419" w:bottom="966" w:gutter="0" w:footer="0" w:header="0"/>
          <w:type w:val="continuous"/>
        </w:sectPr>
      </w:pPr>
    </w:p>
    <w:p>
      <w:pPr>
        <w:spacing w:after="0" w:line="80"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CALCULATION OF REGISTRATION FEE</w:t>
      </w:r>
    </w:p>
    <w:p>
      <w:pPr>
        <w:spacing w:after="0" w:line="54"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tcBorders>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16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4"/>
              </w:rPr>
              <w:t>13,800,000</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$15.00</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$207,000,000</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$25,772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316"/>
        <w:spacing w:after="0" w:line="23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457(a) under the Securities Act.</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1,800,000 additional shares that the underwriters have the option to purchase solely to cover over-allotments, if any.</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$17,181 of the registration fee with the previous filings of this registration statement.</w:t>
      </w:r>
    </w:p>
    <w:p>
      <w:pPr>
        <w:spacing w:after="0" w:line="12" w:lineRule="exact"/>
        <w:rPr>
          <w:sz w:val="24"/>
          <w:szCs w:val="24"/>
          <w:color w:val="auto"/>
        </w:rPr>
      </w:pPr>
    </w:p>
    <w:p>
      <w:pPr>
        <w:jc w:val="both"/>
        <w:ind w:left="200" w:right="20" w:firstLine="331"/>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96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0" w:lineRule="exact"/>
        <w:rPr>
          <w:sz w:val="20"/>
          <w:szCs w:val="20"/>
          <w:color w:val="auto"/>
        </w:rPr>
      </w:pPr>
    </w:p>
    <w:p>
      <w:pPr>
        <w:jc w:val="both"/>
        <w:ind w:left="200"/>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PRELIMINARY 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Issued March 13, 2018</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173355</wp:posOffset>
            </wp:positionV>
            <wp:extent cx="168084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8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Zscaler, Inc. is offering 12,000,000 shares of its common stock. This is our initial public offering, and no public market currently exists for our shares. We anticipate that the initial public offering price will be between $13.00 and $15.00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been approved to list our common stock on The Nasdaq Global Select Market under the symbol “ZS”.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b w:val="1"/>
          <w:bCs w:val="1"/>
          <w:i w:val="1"/>
          <w:iCs w:val="1"/>
          <w:color w:val="auto"/>
        </w:rPr>
        <w:t>Upon completion of this offering, our executive officers, directors, current 5% or greater stockholders and affiliated entities will together beneficially own approximately 61.8% of our common stock outstanding after this offering (or 60.9% if the underwriters exercise their over-allotment option in full), with Jay Chaudhry, our president, chief executive officer and chairman of our board of directors and affiliates of Mr. Chaudhry beneficially owning approximately 22.9% of our common stock (or 22.5% if the underwriters exercise their over-allotment option in full), as described in the section titled “Risk Factors—Risks Related to the Offering and Ownership of Our Common Stock—The concentration of our stock ownership with insiders will likely limit your ability to influence corporate matters, including the ability to influence the outcome of director elections and other matters requiring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207645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both"/>
        <w:ind w:left="200"/>
        <w:spacing w:after="0" w:line="277" w:lineRule="auto"/>
        <w:rPr>
          <w:rFonts w:ascii="Arial" w:cs="Arial" w:eastAsia="Arial" w:hAnsi="Arial"/>
          <w:sz w:val="18"/>
          <w:szCs w:val="18"/>
          <w:b w:val="1"/>
          <w:bCs w:val="1"/>
          <w:i w:val="1"/>
          <w:iCs w:val="1"/>
          <w:color w:val="0000EE"/>
        </w:rPr>
      </w:pPr>
      <w:hyperlink w:anchor="page22">
        <w:r>
          <w:rPr>
            <w:rFonts w:ascii="Arial" w:cs="Arial" w:eastAsia="Arial" w:hAnsi="Arial"/>
            <w:sz w:val="18"/>
            <w:szCs w:val="18"/>
            <w:b w:val="1"/>
            <w:bCs w:val="1"/>
            <w:i w:val="1"/>
            <w:iCs w:val="1"/>
            <w:color w:val="auto"/>
          </w:rPr>
          <w:t>We are an “emerging growth company” as defined under the federal securities laws. Investing in our common stock involves risks. See “</w:t>
        </w:r>
        <w:r>
          <w:rPr>
            <w:rFonts w:ascii="Arial" w:cs="Arial" w:eastAsia="Arial" w:hAnsi="Arial"/>
            <w:sz w:val="18"/>
            <w:szCs w:val="18"/>
            <w:b w:val="1"/>
            <w:bCs w:val="1"/>
            <w:i w:val="1"/>
            <w:iCs w:val="1"/>
            <w:u w:val="single" w:color="auto"/>
            <w:color w:val="0000EE"/>
          </w:rPr>
          <w:t>Risk</w:t>
        </w:r>
      </w:hyperlink>
      <w:r>
        <w:rPr>
          <w:rFonts w:ascii="Arial" w:cs="Arial" w:eastAsia="Arial" w:hAnsi="Arial"/>
          <w:sz w:val="18"/>
          <w:szCs w:val="18"/>
          <w:b w:val="1"/>
          <w:bCs w:val="1"/>
          <w:i w:val="1"/>
          <w:iCs w:val="1"/>
          <w:color w:val="auto"/>
        </w:rPr>
        <w:t xml:space="preserve"> </w:t>
      </w:r>
      <w:hyperlink w:anchor="page22">
        <w:r>
          <w:rPr>
            <w:rFonts w:ascii="Arial" w:cs="Arial" w:eastAsia="Arial" w:hAnsi="Arial"/>
            <w:sz w:val="18"/>
            <w:szCs w:val="18"/>
            <w:b w:val="1"/>
            <w:bCs w:val="1"/>
            <w:i w:val="1"/>
            <w:iCs w:val="1"/>
            <w:u w:val="single" w:color="auto"/>
            <w:color w:val="0000EE"/>
          </w:rPr>
          <w:t>Factors</w:t>
        </w:r>
        <w:r>
          <w:rPr>
            <w:rFonts w:ascii="Arial" w:cs="Arial" w:eastAsia="Arial" w:hAnsi="Arial"/>
            <w:sz w:val="18"/>
            <w:szCs w:val="18"/>
            <w:b w:val="1"/>
            <w:bCs w:val="1"/>
            <w:i w:val="1"/>
            <w:iCs w:val="1"/>
            <w:color w:val="000000"/>
          </w:rPr>
          <w:t>” beginning on page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120" w:type="dxa"/>
            <w:vAlign w:val="bottom"/>
          </w:tcPr>
          <w:p>
            <w:pPr>
              <w:ind w:left="280"/>
              <w:spacing w:after="0"/>
              <w:rPr>
                <w:sz w:val="20"/>
                <w:szCs w:val="20"/>
                <w:color w:val="auto"/>
              </w:rPr>
            </w:pPr>
            <w:r>
              <w:rPr>
                <w:rFonts w:ascii="Arial" w:cs="Arial" w:eastAsia="Arial" w:hAnsi="Arial"/>
                <w:sz w:val="18"/>
                <w:szCs w:val="18"/>
                <w:i w:val="1"/>
                <w:iCs w:val="1"/>
                <w:color w:val="auto"/>
              </w:rPr>
              <w:t>PRICE $</w:t>
            </w:r>
          </w:p>
        </w:tc>
        <w:tc>
          <w:tcPr>
            <w:tcW w:w="2300" w:type="dxa"/>
            <w:vAlign w:val="bottom"/>
            <w:gridSpan w:val="4"/>
          </w:tcPr>
          <w:p>
            <w:pPr>
              <w:ind w:left="200"/>
              <w:spacing w:after="0"/>
              <w:rPr>
                <w:sz w:val="20"/>
                <w:szCs w:val="20"/>
                <w:color w:val="auto"/>
              </w:rPr>
            </w:pPr>
            <w:r>
              <w:rPr>
                <w:rFonts w:ascii="Arial" w:cs="Arial" w:eastAsia="Arial" w:hAnsi="Arial"/>
                <w:sz w:val="18"/>
                <w:szCs w:val="18"/>
                <w:i w:val="1"/>
                <w:iCs w:val="1"/>
                <w:color w:val="auto"/>
              </w:rPr>
              <w:t>A SHARE</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Underwriting</w:t>
            </w:r>
          </w:p>
        </w:tc>
        <w:tc>
          <w:tcPr>
            <w:tcW w:w="1220" w:type="dxa"/>
            <w:vAlign w:val="bottom"/>
            <w:gridSpan w:val="5"/>
            <w:vMerge w:val="restart"/>
          </w:tcPr>
          <w:p>
            <w:pPr>
              <w:ind w:left="520"/>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412"/>
        </w:trPr>
        <w:tc>
          <w:tcPr>
            <w:tcW w:w="4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vMerge w:val="continue"/>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00" w:type="dxa"/>
            <w:vAlign w:val="bottom"/>
            <w:gridSpan w:val="4"/>
            <w:vMerge w:val="restart"/>
          </w:tcPr>
          <w:p>
            <w:pPr>
              <w:ind w:left="980"/>
              <w:spacing w:after="0"/>
              <w:rPr>
                <w:sz w:val="20"/>
                <w:szCs w:val="20"/>
                <w:color w:val="auto"/>
              </w:rPr>
            </w:pPr>
            <w:r>
              <w:rPr>
                <w:rFonts w:ascii="Arial" w:cs="Arial" w:eastAsia="Arial" w:hAnsi="Arial"/>
                <w:sz w:val="14"/>
                <w:szCs w:val="14"/>
                <w:b w:val="1"/>
                <w:bCs w:val="1"/>
                <w:i w:val="1"/>
                <w:iCs w:val="1"/>
                <w:color w:val="auto"/>
              </w:rPr>
              <w:t>Price to Public</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i w:val="1"/>
                <w:iCs w:val="1"/>
                <w:color w:val="auto"/>
                <w:w w:val="80"/>
              </w:rPr>
              <w:t>Discounts 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230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spacing w:after="0" w:line="129" w:lineRule="exact"/>
              <w:rPr>
                <w:sz w:val="20"/>
                <w:szCs w:val="20"/>
                <w:color w:val="auto"/>
              </w:rPr>
            </w:pPr>
            <w:r>
              <w:rPr>
                <w:rFonts w:ascii="Arial" w:cs="Arial" w:eastAsia="Arial" w:hAnsi="Arial"/>
                <w:sz w:val="14"/>
                <w:szCs w:val="14"/>
                <w:b w:val="1"/>
                <w:bCs w:val="1"/>
                <w:i w:val="1"/>
                <w:iCs w:val="1"/>
                <w:color w:val="auto"/>
                <w:w w:val="83"/>
              </w:rPr>
              <w:t>Commission</w:t>
            </w:r>
            <w:r>
              <w:rPr>
                <w:rFonts w:ascii="Arial" w:cs="Arial" w:eastAsia="Arial" w:hAnsi="Arial"/>
                <w:sz w:val="12"/>
                <w:szCs w:val="12"/>
                <w:b w:val="1"/>
                <w:bCs w:val="1"/>
                <w:i w:val="1"/>
                <w:iCs w:val="1"/>
                <w:color w:val="auto"/>
                <w:w w:val="83"/>
              </w:rPr>
              <w:t>(1)</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4"/>
                <w:szCs w:val="14"/>
                <w:b w:val="1"/>
                <w:bCs w:val="1"/>
                <w:i w:val="1"/>
                <w:iCs w:val="1"/>
                <w:color w:val="auto"/>
              </w:rPr>
              <w:t>Zscaler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8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Borders>
              <w:top w:val="single" w:sz="8" w:color="auto"/>
            </w:tcBorders>
            <w:gridSpan w:val="2"/>
          </w:tcPr>
          <w:p>
            <w:pPr>
              <w:jc w:val="right"/>
              <w:ind w:right="580"/>
              <w:spacing w:after="0" w:line="189" w:lineRule="exact"/>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3"/>
          </w:tcPr>
          <w:p>
            <w:pPr>
              <w:jc w:val="right"/>
              <w:ind w:right="468"/>
              <w:spacing w:after="0" w:line="189" w:lineRule="exact"/>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1180" w:type="dxa"/>
            <w:vAlign w:val="bottom"/>
            <w:gridSpan w:val="2"/>
          </w:tcPr>
          <w:p>
            <w:pPr>
              <w:ind w:left="1000"/>
              <w:spacing w:after="0"/>
              <w:rPr>
                <w:sz w:val="20"/>
                <w:szCs w:val="20"/>
                <w:color w:val="auto"/>
              </w:rPr>
            </w:pPr>
            <w:r>
              <w:rPr>
                <w:rFonts w:ascii="Arial" w:cs="Arial" w:eastAsia="Arial" w:hAnsi="Arial"/>
                <w:sz w:val="18"/>
                <w:szCs w:val="18"/>
                <w:i w:val="1"/>
                <w:iCs w:val="1"/>
                <w:color w:val="auto"/>
              </w:rPr>
              <w: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4"/>
          </w:tcPr>
          <w:p>
            <w:pPr>
              <w:ind w:left="4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See “Underwriting” for a description of the compensation payable to the underwriters.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We have granted the underwriters the right to purchase up to an additional 1,800,000 shares of common stock solely to cover over-allotments, if any.</w:t>
      </w:r>
    </w:p>
    <w:p>
      <w:pPr>
        <w:spacing w:after="0" w:line="204" w:lineRule="exact"/>
        <w:rPr>
          <w:sz w:val="20"/>
          <w:szCs w:val="20"/>
          <w:color w:val="auto"/>
        </w:rPr>
      </w:pPr>
    </w:p>
    <w:p>
      <w:pPr>
        <w:jc w:val="both"/>
        <w:ind w:left="200"/>
        <w:spacing w:after="0" w:line="251" w:lineRule="auto"/>
        <w:rPr>
          <w:sz w:val="20"/>
          <w:szCs w:val="20"/>
          <w:color w:val="auto"/>
        </w:rPr>
      </w:pPr>
      <w:r>
        <w:rPr>
          <w:rFonts w:ascii="Arial" w:cs="Arial" w:eastAsia="Arial" w:hAnsi="Arial"/>
          <w:sz w:val="13"/>
          <w:szCs w:val="13"/>
          <w:i w:val="1"/>
          <w:iCs w:val="1"/>
          <w:color w:val="auto"/>
        </w:rPr>
        <w:t>Certain entities associated with Charles Giancarlo, Lane Bess, Scott Darling and Karen Blasing, each a member of our board of directors, have indicated an interest in purchasing up to an aggregate of approximately $5.0 million of shares of our common stock in this offering (or an aggregate of 357,142 shares based on the midpoint of the estimated offering price range set forth on the cover page of this prospectus) at the initial public offering price. Because these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 underwriters will receive the same discount from any shares sold to these existing stockholders as they will from any other shares sold to the public in this offering.</w:t>
      </w:r>
    </w:p>
    <w:p>
      <w:pPr>
        <w:spacing w:after="0" w:line="177" w:lineRule="exact"/>
        <w:rPr>
          <w:sz w:val="20"/>
          <w:szCs w:val="20"/>
          <w:color w:val="auto"/>
        </w:rPr>
      </w:pPr>
    </w:p>
    <w:p>
      <w:pPr>
        <w:jc w:val="both"/>
        <w:ind w:left="200"/>
        <w:spacing w:after="0" w:line="253" w:lineRule="auto"/>
        <w:rPr>
          <w:sz w:val="20"/>
          <w:szCs w:val="20"/>
          <w:color w:val="auto"/>
        </w:rPr>
      </w:pPr>
      <w:r>
        <w:rPr>
          <w:rFonts w:ascii="Arial" w:cs="Arial" w:eastAsia="Arial" w:hAnsi="Arial"/>
          <w:sz w:val="14"/>
          <w:szCs w:val="14"/>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i w:val="1"/>
                <w:iCs w:val="1"/>
                <w:color w:val="auto"/>
                <w:w w:val="99"/>
              </w:rPr>
              <w:t>The underwriters expect to deliver the shares of common stock to purchasers on</w:t>
            </w: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2380" w:type="dxa"/>
            <w:vAlign w:val="bottom"/>
          </w:tcPr>
          <w:p>
            <w:pPr>
              <w:spacing w:after="0"/>
              <w:rPr>
                <w:sz w:val="20"/>
                <w:szCs w:val="20"/>
                <w:color w:val="auto"/>
              </w:rPr>
            </w:pPr>
            <w:r>
              <w:rPr>
                <w:rFonts w:ascii="Arial" w:cs="Arial" w:eastAsia="Arial" w:hAnsi="Arial"/>
                <w:sz w:val="22"/>
                <w:szCs w:val="22"/>
                <w:i w:val="1"/>
                <w:iCs w:val="1"/>
                <w:color w:val="auto"/>
              </w:rPr>
              <w:t>MORGAN STANLEY</w:t>
            </w:r>
          </w:p>
        </w:tc>
        <w:tc>
          <w:tcPr>
            <w:tcW w:w="1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Arial" w:cs="Arial" w:eastAsia="Arial" w:hAnsi="Arial"/>
                <w:sz w:val="22"/>
                <w:szCs w:val="22"/>
                <w:i w:val="1"/>
                <w:iCs w:val="1"/>
                <w:color w:val="auto"/>
                <w:w w:val="91"/>
              </w:rPr>
              <w:t>GOLDMAN SACHS &amp; CO. LLC</w:t>
            </w:r>
          </w:p>
        </w:tc>
      </w:tr>
      <w:tr>
        <w:trPr>
          <w:trHeight w:val="354"/>
        </w:trPr>
        <w:tc>
          <w:tcPr>
            <w:tcW w:w="2380" w:type="dxa"/>
            <w:vAlign w:val="bottom"/>
          </w:tcPr>
          <w:p>
            <w:pPr>
              <w:spacing w:after="0"/>
              <w:rPr>
                <w:sz w:val="20"/>
                <w:szCs w:val="20"/>
                <w:color w:val="auto"/>
              </w:rPr>
            </w:pPr>
            <w:r>
              <w:rPr>
                <w:rFonts w:ascii="Arial" w:cs="Arial" w:eastAsia="Arial" w:hAnsi="Arial"/>
                <w:sz w:val="14"/>
                <w:szCs w:val="14"/>
                <w:i w:val="1"/>
                <w:iCs w:val="1"/>
                <w:color w:val="auto"/>
              </w:rPr>
              <w:t>BofA MERRILL LYNCH</w:t>
            </w:r>
          </w:p>
        </w:tc>
        <w:tc>
          <w:tcPr>
            <w:tcW w:w="1640" w:type="dxa"/>
            <w:vAlign w:val="bottom"/>
          </w:tcPr>
          <w:p>
            <w:pPr>
              <w:ind w:left="580"/>
              <w:spacing w:after="0"/>
              <w:rPr>
                <w:sz w:val="20"/>
                <w:szCs w:val="20"/>
                <w:color w:val="auto"/>
              </w:rPr>
            </w:pPr>
            <w:r>
              <w:rPr>
                <w:rFonts w:ascii="Arial" w:cs="Arial" w:eastAsia="Arial" w:hAnsi="Arial"/>
                <w:sz w:val="14"/>
                <w:szCs w:val="14"/>
                <w:i w:val="1"/>
                <w:iCs w:val="1"/>
                <w:color w:val="auto"/>
              </w:rPr>
              <w:t>BARCLAYS</w:t>
            </w:r>
          </w:p>
        </w:tc>
        <w:tc>
          <w:tcPr>
            <w:tcW w:w="3200" w:type="dxa"/>
            <w:vAlign w:val="bottom"/>
          </w:tcPr>
          <w:p>
            <w:pPr>
              <w:ind w:left="420"/>
              <w:spacing w:after="0"/>
              <w:rPr>
                <w:sz w:val="20"/>
                <w:szCs w:val="20"/>
                <w:color w:val="auto"/>
              </w:rPr>
            </w:pPr>
            <w:r>
              <w:rPr>
                <w:rFonts w:ascii="Arial" w:cs="Arial" w:eastAsia="Arial" w:hAnsi="Arial"/>
                <w:sz w:val="14"/>
                <w:szCs w:val="14"/>
                <w:i w:val="1"/>
                <w:iCs w:val="1"/>
                <w:color w:val="auto"/>
              </w:rPr>
              <w:t>DEUTSCHE BANK SECURITIES</w:t>
            </w:r>
          </w:p>
        </w:tc>
        <w:tc>
          <w:tcPr>
            <w:tcW w:w="980" w:type="dxa"/>
            <w:vAlign w:val="bottom"/>
          </w:tcPr>
          <w:p>
            <w:pPr>
              <w:ind w:left="40"/>
              <w:spacing w:after="0"/>
              <w:rPr>
                <w:sz w:val="20"/>
                <w:szCs w:val="20"/>
                <w:color w:val="auto"/>
              </w:rPr>
            </w:pPr>
            <w:r>
              <w:rPr>
                <w:rFonts w:ascii="Arial" w:cs="Arial" w:eastAsia="Arial" w:hAnsi="Arial"/>
                <w:sz w:val="14"/>
                <w:szCs w:val="14"/>
                <w:i w:val="1"/>
                <w:iCs w:val="1"/>
                <w:color w:val="auto"/>
                <w:w w:val="85"/>
              </w:rPr>
              <w:t>CREDIT SUISSE</w:t>
            </w:r>
          </w:p>
        </w:tc>
        <w:tc>
          <w:tcPr>
            <w:tcW w:w="2820" w:type="dxa"/>
            <w:vAlign w:val="bottom"/>
          </w:tcPr>
          <w:p>
            <w:pPr>
              <w:jc w:val="right"/>
              <w:spacing w:after="0"/>
              <w:rPr>
                <w:sz w:val="20"/>
                <w:szCs w:val="20"/>
                <w:color w:val="auto"/>
              </w:rPr>
            </w:pPr>
            <w:r>
              <w:rPr>
                <w:rFonts w:ascii="Arial" w:cs="Arial" w:eastAsia="Arial" w:hAnsi="Arial"/>
                <w:sz w:val="14"/>
                <w:szCs w:val="14"/>
                <w:i w:val="1"/>
                <w:iCs w:val="1"/>
                <w:color w:val="auto"/>
              </w:rPr>
              <w:t>UBS INVESTMENT BANK</w:t>
            </w:r>
          </w:p>
        </w:tc>
      </w:tr>
      <w:tr>
        <w:trPr>
          <w:trHeight w:val="270"/>
        </w:trPr>
        <w:tc>
          <w:tcPr>
            <w:tcW w:w="2380" w:type="dxa"/>
            <w:vAlign w:val="bottom"/>
          </w:tcPr>
          <w:p>
            <w:pPr>
              <w:spacing w:after="0"/>
              <w:rPr>
                <w:sz w:val="20"/>
                <w:szCs w:val="20"/>
                <w:color w:val="auto"/>
              </w:rPr>
            </w:pPr>
            <w:r>
              <w:rPr>
                <w:rFonts w:ascii="Arial" w:cs="Arial" w:eastAsia="Arial" w:hAnsi="Arial"/>
                <w:sz w:val="14"/>
                <w:szCs w:val="14"/>
                <w:i w:val="1"/>
                <w:iCs w:val="1"/>
                <w:color w:val="auto"/>
              </w:rPr>
              <w:t>BAIRD</w:t>
            </w:r>
          </w:p>
        </w:tc>
        <w:tc>
          <w:tcPr>
            <w:tcW w:w="1640" w:type="dxa"/>
            <w:vAlign w:val="bottom"/>
          </w:tcPr>
          <w:p>
            <w:pPr>
              <w:ind w:left="640"/>
              <w:spacing w:after="0"/>
              <w:rPr>
                <w:sz w:val="20"/>
                <w:szCs w:val="20"/>
                <w:color w:val="auto"/>
              </w:rPr>
            </w:pPr>
            <w:r>
              <w:rPr>
                <w:rFonts w:ascii="Arial" w:cs="Arial" w:eastAsia="Arial" w:hAnsi="Arial"/>
                <w:sz w:val="14"/>
                <w:szCs w:val="14"/>
                <w:i w:val="1"/>
                <w:iCs w:val="1"/>
                <w:color w:val="auto"/>
              </w:rPr>
              <w:t>BTIG</w:t>
            </w:r>
          </w:p>
        </w:tc>
        <w:tc>
          <w:tcPr>
            <w:tcW w:w="3200" w:type="dxa"/>
            <w:vAlign w:val="bottom"/>
          </w:tcPr>
          <w:p>
            <w:pPr>
              <w:ind w:left="1740"/>
              <w:spacing w:after="0"/>
              <w:rPr>
                <w:sz w:val="20"/>
                <w:szCs w:val="20"/>
                <w:color w:val="auto"/>
              </w:rPr>
            </w:pPr>
            <w:r>
              <w:rPr>
                <w:rFonts w:ascii="Arial" w:cs="Arial" w:eastAsia="Arial" w:hAnsi="Arial"/>
                <w:sz w:val="14"/>
                <w:szCs w:val="14"/>
                <w:i w:val="1"/>
                <w:iCs w:val="1"/>
                <w:color w:val="auto"/>
                <w:w w:val="91"/>
              </w:rPr>
              <w:t>NEEDHAM &amp; COMPANY</w:t>
            </w:r>
          </w:p>
        </w:tc>
        <w:tc>
          <w:tcPr>
            <w:tcW w:w="98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Arial" w:cs="Arial" w:eastAsia="Arial" w:hAnsi="Arial"/>
                <w:sz w:val="14"/>
                <w:szCs w:val="14"/>
                <w:i w:val="1"/>
                <w:iCs w:val="1"/>
                <w:color w:val="auto"/>
              </w:rPr>
              <w:t>STEPHENS INC.</w:t>
            </w:r>
          </w:p>
        </w:tc>
      </w:tr>
    </w:tbl>
    <w:p>
      <w:pPr>
        <w:spacing w:after="0" w:line="189" w:lineRule="exact"/>
        <w:rPr>
          <w:sz w:val="20"/>
          <w:szCs w:val="20"/>
          <w:color w:val="auto"/>
        </w:rPr>
      </w:pPr>
    </w:p>
    <w:p>
      <w:pPr>
        <w:sectPr>
          <w:pgSz w:w="11900" w:h="16838" w:orient="portrait"/>
          <w:cols w:equalWidth="0" w:num="1">
            <w:col w:w="11220"/>
          </w:cols>
          <w:pgMar w:left="240" w:top="459" w:right="439" w:bottom="109" w:gutter="0" w:footer="0" w:header="0"/>
        </w:sectPr>
      </w:pPr>
    </w:p>
    <w:p>
      <w:pPr>
        <w:ind w:left="1100"/>
        <w:spacing w:after="0"/>
        <w:rPr>
          <w:sz w:val="20"/>
          <w:szCs w:val="20"/>
          <w:color w:val="auto"/>
        </w:rPr>
      </w:pP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09"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9">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228600</wp:posOffset>
            </wp:positionV>
            <wp:extent cx="5617210"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7210" cy="754697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9">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228600</wp:posOffset>
            </wp:positionV>
            <wp:extent cx="5831840" cy="397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1840" cy="39789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8"/>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1940" w:type="dxa"/>
            <w:vAlign w:val="bottom"/>
            <w:gridSpan w:val="3"/>
            <w:vMerge w:val="restart"/>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400" w:type="dxa"/>
            <w:vAlign w:val="bottom"/>
            <w:vMerge w:val="restart"/>
          </w:tcPr>
          <w:p>
            <w:pPr>
              <w:spacing w:after="0"/>
              <w:rPr>
                <w:sz w:val="14"/>
                <w:szCs w:val="14"/>
                <w:color w:val="auto"/>
              </w:rPr>
            </w:pPr>
          </w:p>
        </w:tc>
        <w:tc>
          <w:tcPr>
            <w:tcW w:w="1820" w:type="dxa"/>
            <w:vAlign w:val="bottom"/>
            <w:gridSpan w:val="7"/>
            <w:vMerge w:val="restart"/>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Executive Compensation</w:t>
              </w:r>
            </w:hyperlink>
          </w:p>
        </w:tc>
        <w:tc>
          <w:tcPr>
            <w:tcW w:w="3200" w:type="dxa"/>
            <w:vAlign w:val="bottom"/>
            <w:gridSpan w:val="7"/>
            <w:vMerge w:val="restart"/>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520" w:type="dxa"/>
            <w:vAlign w:val="bottom"/>
            <w:tcBorders>
              <w:bottom w:val="single" w:sz="8" w:color="0000EE"/>
            </w:tcBorders>
            <w:gridSpan w:val="8"/>
            <w:vMerge w:val="continue"/>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0" w:type="dxa"/>
            <w:vAlign w:val="bottom"/>
            <w:vMerge w:val="continue"/>
          </w:tcPr>
          <w:p>
            <w:pPr>
              <w:spacing w:after="0"/>
              <w:rPr>
                <w:sz w:val="13"/>
                <w:szCs w:val="13"/>
                <w:color w:val="auto"/>
              </w:rPr>
            </w:pPr>
          </w:p>
        </w:tc>
        <w:tc>
          <w:tcPr>
            <w:tcW w:w="1820" w:type="dxa"/>
            <w:vAlign w:val="bottom"/>
            <w:tcBorders>
              <w:bottom w:val="single" w:sz="8" w:color="0000EE"/>
            </w:tcBorders>
            <w:gridSpan w:val="7"/>
            <w:vMerge w:val="continue"/>
          </w:tcPr>
          <w:p>
            <w:pPr>
              <w:spacing w:after="0"/>
              <w:rPr>
                <w:sz w:val="13"/>
                <w:szCs w:val="13"/>
                <w:color w:val="auto"/>
              </w:rPr>
            </w:pPr>
          </w:p>
        </w:tc>
        <w:tc>
          <w:tcPr>
            <w:tcW w:w="3200" w:type="dxa"/>
            <w:vAlign w:val="bottom"/>
            <w:gridSpan w:val="7"/>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gridSpan w:val="4"/>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256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5020" w:type="dxa"/>
            <w:vAlign w:val="bottom"/>
            <w:gridSpan w:val="14"/>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Certain Relationships and Related Party Transactions</w:t>
              </w:r>
            </w:hyperlink>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Special Note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5420" w:type="dxa"/>
            <w:vAlign w:val="bottom"/>
            <w:gridSpan w:val="15"/>
          </w:tcPr>
          <w:p>
            <w:pPr>
              <w:ind w:left="40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Market and Industry Data</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40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Description of Capital Stock</w:t>
              </w:r>
            </w:hyperlink>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7"/>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Use of Proceeds</w:t>
              </w:r>
            </w:hyperlink>
          </w:p>
        </w:tc>
        <w:tc>
          <w:tcPr>
            <w:tcW w:w="680" w:type="dxa"/>
            <w:vAlign w:val="bottom"/>
            <w:gridSpan w:val="2"/>
          </w:tcPr>
          <w:p>
            <w:pPr>
              <w:spacing w:after="0"/>
              <w:rPr>
                <w:sz w:val="17"/>
                <w:szCs w:val="17"/>
                <w:color w:val="auto"/>
              </w:rPr>
            </w:pPr>
          </w:p>
        </w:tc>
        <w:tc>
          <w:tcPr>
            <w:tcW w:w="16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40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1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Dividend Policy</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5420" w:type="dxa"/>
            <w:vAlign w:val="bottom"/>
            <w:gridSpan w:val="15"/>
          </w:tcPr>
          <w:p>
            <w:pPr>
              <w:ind w:left="40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6"/>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Capitalization</w:t>
              </w:r>
            </w:hyperlink>
          </w:p>
        </w:tc>
        <w:tc>
          <w:tcPr>
            <w:tcW w:w="160" w:type="dxa"/>
            <w:vAlign w:val="bottom"/>
          </w:tcPr>
          <w:p>
            <w:pPr>
              <w:spacing w:after="0"/>
              <w:rPr>
                <w:sz w:val="17"/>
                <w:szCs w:val="17"/>
                <w:color w:val="auto"/>
              </w:rPr>
            </w:pPr>
          </w:p>
        </w:tc>
        <w:tc>
          <w:tcPr>
            <w:tcW w:w="23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13"/>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Holders of the Ownership and Disposition of Our Common</w:t>
              </w:r>
            </w:hyperlink>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Dilution</w:t>
              </w:r>
            </w:hyperlink>
          </w:p>
        </w:tc>
        <w:tc>
          <w:tcPr>
            <w:tcW w:w="246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Stock</w:t>
              </w:r>
            </w:hyperlink>
          </w:p>
        </w:tc>
        <w:tc>
          <w:tcPr>
            <w:tcW w:w="560" w:type="dxa"/>
            <w:vAlign w:val="bottom"/>
          </w:tcPr>
          <w:p>
            <w:pPr>
              <w:spacing w:after="0"/>
              <w:rPr>
                <w:sz w:val="17"/>
                <w:szCs w:val="17"/>
                <w:color w:val="auto"/>
              </w:rPr>
            </w:pP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Selected Consolidated Financial and Other Data</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40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69">
              <w:r>
                <w:rPr>
                  <w:rFonts w:ascii="Arial" w:cs="Arial" w:eastAsia="Arial" w:hAnsi="Arial"/>
                  <w:sz w:val="18"/>
                  <w:szCs w:val="18"/>
                  <w:color w:val="0000EE"/>
                  <w:w w:val="94"/>
                </w:rPr>
                <w:t>Underwriting</w:t>
              </w:r>
            </w:hyperlink>
          </w:p>
        </w:tc>
        <w:tc>
          <w:tcPr>
            <w:tcW w:w="4040" w:type="dxa"/>
            <w:vAlign w:val="bottom"/>
            <w:gridSpan w:val="11"/>
          </w:tcPr>
          <w:p>
            <w:pPr>
              <w:spacing w:after="0"/>
              <w:rPr>
                <w:sz w:val="17"/>
                <w:szCs w:val="17"/>
                <w:color w:val="auto"/>
              </w:rPr>
            </w:pP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Management’s Discussion and Analysis of Financial Condition</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Legal Matters</w:t>
              </w:r>
            </w:hyperlink>
          </w:p>
        </w:tc>
        <w:tc>
          <w:tcPr>
            <w:tcW w:w="4000" w:type="dxa"/>
            <w:vAlign w:val="bottom"/>
            <w:gridSpan w:val="10"/>
          </w:tcPr>
          <w:p>
            <w:pPr>
              <w:spacing w:after="0"/>
              <w:rPr>
                <w:sz w:val="17"/>
                <w:szCs w:val="17"/>
                <w:color w:val="auto"/>
              </w:rPr>
            </w:pP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and Results of Operations</w:t>
              </w:r>
            </w:hyperlink>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4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Experts</w:t>
              </w:r>
            </w:hyperlink>
          </w:p>
        </w:tc>
        <w:tc>
          <w:tcPr>
            <w:tcW w:w="4420" w:type="dxa"/>
            <w:vAlign w:val="bottom"/>
            <w:gridSpan w:val="12"/>
          </w:tcPr>
          <w:p>
            <w:pPr>
              <w:spacing w:after="0"/>
              <w:rPr>
                <w:sz w:val="17"/>
                <w:szCs w:val="17"/>
                <w:color w:val="auto"/>
              </w:rPr>
            </w:pP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3460" w:type="dxa"/>
            <w:vAlign w:val="bottom"/>
            <w:gridSpan w:val="1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Business</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5420" w:type="dxa"/>
            <w:vAlign w:val="bottom"/>
            <w:gridSpan w:val="15"/>
          </w:tcPr>
          <w:p>
            <w:pPr>
              <w:ind w:left="400"/>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Where You Can Find Additional Information</w:t>
              </w:r>
            </w:hyperlink>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11"/>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Management</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5420" w:type="dxa"/>
            <w:vAlign w:val="bottom"/>
            <w:gridSpan w:val="15"/>
          </w:tcPr>
          <w:p>
            <w:pPr>
              <w:ind w:left="40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Index to Consolidated Financial Statements</w:t>
              </w:r>
            </w:hyperlink>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520"/>
        </w:trPr>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0" w:type="dxa"/>
            <w:vAlign w:val="bottom"/>
          </w:tcPr>
          <w:p>
            <w:pPr>
              <w:spacing w:after="0"/>
              <w:rPr>
                <w:sz w:val="24"/>
                <w:szCs w:val="24"/>
                <w:color w:val="auto"/>
              </w:rPr>
            </w:pPr>
          </w:p>
        </w:tc>
        <w:tc>
          <w:tcPr>
            <w:tcW w:w="330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22"/>
          </w:tcPr>
          <w:p>
            <w:pPr>
              <w:jc w:val="right"/>
              <w:spacing w:after="0"/>
              <w:rPr>
                <w:sz w:val="20"/>
                <w:szCs w:val="20"/>
                <w:color w:val="auto"/>
              </w:rPr>
            </w:pPr>
            <w:r>
              <w:rPr>
                <w:rFonts w:ascii="Arial" w:cs="Arial" w:eastAsia="Arial" w:hAnsi="Arial"/>
                <w:sz w:val="18"/>
                <w:szCs w:val="18"/>
                <w:b w:val="1"/>
                <w:bCs w:val="1"/>
                <w:color w:val="auto"/>
                <w:w w:val="92"/>
              </w:rPr>
              <w:t>, 2018 (the 25th day after the date of this prospectus), all dealers effecting transactions in these</w:t>
            </w:r>
          </w:p>
        </w:tc>
        <w:tc>
          <w:tcPr>
            <w:tcW w:w="0" w:type="dxa"/>
            <w:vAlign w:val="bottom"/>
          </w:tcPr>
          <w:p>
            <w:pPr>
              <w:spacing w:after="0"/>
              <w:rPr>
                <w:sz w:val="1"/>
                <w:szCs w:val="1"/>
                <w:color w:val="auto"/>
              </w:rPr>
            </w:pPr>
          </w:p>
        </w:tc>
      </w:tr>
    </w:tbl>
    <w:p>
      <w:pPr>
        <w:jc w:val="both"/>
        <w:ind w:left="200"/>
        <w:spacing w:after="0" w:line="261" w:lineRule="auto"/>
        <w:rPr>
          <w:sz w:val="20"/>
          <w:szCs w:val="20"/>
          <w:color w:val="auto"/>
        </w:rPr>
      </w:pPr>
      <w:r>
        <w:rPr>
          <w:rFonts w:ascii="Arial" w:cs="Arial" w:eastAsia="Arial" w:hAnsi="Arial"/>
          <w:sz w:val="18"/>
          <w:szCs w:val="18"/>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4"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Neither we nor the underwriters have authorized anyone to provide you with information or make any representations other than those contained in this prospectus or in any free writing prospectus we have prepared. We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accurate only as of the date of this prospectus, regardless of the time of delivery of this prospectus or of any sale of our common stock.</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For investors outside of the United States: Neither we nor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80" w:firstLine="426"/>
        <w:spacing w:after="0" w:line="271"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“Selected Consolidated Financial and Other Data,” “Management’s Discussion and Analysis of Financial Condition and Results of Operations” and “Business” and our consolidated financial statements and the related notes included elsewhere in this prospectus, before making an investment decision. Unless the context otherwise requires, the terms “Zscaler,” “the company,” “we,” “us” and “our” in this prospectus refer to Zscaler, Inc. and its consolidated subsidiaries. Our fiscal year end is July 31, and our fiscal quarters end on October 31, January 31, April 30 and July 31. Our fiscal years ended July 31, 2015, 2016 and 2017 are referred to herein as fiscal 2015, fiscal 2016 and fiscal 2017, respectively. Our fiscal year ending July 31, 2018 is referred to herein as fiscal 2018.</w:t>
      </w:r>
    </w:p>
    <w:p>
      <w:pPr>
        <w:spacing w:after="0" w:line="3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ZSCALER, INC.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Mission Statement</w:t>
      </w:r>
    </w:p>
    <w:p>
      <w:pPr>
        <w:spacing w:after="0" w:line="121" w:lineRule="exact"/>
        <w:rPr>
          <w:sz w:val="20"/>
          <w:szCs w:val="20"/>
          <w:color w:val="auto"/>
        </w:rPr>
      </w:pPr>
    </w:p>
    <w:p>
      <w:pPr>
        <w:jc w:val="both"/>
        <w:ind w:left="380" w:firstLine="426"/>
        <w:spacing w:after="0" w:line="277" w:lineRule="auto"/>
        <w:rPr>
          <w:sz w:val="20"/>
          <w:szCs w:val="20"/>
          <w:color w:val="auto"/>
        </w:rPr>
      </w:pPr>
      <w:r>
        <w:rPr>
          <w:rFonts w:ascii="Arial" w:cs="Arial" w:eastAsia="Arial" w:hAnsi="Arial"/>
          <w:sz w:val="18"/>
          <w:szCs w:val="18"/>
          <w:color w:val="auto"/>
        </w:rPr>
        <w:t>Our mission is to empower organizations to realize the full potential of the cloud and mobility by securely connecting users to applications from any device, anywhere.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80" w:firstLine="426"/>
        <w:spacing w:after="0" w:line="302" w:lineRule="auto"/>
        <w:rPr>
          <w:sz w:val="20"/>
          <w:szCs w:val="20"/>
          <w:color w:val="auto"/>
        </w:rPr>
      </w:pPr>
      <w:r>
        <w:rPr>
          <w:rFonts w:ascii="Arial" w:cs="Arial" w:eastAsia="Arial" w:hAnsi="Arial"/>
          <w:sz w:val="16"/>
          <w:szCs w:val="16"/>
          <w:color w:val="auto"/>
        </w:rPr>
        <w:t>Zscaler was incorporated in 2007, during the early stages of cloud adoption and mobility, based on a vision that the internet would become the new corporate network as the cloud becomes the new data center. We predicted that with rapid cloud adoption and increasing workforce mobility, traditional perimeter security approaches would provide inadequate protection for users and data and an increasingly poor user experience. We pioneered a security cloud that represents a fundamental shift in the architectural design and approach to network security.</w:t>
      </w:r>
    </w:p>
    <w:p>
      <w:pPr>
        <w:spacing w:after="0" w:line="154" w:lineRule="exact"/>
        <w:rPr>
          <w:sz w:val="20"/>
          <w:szCs w:val="20"/>
          <w:color w:val="auto"/>
        </w:rPr>
      </w:pPr>
    </w:p>
    <w:p>
      <w:pPr>
        <w:jc w:val="both"/>
        <w:ind w:left="380" w:firstLine="426"/>
        <w:spacing w:after="0" w:line="255" w:lineRule="auto"/>
        <w:rPr>
          <w:sz w:val="20"/>
          <w:szCs w:val="20"/>
          <w:color w:val="auto"/>
        </w:rPr>
      </w:pPr>
      <w:r>
        <w:rPr>
          <w:rFonts w:ascii="Arial" w:cs="Arial" w:eastAsia="Arial" w:hAnsi="Arial"/>
          <w:sz w:val="18"/>
          <w:szCs w:val="18"/>
          <w:color w:val="auto"/>
        </w:rPr>
        <w:t>Enterprise applications are rapidly moving to the cloud to achieve greater IT agility, a faster pace of innovation and lower costs. Organizations are increasingly relying on internet destinations for a range of business activities, adopting new external SaaS applications for critical business functions and moving their internally managed applications to the public cloud, commonly known as Infrastructure-as-a-Service, or IaaS. Enterprise users now expect to be able to seamlessly access applications and data, wherever they are hosted, from any device, anywhere in the world. We believe these trends are indicative of the broader digital transformation agenda, as businesses increasingly succeed or fail based on their IT outcomes.</w:t>
      </w:r>
    </w:p>
    <w:p>
      <w:pPr>
        <w:spacing w:after="0" w:line="193" w:lineRule="exact"/>
        <w:rPr>
          <w:sz w:val="20"/>
          <w:szCs w:val="20"/>
          <w:color w:val="auto"/>
        </w:rPr>
      </w:pPr>
    </w:p>
    <w:p>
      <w:pPr>
        <w:jc w:val="both"/>
        <w:ind w:left="380" w:firstLine="426"/>
        <w:spacing w:after="0" w:line="291" w:lineRule="auto"/>
        <w:rPr>
          <w:sz w:val="20"/>
          <w:szCs w:val="20"/>
          <w:color w:val="auto"/>
        </w:rPr>
      </w:pPr>
      <w:r>
        <w:rPr>
          <w:rFonts w:ascii="Arial" w:cs="Arial" w:eastAsia="Arial" w:hAnsi="Arial"/>
          <w:sz w:val="16"/>
          <w:szCs w:val="16"/>
          <w:color w:val="auto"/>
        </w:rPr>
        <w:t>We believe that securing the on-premises corporate network to protect users and data is becoming increasingly irrelevant in a cloud and mobile-first world where organizations depend on the internet, a network they do not control and cannot secure, to access critical applications that power their business. We pioneered a new approach to security that connects the right user to the right application, regardless of network. Our cloud platform, which delivers security as a service, eliminates the need for traditional on-premises security appliances that are difficult to maintain and require compromises between security, cost and user experience. Our cloud platform incorporates the security functionality needed to enable users to safely utilize authorized applications and services based on an organization’s policies. Our solution is a purpose-built, multi-tenant, distributed cloud security platform that secures access for users and devices to applications and services, regardless of location.</w:t>
      </w:r>
    </w:p>
    <w:p>
      <w:pPr>
        <w:spacing w:after="0" w:line="167" w:lineRule="exact"/>
        <w:rPr>
          <w:sz w:val="20"/>
          <w:szCs w:val="20"/>
          <w:color w:val="auto"/>
        </w:rPr>
      </w:pPr>
    </w:p>
    <w:p>
      <w:pPr>
        <w:jc w:val="both"/>
        <w:ind w:left="380" w:right="20" w:firstLine="426"/>
        <w:spacing w:after="0" w:line="277" w:lineRule="auto"/>
        <w:rPr>
          <w:sz w:val="20"/>
          <w:szCs w:val="20"/>
          <w:color w:val="auto"/>
        </w:rPr>
      </w:pPr>
      <w:r>
        <w:rPr>
          <w:rFonts w:ascii="Arial" w:cs="Arial" w:eastAsia="Arial" w:hAnsi="Arial"/>
          <w:sz w:val="18"/>
          <w:szCs w:val="18"/>
          <w:color w:val="auto"/>
        </w:rPr>
        <w:t>Our multi-tenant architecture is distributed across more than 100 data centers globally, which allows us to secure users across 185 countries. Each day, we block over 100 million threats and perform over 120,000 unique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264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6264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security updates. Our customers benefit from the network effect of our growing cloud because once a new threat is detected, it can be blocked for users across our entire customer base within minutes.</w:t>
      </w:r>
    </w:p>
    <w:p>
      <w:pPr>
        <w:spacing w:after="0" w:line="170"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We have over 2,800 customers across all major geographies, and we currently count over 200 of the Forbes Global 2000 as customers. Our customers span every major industry, including airlines and transportation, conglomerates, consumer goods and retail, financial services, healthcare, manufacturing, media and communications, public sector and education, technology and telecommunications services.</w:t>
      </w:r>
    </w:p>
    <w:p>
      <w:pPr>
        <w:spacing w:after="0" w:line="166" w:lineRule="exact"/>
        <w:rPr>
          <w:sz w:val="20"/>
          <w:szCs w:val="20"/>
          <w:color w:val="auto"/>
        </w:rPr>
      </w:pPr>
    </w:p>
    <w:p>
      <w:pPr>
        <w:jc w:val="both"/>
        <w:ind w:left="380" w:firstLine="426"/>
        <w:spacing w:after="0" w:line="272" w:lineRule="auto"/>
        <w:rPr>
          <w:sz w:val="20"/>
          <w:szCs w:val="20"/>
          <w:color w:val="auto"/>
        </w:rPr>
      </w:pPr>
      <w:r>
        <w:rPr>
          <w:rFonts w:ascii="Arial" w:cs="Arial" w:eastAsia="Arial" w:hAnsi="Arial"/>
          <w:sz w:val="17"/>
          <w:szCs w:val="17"/>
          <w:color w:val="auto"/>
        </w:rPr>
        <w:t>Although we have a channel sales model, we use a joint sales approach in which our sales force develops relationships directly with our customers and engages at senior levels within IT organizations. We amplify our sales presence and effectiveness by leveraging our network of global telecommunications service provider, system integrator and value-added reseller partners. Many of these channel partners engage at the C-level to discuss strategic network transformation and cloud migration projects, and we work with these channel partners to deliver security solutions to their most important enterprise customers. Our service provider partners include us as an integral part of broad network transformation projects. Systems integrators bring us into customers as part of their cloud application migration programs. We also work with high-touch value-added resellers to broaden our reach to mid-market customers.</w:t>
      </w:r>
    </w:p>
    <w:p>
      <w:pPr>
        <w:spacing w:after="0" w:line="178" w:lineRule="exact"/>
        <w:rPr>
          <w:sz w:val="20"/>
          <w:szCs w:val="20"/>
          <w:color w:val="auto"/>
        </w:rPr>
      </w:pPr>
    </w:p>
    <w:p>
      <w:pPr>
        <w:jc w:val="both"/>
        <w:ind w:left="380" w:firstLine="426"/>
        <w:spacing w:after="0" w:line="259" w:lineRule="auto"/>
        <w:rPr>
          <w:sz w:val="20"/>
          <w:szCs w:val="20"/>
          <w:color w:val="auto"/>
        </w:rPr>
      </w:pPr>
      <w:r>
        <w:rPr>
          <w:rFonts w:ascii="Arial" w:cs="Arial" w:eastAsia="Arial" w:hAnsi="Arial"/>
          <w:sz w:val="18"/>
          <w:szCs w:val="18"/>
          <w:color w:val="auto"/>
        </w:rPr>
        <w:t>For fiscal 2015, 2016 and 2017, revenue was $53.7 million, $80.3 million and $125.7 million, respectively. Our net losses were $12.8 million, $27.4 million and $35.5 million in fiscal 2015, 2016 and 2017, respectively. For the six months ended January 31, 2017 and 2018, our revenue increased from $56.2 million to $84.8 million, representing a period-over-period revenue growth of 51%, while our net loss increased from $14.6 million to $17.9 million. We expect we will continue to incur net losses for the foreseeable future.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Traditional security approaches focused on establishing a perimeter around the corporate network</w:t>
      </w:r>
    </w:p>
    <w:p>
      <w:pPr>
        <w:spacing w:after="0" w:line="117"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For over 30 years, IT security focused on protecting an organization by establishing a perimeter to secure the corporate network. This approach was based on the premise that all enterprise users, data and applications resided on the corporate network. To meet the requirements of this approach, organizations:</w:t>
      </w:r>
    </w:p>
    <w:p>
      <w:pPr>
        <w:spacing w:after="0" w:line="87" w:lineRule="exact"/>
        <w:rPr>
          <w:sz w:val="20"/>
          <w:szCs w:val="20"/>
          <w:color w:val="auto"/>
        </w:rPr>
      </w:pPr>
    </w:p>
    <w:p>
      <w:pPr>
        <w:jc w:val="both"/>
        <w:ind w:left="1220" w:right="20" w:hanging="415"/>
        <w:spacing w:after="0" w:line="276"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Deployed a “castle-and-moat” security approach where the corporate network was the “castle” that was surrounded by a “moat” of security appliances. </w:t>
      </w:r>
      <w:r>
        <w:rPr>
          <w:rFonts w:ascii="Arial" w:cs="Arial" w:eastAsia="Arial" w:hAnsi="Arial"/>
          <w:sz w:val="17"/>
          <w:szCs w:val="17"/>
          <w:color w:val="auto"/>
        </w:rPr>
        <w:t>To allow traffic in and out of the “castle,” organizations created internet gateways that provide a drawbridge across</w:t>
      </w:r>
      <w:r>
        <w:rPr>
          <w:rFonts w:ascii="Arial" w:cs="Arial" w:eastAsia="Arial" w:hAnsi="Arial"/>
          <w:sz w:val="17"/>
          <w:szCs w:val="17"/>
          <w:i w:val="1"/>
          <w:iCs w:val="1"/>
          <w:color w:val="auto"/>
        </w:rPr>
        <w:t xml:space="preserve"> </w:t>
      </w:r>
      <w:r>
        <w:rPr>
          <w:rFonts w:ascii="Arial" w:cs="Arial" w:eastAsia="Arial" w:hAnsi="Arial"/>
          <w:sz w:val="17"/>
          <w:szCs w:val="17"/>
          <w:color w:val="auto"/>
        </w:rPr>
        <w:t>the “moat.” These gateways initially consisted of a network firewall to establish a physical perimeter separating the internet from users, data and applications. As internet traffic increased and cyberattacks became more sophisticated, the “moat” was expanded to include new appliances to perform specific security functions and handle larger volumes of traffic.</w:t>
      </w:r>
    </w:p>
    <w:p>
      <w:pPr>
        <w:spacing w:after="0" w:line="77" w:lineRule="exact"/>
        <w:rPr>
          <w:rFonts w:ascii="Arial" w:cs="Arial" w:eastAsia="Arial" w:hAnsi="Arial"/>
          <w:sz w:val="17"/>
          <w:szCs w:val="17"/>
          <w:color w:val="auto"/>
        </w:rPr>
      </w:pPr>
    </w:p>
    <w:p>
      <w:pPr>
        <w:jc w:val="both"/>
        <w:ind w:left="1220" w:right="20" w:hanging="415"/>
        <w:spacing w:after="0" w:line="255"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Built a “hub-and-spoke” network architecture that required traffic from branch offices to be routed to centralized data centers. </w:t>
      </w:r>
      <w:r>
        <w:rPr>
          <w:rFonts w:ascii="Arial" w:cs="Arial" w:eastAsia="Arial" w:hAnsi="Arial"/>
          <w:sz w:val="18"/>
          <w:szCs w:val="18"/>
          <w:color w:val="auto"/>
        </w:rPr>
        <w:t>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expense of purchasing and maintaining security appliances, many organizations built only a small number of internet gateways (“hubs”) and routed traffic from branch offices across wide area network links (“spokes”) through these gateways to apply security checks and access controls. In addition, to provide access for mobile and remote users, organizations also deployed virtual private networks, or VPNs, which added a new ephemeral type of “spoke,” further increasing the sprawl and complexity of the “hub-and-spoke” network.</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Cloud and mobility offer opportunities while also introducing new challenges for enterprises</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Organizations are undergoing a massive shift in their IT strategies. The adoption of cloud applications and infrastructure, explosion of internet traffic volumes and shift to mobile-first computing enhance business agility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998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312" w:lineRule="auto"/>
        <w:rPr>
          <w:sz w:val="20"/>
          <w:szCs w:val="20"/>
          <w:color w:val="auto"/>
        </w:rPr>
      </w:pPr>
      <w:r>
        <w:rPr>
          <w:rFonts w:ascii="Arial" w:cs="Arial" w:eastAsia="Arial" w:hAnsi="Arial"/>
          <w:sz w:val="16"/>
          <w:szCs w:val="16"/>
          <w:color w:val="auto"/>
        </w:rPr>
        <w:t>and have become a strategic imperative for CIOs. Organizations are embracing these trends to empower business users, increase speed of deployment, create new customer experiences, reengineer business processes and find new opportunities for growth. At the same time, it is difficult for enterprises to embrace these trends with the traditional “castle-and-moat” security architecture because it introduces several key IT challenges:</w:t>
      </w:r>
    </w:p>
    <w:p>
      <w:pPr>
        <w:spacing w:after="0" w:line="52" w:lineRule="exact"/>
        <w:rPr>
          <w:sz w:val="20"/>
          <w:szCs w:val="20"/>
          <w:color w:val="auto"/>
        </w:rPr>
      </w:pPr>
    </w:p>
    <w:p>
      <w:pPr>
        <w:jc w:val="both"/>
        <w:ind w:left="1220" w:right="20" w:hanging="415"/>
        <w:spacing w:after="0" w:line="25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Growing use of the cloud and the internet creates gaps in security coverage. </w:t>
      </w:r>
      <w:r>
        <w:rPr>
          <w:rFonts w:ascii="Arial" w:cs="Arial" w:eastAsia="Arial" w:hAnsi="Arial"/>
          <w:sz w:val="18"/>
          <w:szCs w:val="18"/>
          <w:color w:val="auto"/>
        </w:rPr>
        <w:t>Enterprise applications are increasingly moving from being</w:t>
      </w:r>
      <w:r>
        <w:rPr>
          <w:rFonts w:ascii="Arial" w:cs="Arial" w:eastAsia="Arial" w:hAnsi="Arial"/>
          <w:sz w:val="18"/>
          <w:szCs w:val="18"/>
          <w:i w:val="1"/>
          <w:iCs w:val="1"/>
          <w:color w:val="auto"/>
        </w:rPr>
        <w:t xml:space="preserve"> </w:t>
      </w:r>
      <w:r>
        <w:rPr>
          <w:rFonts w:ascii="Arial" w:cs="Arial" w:eastAsia="Arial" w:hAnsi="Arial"/>
          <w:sz w:val="18"/>
          <w:szCs w:val="18"/>
          <w:color w:val="auto"/>
        </w:rPr>
        <w:t>hosted in on-premises data centers within the corporate network to SaaS applications hosted in the public cloud, such as Microsoft Azure, Amazon Web Services and Google Cloud Platform. The growing use of the public cloud can significantly increase business risk, as security policies that are consistently applied within the traditional corporate network either cannot be enforced or are easily circumvented in a cloud environment.</w:t>
      </w:r>
    </w:p>
    <w:p>
      <w:pPr>
        <w:spacing w:after="0" w:line="93" w:lineRule="exact"/>
        <w:rPr>
          <w:rFonts w:ascii="Arial" w:cs="Arial" w:eastAsia="Arial" w:hAnsi="Arial"/>
          <w:sz w:val="18"/>
          <w:szCs w:val="18"/>
          <w:color w:val="auto"/>
        </w:rPr>
      </w:pPr>
    </w:p>
    <w:p>
      <w:pPr>
        <w:jc w:val="both"/>
        <w:ind w:left="1220" w:right="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Microsoft Office 365 strains network capacity and data center infrastructure. </w:t>
      </w:r>
      <w:r>
        <w:rPr>
          <w:rFonts w:ascii="Arial" w:cs="Arial" w:eastAsia="Arial" w:hAnsi="Arial"/>
          <w:sz w:val="18"/>
          <w:szCs w:val="18"/>
          <w:color w:val="auto"/>
        </w:rPr>
        <w:t>Unlike other SaaS applications that are used intermittently</w:t>
      </w:r>
      <w:r>
        <w:rPr>
          <w:rFonts w:ascii="Arial" w:cs="Arial" w:eastAsia="Arial" w:hAnsi="Arial"/>
          <w:sz w:val="18"/>
          <w:szCs w:val="18"/>
          <w:i w:val="1"/>
          <w:iCs w:val="1"/>
          <w:color w:val="auto"/>
        </w:rPr>
        <w:t xml:space="preserve"> </w:t>
      </w:r>
      <w:r>
        <w:rPr>
          <w:rFonts w:ascii="Arial" w:cs="Arial" w:eastAsia="Arial" w:hAnsi="Arial"/>
          <w:sz w:val="18"/>
          <w:szCs w:val="18"/>
          <w:color w:val="auto"/>
        </w:rPr>
        <w:t>or by specific departments, Microsoft Office 365 moves many of an organization’s most heavily used applications, such as Exchange and SharePoint, to the cloud, which dramatically increases internet traffic and can potentially overwhelm the existing network and security infrastructure.</w:t>
      </w:r>
    </w:p>
    <w:p>
      <w:pPr>
        <w:spacing w:after="0" w:line="92" w:lineRule="exact"/>
        <w:rPr>
          <w:rFonts w:ascii="Arial" w:cs="Arial" w:eastAsia="Arial" w:hAnsi="Arial"/>
          <w:sz w:val="18"/>
          <w:szCs w:val="18"/>
          <w:color w:val="auto"/>
        </w:rPr>
      </w:pPr>
    </w:p>
    <w:p>
      <w:pPr>
        <w:jc w:val="both"/>
        <w:ind w:left="1220" w:right="20" w:hanging="415"/>
        <w:spacing w:after="0" w:line="25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Workforce mobility makes every user a potential source of security vulnerability. </w:t>
      </w:r>
      <w:r>
        <w:rPr>
          <w:rFonts w:ascii="Arial" w:cs="Arial" w:eastAsia="Arial" w:hAnsi="Arial"/>
          <w:sz w:val="18"/>
          <w:szCs w:val="18"/>
          <w:color w:val="auto"/>
        </w:rPr>
        <w:t>The shift towards an increasingly mobile workforce</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employees to demand easy and fast access to the internet and on-premises and cloud applications, regardless of device or location. To permit access for their mobile employees, organizations have typically relied on VPNs, which grant the user access to the corporate network instead of just the application that is requested. This creates increased points of vulnerability, because a single compromised VPN user can expose the entire corporate network.</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These challenges are exacerbated by an increasingly severe cyber threatscape</w:t>
      </w:r>
    </w:p>
    <w:p>
      <w:pPr>
        <w:spacing w:after="0" w:line="117" w:lineRule="exact"/>
        <w:rPr>
          <w:sz w:val="20"/>
          <w:szCs w:val="20"/>
          <w:color w:val="auto"/>
        </w:rPr>
      </w:pPr>
    </w:p>
    <w:p>
      <w:pPr>
        <w:jc w:val="both"/>
        <w:ind w:left="380" w:firstLine="426"/>
        <w:spacing w:after="0" w:line="257" w:lineRule="auto"/>
        <w:rPr>
          <w:sz w:val="20"/>
          <w:szCs w:val="20"/>
          <w:color w:val="auto"/>
        </w:rPr>
      </w:pPr>
      <w:r>
        <w:rPr>
          <w:rFonts w:ascii="Arial" w:cs="Arial" w:eastAsia="Arial" w:hAnsi="Arial"/>
          <w:sz w:val="18"/>
          <w:szCs w:val="18"/>
          <w:color w:val="auto"/>
        </w:rPr>
        <w:t>Today’s sophisticated hackers, motivated by financial, criminal and terrorist objectives, are exploiting the gaps left by existing network security approaches with increasingly sophisticated and evolving threats. The growing dependence on the internet has increased exposure to malicious or compromised websites. According to Mozilla Firefox, over 60% of browser-based internet traffic is encrypted. Encryption has become one of the most effective tactics used by hackers to avoid detection by existing appliances. As a result, organizations are more exposed than ever to today’s cyberattacks.</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traditional perimeter security approach is the principal reason enterprises struggle to realize the true benefits of cloud and mobility</w:t>
      </w:r>
    </w:p>
    <w:p>
      <w:pPr>
        <w:spacing w:after="0" w:line="140" w:lineRule="exact"/>
        <w:rPr>
          <w:sz w:val="20"/>
          <w:szCs w:val="20"/>
          <w:color w:val="auto"/>
        </w:rPr>
      </w:pPr>
    </w:p>
    <w:p>
      <w:pPr>
        <w:jc w:val="both"/>
        <w:ind w:left="380" w:firstLine="426"/>
        <w:spacing w:after="0" w:line="273" w:lineRule="auto"/>
        <w:rPr>
          <w:sz w:val="20"/>
          <w:szCs w:val="20"/>
          <w:color w:val="auto"/>
        </w:rPr>
      </w:pPr>
      <w:r>
        <w:rPr>
          <w:rFonts w:ascii="Arial" w:cs="Arial" w:eastAsia="Arial" w:hAnsi="Arial"/>
          <w:sz w:val="17"/>
          <w:szCs w:val="17"/>
          <w:color w:val="auto"/>
        </w:rPr>
        <w:t>When users are mobile, working remotely or in branch offices, and the applications they use are in the cloud, routing traffic back across a “hub-and-spoke” network to the data center for access and security controls provides a poor user experience. To deliver a fast user experience, traffic needs to be routed directly to the internet. Routing traffic directly to the internet, while maintaining access and security controls, may require deployment of hundreds, if not thousands, of internet gateways, which would be prohibitively expensive. Even if organizations made these investments, this would create a false sense of security as traditional appliances were designed to protect the network and are limited in their ability to detect and prevent the increasing number and diversity of sophisticated threats in the cloud.</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 new approach to security is needed</w:t>
      </w:r>
    </w:p>
    <w:p>
      <w:pPr>
        <w:spacing w:after="0" w:line="117"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adoption of cloud and mobility requires a new approach to secure users and data regardless of the network. The “castle-and-moat” security approach was effective when users, applications and devices resided on the corporate network, and the organization could be protected by securing the corporate network. However, 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76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762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enterprise applications move to the cloud, users move off the corporate network and new threat types emerge, the stacks of security appliances protecting the corporate network increasingly lose relevance and effectiveness. In a cloud-enabled and mobile-first world, security must be pervasive across the internet and capable of protecting users who directly access the cloud without connecting to a specific corporate network. Similarly, instead of the “castle-and-moat” approach where security is only applied if the user is on the network, security needs to be abstracted from the on-premises corporate network such that policies securely connect the right user to the right application regardless of device, location or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Our security cloud, which is distributed across more than 100 data centers around the world, helps organizations accelerate their IT transformation to the cloud. This enables the secure migration of applications from the corporate data center to the cloud and from a legacy “hub-and-spoke” network to a modern direct-to-cloud architecture.</w:t>
      </w:r>
    </w:p>
    <w:p>
      <w:pPr>
        <w:spacing w:after="0" w:line="181" w:lineRule="exact"/>
        <w:rPr>
          <w:sz w:val="20"/>
          <w:szCs w:val="20"/>
          <w:color w:val="auto"/>
        </w:rPr>
      </w:pPr>
    </w:p>
    <w:p>
      <w:pPr>
        <w:jc w:val="both"/>
        <w:ind w:left="380" w:firstLine="426"/>
        <w:spacing w:after="0" w:line="259" w:lineRule="auto"/>
        <w:rPr>
          <w:sz w:val="20"/>
          <w:szCs w:val="20"/>
          <w:color w:val="auto"/>
        </w:rPr>
      </w:pPr>
      <w:r>
        <w:rPr>
          <w:rFonts w:ascii="Arial" w:cs="Arial" w:eastAsia="Arial" w:hAnsi="Arial"/>
          <w:sz w:val="18"/>
          <w:szCs w:val="18"/>
          <w:color w:val="auto"/>
        </w:rPr>
        <w:t>Our approach applies policies set by an organization to securely connect the right user to the right application, regardless of the network. Unlike traditional “hub-and-spoke” architectures, where traffic is backhauled over dedicated Wide Area Networks, or WANs, to centralized gateways, our solution allows traffic to be routed locally and securely to the internet over broadband and cellular connections. We offer two principal cloud services:</w:t>
      </w:r>
    </w:p>
    <w:p>
      <w:pPr>
        <w:spacing w:after="0" w:line="92" w:lineRule="exact"/>
        <w:rPr>
          <w:sz w:val="20"/>
          <w:szCs w:val="20"/>
          <w:color w:val="auto"/>
        </w:rPr>
      </w:pPr>
    </w:p>
    <w:p>
      <w:pPr>
        <w:jc w:val="both"/>
        <w:ind w:left="1220" w:right="2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Zscaler</w:t>
      </w:r>
      <w:r>
        <w:rPr>
          <w:rFonts w:ascii="Arial" w:cs="Arial" w:eastAsia="Arial" w:hAnsi="Arial"/>
          <w:sz w:val="15"/>
          <w:szCs w:val="15"/>
          <w:color w:val="auto"/>
        </w:rPr>
        <w:t>TM</w:t>
      </w:r>
      <w:r>
        <w:rPr>
          <w:rFonts w:ascii="Arial" w:cs="Arial" w:eastAsia="Arial" w:hAnsi="Arial"/>
          <w:sz w:val="18"/>
          <w:szCs w:val="18"/>
          <w:color w:val="auto"/>
        </w:rPr>
        <w:t xml:space="preserve"> Internet Access, or ZIA</w:t>
      </w:r>
      <w:r>
        <w:rPr>
          <w:rFonts w:ascii="Arial" w:cs="Arial" w:eastAsia="Arial" w:hAnsi="Arial"/>
          <w:sz w:val="15"/>
          <w:szCs w:val="15"/>
          <w:color w:val="auto"/>
        </w:rPr>
        <w:t>TM</w:t>
      </w:r>
      <w:r>
        <w:rPr>
          <w:rFonts w:ascii="Arial" w:cs="Arial" w:eastAsia="Arial" w:hAnsi="Arial"/>
          <w:sz w:val="18"/>
          <w:szCs w:val="18"/>
          <w:color w:val="auto"/>
        </w:rPr>
        <w:t>, securely connects users to externally managed applications, including SaaS applications and internet destinations, regardless of device, location or network. Our ZIA solution sits between users and the internet and is designed to ensure malware does not reach the user and valuable corporate data does not leak out.</w:t>
      </w:r>
    </w:p>
    <w:p>
      <w:pPr>
        <w:spacing w:after="0" w:line="86" w:lineRule="exact"/>
        <w:rPr>
          <w:rFonts w:ascii="Arial" w:cs="Arial" w:eastAsia="Arial" w:hAnsi="Arial"/>
          <w:sz w:val="18"/>
          <w:szCs w:val="18"/>
          <w:color w:val="auto"/>
        </w:rPr>
      </w:pPr>
    </w:p>
    <w:p>
      <w:pPr>
        <w:jc w:val="both"/>
        <w:ind w:left="1220" w:right="20" w:hanging="415"/>
        <w:spacing w:after="0" w:line="31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Zscaler Private Access, or ZPA</w:t>
      </w:r>
      <w:r>
        <w:rPr>
          <w:rFonts w:ascii="Arial" w:cs="Arial" w:eastAsia="Arial" w:hAnsi="Arial"/>
          <w:sz w:val="13"/>
          <w:szCs w:val="13"/>
          <w:color w:val="auto"/>
        </w:rPr>
        <w:t>TM</w:t>
      </w:r>
      <w:r>
        <w:rPr>
          <w:rFonts w:ascii="Arial" w:cs="Arial" w:eastAsia="Arial" w:hAnsi="Arial"/>
          <w:sz w:val="16"/>
          <w:szCs w:val="16"/>
          <w:color w:val="auto"/>
        </w:rPr>
        <w:t>, offers authorized users secure and fast access to internally managed applications hosted in enterprise data centers or the public cloud. While traditional remote access solutions such as VPNs connect a user to the corporate network, our ZPA solution connects a specific user to a specific application, without bringing the user on the network, resulting in better security.</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Key benefits</w:t>
      </w:r>
    </w:p>
    <w:p>
      <w:pPr>
        <w:spacing w:after="0" w:line="131" w:lineRule="exact"/>
        <w:rPr>
          <w:sz w:val="20"/>
          <w:szCs w:val="20"/>
          <w:color w:val="auto"/>
        </w:rPr>
      </w:pPr>
    </w:p>
    <w:p>
      <w:pPr>
        <w:ind w:left="1220" w:right="2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user experience. </w:t>
      </w:r>
      <w:r>
        <w:rPr>
          <w:rFonts w:ascii="Arial" w:cs="Arial" w:eastAsia="Arial" w:hAnsi="Arial"/>
          <w:sz w:val="18"/>
          <w:szCs w:val="18"/>
          <w:color w:val="auto"/>
        </w:rPr>
        <w:t>With our direct-to-cloud architecture, users connect to the nearest Zscaler data center, taking the shortest path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application or internet destination, resulting in a fast user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61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616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spacing w:after="0" w:line="277" w:lineRule="auto"/>
        <w:rPr>
          <w:sz w:val="20"/>
          <w:szCs w:val="20"/>
          <w:color w:val="auto"/>
        </w:rPr>
      </w:pPr>
      <w:r>
        <w:rPr>
          <w:rFonts w:ascii="Arial" w:cs="Arial" w:eastAsia="Arial" w:hAnsi="Arial"/>
          <w:sz w:val="18"/>
          <w:szCs w:val="18"/>
          <w:color w:val="auto"/>
        </w:rPr>
        <w:t>experience. Additionally, our purpose-built network security technology applies numerous techniques to minimize processing overhead, which reduces latency as compared to appliances.</w:t>
      </w:r>
    </w:p>
    <w:p>
      <w:pPr>
        <w:spacing w:after="0" w:line="197" w:lineRule="exact"/>
        <w:rPr>
          <w:sz w:val="20"/>
          <w:szCs w:val="20"/>
          <w:color w:val="auto"/>
        </w:rPr>
      </w:pPr>
    </w:p>
    <w:p>
      <w:pPr>
        <w:jc w:val="both"/>
        <w:ind w:left="1220" w:right="20" w:hanging="415"/>
        <w:spacing w:after="0" w:line="31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Improves security and reduces business risk. </w:t>
      </w:r>
      <w:r>
        <w:rPr>
          <w:rFonts w:ascii="Arial" w:cs="Arial" w:eastAsia="Arial" w:hAnsi="Arial"/>
          <w:sz w:val="16"/>
          <w:szCs w:val="16"/>
          <w:color w:val="auto"/>
        </w:rPr>
        <w:t>Our cloud platform was designed to provide full inline inspection of internet traffic,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full SSL inspection, and performs real-time threat correlation using multiple techniques for better threat prevention. The scale of our global cloud provides us with a network effect that delivers insight into advanced and zero-day threats as they emerge.</w:t>
      </w:r>
    </w:p>
    <w:p>
      <w:pPr>
        <w:spacing w:after="0" w:line="173" w:lineRule="exact"/>
        <w:rPr>
          <w:rFonts w:ascii="Arial" w:cs="Arial" w:eastAsia="Arial" w:hAnsi="Arial"/>
          <w:sz w:val="16"/>
          <w:szCs w:val="16"/>
          <w:color w:val="auto"/>
        </w:rPr>
      </w:pPr>
    </w:p>
    <w:p>
      <w:pPr>
        <w:ind w:left="1220" w:right="2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Eliminates certain network security costs. </w:t>
      </w:r>
      <w:r>
        <w:rPr>
          <w:rFonts w:ascii="Arial" w:cs="Arial" w:eastAsia="Arial" w:hAnsi="Arial"/>
          <w:sz w:val="18"/>
          <w:szCs w:val="18"/>
          <w:color w:val="auto"/>
        </w:rPr>
        <w:t>Our solution eliminates the cost of buying and managing multiple network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appliances and reduces dedicated WAN costs for our customers.</w:t>
      </w:r>
    </w:p>
    <w:p>
      <w:pPr>
        <w:spacing w:after="0" w:line="197" w:lineRule="exact"/>
        <w:rPr>
          <w:rFonts w:ascii="Arial" w:cs="Arial" w:eastAsia="Arial" w:hAnsi="Arial"/>
          <w:sz w:val="18"/>
          <w:szCs w:val="18"/>
          <w:color w:val="auto"/>
        </w:rPr>
      </w:pPr>
    </w:p>
    <w:p>
      <w:pPr>
        <w:jc w:val="both"/>
        <w:ind w:left="1220" w:right="20" w:hanging="415"/>
        <w:spacing w:after="0" w:line="259"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Simplicity. </w:t>
      </w:r>
      <w:r>
        <w:rPr>
          <w:rFonts w:ascii="Arial" w:cs="Arial" w:eastAsia="Arial" w:hAnsi="Arial"/>
          <w:sz w:val="18"/>
          <w:szCs w:val="18"/>
          <w:color w:val="auto"/>
        </w:rPr>
        <w:t>Our solution delivers the functions of a traditional internet gateway as a cloud service. This significantly reduces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complexity and personnel required as compared to managing a traditional appliance-based security approach. In addition, we help simplify the entire enterprise network topology by minimizing the need for “hub-and-spoke” networks and related hardware infrastructure.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competitive strengths include:</w:t>
      </w:r>
    </w:p>
    <w:p>
      <w:pPr>
        <w:spacing w:after="0" w:line="131" w:lineRule="exact"/>
        <w:rPr>
          <w:sz w:val="20"/>
          <w:szCs w:val="20"/>
          <w:color w:val="auto"/>
        </w:rPr>
      </w:pPr>
    </w:p>
    <w:p>
      <w:pPr>
        <w:jc w:val="both"/>
        <w:ind w:left="1220" w:right="20" w:hanging="415"/>
        <w:spacing w:after="0" w:line="279"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Security platform purpose-built for the cloud and designed for rapid innovation. </w:t>
      </w:r>
      <w:r>
        <w:rPr>
          <w:rFonts w:ascii="Arial" w:cs="Arial" w:eastAsia="Arial" w:hAnsi="Arial"/>
          <w:sz w:val="17"/>
          <w:szCs w:val="17"/>
          <w:color w:val="auto"/>
        </w:rPr>
        <w:t>In order to achieve the performance and scalability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deliver a highly reliable and available service that sits in the data path of our customers, we developed many core technologies, including a proprietary TCP/IP stack, which are protected by over 100 issued and pending patents. Our highly differentiated multi-tenant distributed cloud security platform enables the rapid development and delivery of new offerings.</w:t>
      </w:r>
    </w:p>
    <w:p>
      <w:pPr>
        <w:spacing w:after="0" w:line="76" w:lineRule="exact"/>
        <w:rPr>
          <w:rFonts w:ascii="Arial" w:cs="Arial" w:eastAsia="Arial" w:hAnsi="Arial"/>
          <w:sz w:val="17"/>
          <w:szCs w:val="17"/>
          <w:color w:val="auto"/>
        </w:rPr>
      </w:pPr>
    </w:p>
    <w:p>
      <w:pPr>
        <w:jc w:val="both"/>
        <w:ind w:left="1220" w:right="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Pioneer and market leader for cloud security with an established brand. </w:t>
      </w:r>
      <w:r>
        <w:rPr>
          <w:rFonts w:ascii="Arial" w:cs="Arial" w:eastAsia="Arial" w:hAnsi="Arial"/>
          <w:sz w:val="18"/>
          <w:szCs w:val="18"/>
          <w:color w:val="auto"/>
        </w:rPr>
        <w:t>Zscaler is a globally recognized leader in cloud security.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we were recognized by Forrester as a leader in “The Forrester Wave</w:t>
      </w:r>
      <w:r>
        <w:rPr>
          <w:rFonts w:ascii="Arial" w:cs="Arial" w:eastAsia="Arial" w:hAnsi="Arial"/>
          <w:sz w:val="15"/>
          <w:szCs w:val="15"/>
          <w:color w:val="auto"/>
        </w:rPr>
        <w:t>TM</w:t>
      </w:r>
      <w:r>
        <w:rPr>
          <w:rFonts w:ascii="Arial" w:cs="Arial" w:eastAsia="Arial" w:hAnsi="Arial"/>
          <w:sz w:val="18"/>
          <w:szCs w:val="18"/>
          <w:color w:val="auto"/>
        </w:rPr>
        <w:t>: SaaS Web Content Security, Q2 2015” report, along with winning numerous other industry awards.</w:t>
      </w:r>
    </w:p>
    <w:p>
      <w:pPr>
        <w:spacing w:after="0" w:line="86" w:lineRule="exact"/>
        <w:rPr>
          <w:rFonts w:ascii="Arial" w:cs="Arial" w:eastAsia="Arial" w:hAnsi="Arial"/>
          <w:sz w:val="18"/>
          <w:szCs w:val="18"/>
          <w:color w:val="auto"/>
        </w:rPr>
      </w:pPr>
    </w:p>
    <w:p>
      <w:pPr>
        <w:jc w:val="both"/>
        <w:ind w:left="1220" w:right="20" w:hanging="415"/>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operational excellence as a mission critical cloud service. </w:t>
      </w:r>
      <w:r>
        <w:rPr>
          <w:rFonts w:ascii="Arial" w:cs="Arial" w:eastAsia="Arial" w:hAnsi="Arial"/>
          <w:sz w:val="18"/>
          <w:szCs w:val="18"/>
          <w:color w:val="auto"/>
        </w:rPr>
        <w:t>We have accumulated deep insights in designing and operating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available, scalable and resilient cloud infrastructure for the past nine years. Operating a service like ours requires years of experience running a globally distributed cloud that takes traffic from users across 185 countries and connects them to internet and cloud destinations with high availability and fast response times.</w:t>
      </w:r>
    </w:p>
    <w:p>
      <w:pPr>
        <w:spacing w:after="0" w:line="92" w:lineRule="exact"/>
        <w:rPr>
          <w:rFonts w:ascii="Arial" w:cs="Arial" w:eastAsia="Arial" w:hAnsi="Arial"/>
          <w:sz w:val="18"/>
          <w:szCs w:val="18"/>
          <w:color w:val="auto"/>
        </w:rPr>
      </w:pPr>
    </w:p>
    <w:p>
      <w:pPr>
        <w:jc w:val="both"/>
        <w:ind w:left="1220" w:right="20" w:hanging="415"/>
        <w:spacing w:after="0" w:line="25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Scalable go-to-market strategy driving C-level engagement. </w:t>
      </w:r>
      <w:r>
        <w:rPr>
          <w:rFonts w:ascii="Arial" w:cs="Arial" w:eastAsia="Arial" w:hAnsi="Arial"/>
          <w:sz w:val="18"/>
          <w:szCs w:val="18"/>
          <w:color w:val="auto"/>
        </w:rPr>
        <w:t>Although we have a channel sales model, we use a joint sales approach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our sales force develops relationships directly with our customers, and together with our global telecommunications service provider, system integrator and value-added reseller partners, works on account penetration, account coordination, sales and overall market strategy. We have spent many years building these deeply entrenched relationships and expect to generate increasing sales leverage from this investment.</w:t>
      </w:r>
    </w:p>
    <w:p>
      <w:pPr>
        <w:spacing w:after="0" w:line="93" w:lineRule="exact"/>
        <w:rPr>
          <w:rFonts w:ascii="Arial" w:cs="Arial" w:eastAsia="Arial" w:hAnsi="Arial"/>
          <w:sz w:val="18"/>
          <w:szCs w:val="18"/>
          <w:color w:val="auto"/>
        </w:rPr>
      </w:pPr>
    </w:p>
    <w:p>
      <w:pPr>
        <w:jc w:val="both"/>
        <w:ind w:left="1220" w:right="20" w:hanging="415"/>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and deep security expertise. </w:t>
      </w:r>
      <w:r>
        <w:rPr>
          <w:rFonts w:ascii="Arial" w:cs="Arial" w:eastAsia="Arial" w:hAnsi="Arial"/>
          <w:sz w:val="18"/>
          <w:szCs w:val="18"/>
          <w:color w:val="auto"/>
        </w:rPr>
        <w:t>Our management team has extensive cloud, network and security domain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with a proven track record of growing and running businesses at scale. Our president, chief executive officer and chairman of the board of directors, Jay Chaudhry, is a security industry pioneer and an accomplished entrepreneur, having founded and built several companies.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As applications are moving to the cloud, the corporate network is transforming from a “hub-and-spoke” to a direct-to-cloud architecture. This in turn is driving security transformation from a 30-year-old “castle-and-moat”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972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approach to a strategy that securely connects the right users to the right application regardless of the network. This creates a large opportunity to deliver cloud security services that replace traditional on-premises network security appliances and software. Our solution provides functionality that obviates the need for outbound and inbound internet gateways. The outbound internet gateway often includes URL filtering, anti-virus, content filtering, branch firewalls, advanced threat protection with sandboxing, and data loss prevention appliances. Inbound gateways typically include global load balancers, distributed denial of service, or DDoS, prevention, external firewalls, VPN concentrators and internal firewalls appliances. Based on our analysis using IDC data, $17.7 billion annually is spent on disparate security appliances to perform the functions we offer in our platform.</w:t>
      </w:r>
    </w:p>
    <w:p>
      <w:pPr>
        <w:spacing w:after="0" w:line="189"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In addition to providing better security and user experience, we offer our customers the opportunity to reduce their overall networking complexity and cost. As organizations rearchitect their traditional “hub-and-spoke” corporate networks to adopt our direct-to-cloud architecture, the reduced need for supporting networking infrastructure and bandwidth such as Multiprotocol Label Switching, or MPLS, edge routers, ATM switches, ethernet edge routers and WAN optimization increases the return on investment of our solution.</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goal is to empower organizations worldwide to realize the full potential of cloud and mobility. Key elements of our strategy include:</w:t>
      </w:r>
    </w:p>
    <w:p>
      <w:pPr>
        <w:spacing w:after="0" w:line="142" w:lineRule="exact"/>
        <w:rPr>
          <w:sz w:val="20"/>
          <w:szCs w:val="20"/>
          <w:color w:val="auto"/>
        </w:rPr>
      </w:pPr>
    </w:p>
    <w:p>
      <w:pPr>
        <w:ind w:left="1220" w:right="20" w:hanging="415"/>
        <w:spacing w:after="0" w:line="342"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win new customers. </w:t>
      </w:r>
      <w:r>
        <w:rPr>
          <w:rFonts w:ascii="Arial" w:cs="Arial" w:eastAsia="Arial" w:hAnsi="Arial"/>
          <w:sz w:val="16"/>
          <w:szCs w:val="16"/>
          <w:color w:val="auto"/>
        </w:rPr>
        <w:t>We believe that we have a significant opportunity to expand our customer base, both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internationally. We have invested significantly in our sales and marketing organization to execute against this opportunity.</w:t>
      </w:r>
    </w:p>
    <w:p>
      <w:pPr>
        <w:spacing w:after="0" w:line="29" w:lineRule="exact"/>
        <w:rPr>
          <w:rFonts w:ascii="Arial" w:cs="Arial" w:eastAsia="Arial" w:hAnsi="Arial"/>
          <w:sz w:val="16"/>
          <w:szCs w:val="16"/>
          <w:color w:val="auto"/>
        </w:rPr>
      </w:pPr>
    </w:p>
    <w:p>
      <w:pPr>
        <w:ind w:left="1220" w:right="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 existing customers. </w:t>
      </w:r>
      <w:r>
        <w:rPr>
          <w:rFonts w:ascii="Arial" w:cs="Arial" w:eastAsia="Arial" w:hAnsi="Arial"/>
          <w:sz w:val="18"/>
          <w:szCs w:val="18"/>
          <w:color w:val="auto"/>
        </w:rPr>
        <w:t>We plan to leverage a land-and-expand approach with our existing customers to sell subscriptions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users, additional suites that contain more functionality and a la carte services.</w:t>
      </w:r>
    </w:p>
    <w:p>
      <w:pPr>
        <w:spacing w:after="0" w:line="75" w:lineRule="exact"/>
        <w:rPr>
          <w:rFonts w:ascii="Arial" w:cs="Arial" w:eastAsia="Arial" w:hAnsi="Arial"/>
          <w:sz w:val="18"/>
          <w:szCs w:val="18"/>
          <w:color w:val="auto"/>
        </w:rPr>
      </w:pPr>
    </w:p>
    <w:p>
      <w:pPr>
        <w:jc w:val="both"/>
        <w:ind w:left="1220" w:right="2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channel partners to participate in cloud transformation initiatives. </w:t>
      </w:r>
      <w:r>
        <w:rPr>
          <w:rFonts w:ascii="Arial" w:cs="Arial" w:eastAsia="Arial" w:hAnsi="Arial"/>
          <w:sz w:val="18"/>
          <w:szCs w:val="18"/>
          <w:color w:val="auto"/>
        </w:rPr>
        <w:t>We have invested in establishing long-standing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global telecommunications service providers and are expanding our network of global system integrators and regional telecommunications service providers.</w:t>
      </w:r>
    </w:p>
    <w:p>
      <w:pPr>
        <w:spacing w:after="0" w:line="86" w:lineRule="exact"/>
        <w:rPr>
          <w:rFonts w:ascii="Arial" w:cs="Arial" w:eastAsia="Arial" w:hAnsi="Arial"/>
          <w:sz w:val="18"/>
          <w:szCs w:val="18"/>
          <w:color w:val="auto"/>
        </w:rPr>
      </w:pPr>
    </w:p>
    <w:p>
      <w:pPr>
        <w:ind w:left="1220" w:right="20" w:hanging="415"/>
        <w:spacing w:after="0" w:line="342" w:lineRule="auto"/>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Expansion and innovation of services. </w:t>
      </w:r>
      <w:r>
        <w:rPr>
          <w:rFonts w:ascii="Arial" w:cs="Arial" w:eastAsia="Arial" w:hAnsi="Arial"/>
          <w:sz w:val="16"/>
          <w:szCs w:val="16"/>
          <w:color w:val="auto"/>
        </w:rPr>
        <w:t>We continue to invest in research and development to add new and differentiated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existing product portfolio and improve the overall reliability, availability and scalability of our cloud security platform.</w:t>
      </w:r>
    </w:p>
    <w:p>
      <w:pPr>
        <w:spacing w:after="0" w:line="29" w:lineRule="exact"/>
        <w:rPr>
          <w:rFonts w:ascii="Arial" w:cs="Arial" w:eastAsia="Arial" w:hAnsi="Arial"/>
          <w:sz w:val="16"/>
          <w:szCs w:val="16"/>
          <w:color w:val="auto"/>
        </w:rPr>
      </w:pPr>
    </w:p>
    <w:p>
      <w:pPr>
        <w:jc w:val="both"/>
        <w:ind w:left="1220" w:right="2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 into additional market segments. </w:t>
      </w:r>
      <w:r>
        <w:rPr>
          <w:rFonts w:ascii="Arial" w:cs="Arial" w:eastAsia="Arial" w:hAnsi="Arial"/>
          <w:sz w:val="18"/>
          <w:szCs w:val="18"/>
          <w:color w:val="auto"/>
        </w:rPr>
        <w:t>We are targeting the expansion of our immediate addressable market, emphasizing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government agencies in the near- to medium-term as well as additional international markets such as Japan and the Asia Pacific region.</w:t>
      </w:r>
    </w:p>
    <w:p>
      <w:pPr>
        <w:spacing w:after="0" w:line="86"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platform to third-party developers. </w:t>
      </w:r>
      <w:r>
        <w:rPr>
          <w:rFonts w:ascii="Arial" w:cs="Arial" w:eastAsia="Arial" w:hAnsi="Arial"/>
          <w:sz w:val="18"/>
          <w:szCs w:val="18"/>
          <w:color w:val="auto"/>
        </w:rPr>
        <w:t>We intend to open our cloud security platform to third-party developers and vendors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new functionality and solutions that may target specific use cases, verticals and niche requirements.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 and Investments in Our Common Stock</w:t>
      </w:r>
    </w:p>
    <w:p>
      <w:pPr>
        <w:spacing w:after="0" w:line="121" w:lineRule="exact"/>
        <w:rPr>
          <w:sz w:val="20"/>
          <w:szCs w:val="20"/>
          <w:color w:val="auto"/>
        </w:rPr>
      </w:pPr>
    </w:p>
    <w:p>
      <w:pPr>
        <w:ind w:left="380" w:right="20" w:firstLine="426"/>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76" w:lineRule="exact"/>
        <w:rPr>
          <w:sz w:val="20"/>
          <w:szCs w:val="20"/>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sustain profitability in the future.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organizations do not adopt our cloud platform, our ability to grow our business and operating results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693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693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attract new customers, our future results of operations could be harmed.</w:t>
      </w:r>
    </w:p>
    <w:p>
      <w:pPr>
        <w:spacing w:after="0" w:line="130"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customers do not renew their subscriptions for our services and add additional users and services to their subscriptions, our future results of operations could be harmed.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and increasing competition and could lose market share to our competitors, which could adversely affect our business, financial condition and results of operations.</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could make our future results difficult to predict and could cause our operating results to fall below expectations.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delivery of our services to our customers is interrupted or delayed for any reason, our business could suffer.</w:t>
      </w:r>
    </w:p>
    <w:p>
      <w:pPr>
        <w:spacing w:after="0" w:line="130"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actual or perceived failure of our cloud platform to block malware or prevent a security breach could harm our reputation and adversely impact our business, financial condition and results of operations.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growth depend in part on the success of our relationships with our channel partners.</w:t>
      </w:r>
    </w:p>
    <w:p>
      <w:pPr>
        <w:spacing w:after="0" w:line="130" w:lineRule="exact"/>
        <w:rPr>
          <w:rFonts w:ascii="Arial" w:cs="Arial" w:eastAsia="Arial" w:hAnsi="Arial"/>
          <w:sz w:val="18"/>
          <w:szCs w:val="18"/>
          <w:color w:val="auto"/>
        </w:rPr>
      </w:pPr>
    </w:p>
    <w:p>
      <w:pPr>
        <w:jc w:val="both"/>
        <w:ind w:left="1220" w:right="2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by others that we infringe their proprietary technology or other rights, such as the lawsuits filed by Symantec Corporation, or other lawsuits asserted against us, could result in significant costs and substantially harm our business, financial condition, results of operations and prospects.</w:t>
      </w:r>
    </w:p>
    <w:p>
      <w:pPr>
        <w:spacing w:after="0" w:line="86"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were incorporated in Delaware in September 2007 as SafeChannel, Inc., and in August 2008 we changed our name to Zscaler, Inc. Our principal executive offices are located at 110 Rose Orchard Way, San Jose, California 95134, and our telephone number is (408) 533-0288. Our website address is www.zscaler.com. Information contained on, or that can be accessed through, our website does not constitute part of this prospectus and inclusions of our website address in this prospectus are inactive textual references only.</w:t>
      </w:r>
    </w:p>
    <w:p>
      <w:pPr>
        <w:spacing w:after="0" w:line="17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Zscaler design logo, “Zscaler” and our other registered or common law trademarks, service marks or trade names appearing in this prospectus are the property of Zscaler, Inc. Other trademarks and trade names referred to in this prospectus are the property of their respective owners.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87" w:lineRule="exact"/>
        <w:rPr>
          <w:sz w:val="20"/>
          <w:szCs w:val="20"/>
          <w:color w:val="auto"/>
        </w:rPr>
      </w:pPr>
    </w:p>
    <w:p>
      <w:pPr>
        <w:ind w:left="1220" w:right="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to present only two years of audited financial statements and only two years of related management’s discussion and analysis in this prospectus;</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controls over financial reporting;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30"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shareholder approval of any golden parachute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2062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2062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to occur of: (i) the first fiscal year following the fifth anniversary of our initial public offering; (ii) the first fiscal year after our annual gross revenue is $1.07 billion or more; (iii) the date on which we have, during the previous three-year period, issued more than $1.0 billion in non-convertible debt securities; or (iv) as of the end of any fiscal year in which the market value of our common stock held by non-affiliates exceeded $700.0 million as of the end of the second quarter of that fiscal year.</w:t>
      </w:r>
    </w:p>
    <w:p>
      <w:pPr>
        <w:spacing w:after="0" w:line="171" w:lineRule="exact"/>
        <w:rPr>
          <w:sz w:val="20"/>
          <w:szCs w:val="20"/>
          <w:color w:val="auto"/>
        </w:rPr>
      </w:pPr>
    </w:p>
    <w:p>
      <w:pPr>
        <w:jc w:val="both"/>
        <w:ind w:left="380" w:firstLine="426"/>
        <w:spacing w:after="0" w:line="259" w:lineRule="auto"/>
        <w:rPr>
          <w:sz w:val="20"/>
          <w:szCs w:val="20"/>
          <w:color w:val="auto"/>
        </w:rPr>
      </w:pPr>
      <w:r>
        <w:rPr>
          <w:rFonts w:ascii="Arial" w:cs="Arial" w:eastAsia="Arial" w:hAnsi="Arial"/>
          <w:sz w:val="18"/>
          <w:szCs w:val="18"/>
          <w:color w:val="auto"/>
        </w:rPr>
        <w:t>We may choose to take advantage of some, but not all, of the available benefits under the JOBS Act. We are choosing to irrevocably “opt out” of the extended transition periods available under the JOBS Act for complying with new or revised accounting standards, but we intend to take advantage of the other exemptions discussed above. Accordingly, the information contained herein may be different than the information you receive from other public companies in which you hold stock.</w:t>
      </w:r>
    </w:p>
    <w:p>
      <w:pPr>
        <w:spacing w:after="0" w:line="187"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See the section titled “Risk Factors—Risks Related to the Offering and Ownership of Our Common Stock—We are an ‘emerging growth company’ and we cannot be certain if the reduced disclosure requirements applicable to emerging growth companies will make our common stock less attractive to investors for certain risks related to our status as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tbl>
      <w:tblPr>
        <w:tblLayout w:type="fixed"/>
        <w:tblInd w:w="210" w:type="dxa"/>
        <w:tblCellMar>
          <w:top w:w="0" w:type="dxa"/>
          <w:left w:w="0" w:type="dxa"/>
          <w:bottom w:w="0" w:type="dxa"/>
          <w:right w:w="0" w:type="dxa"/>
        </w:tblCellMar>
      </w:tblPr>
      <w:tr>
        <w:trPr>
          <w:trHeight w:val="395"/>
        </w:trPr>
        <w:tc>
          <w:tcPr>
            <w:tcW w:w="4140" w:type="dxa"/>
            <w:vAlign w:val="bottom"/>
            <w:tcBorders>
              <w:top w:val="single" w:sz="8" w:color="auto"/>
              <w:left w:val="single" w:sz="8" w:color="auto"/>
            </w:tcBorders>
          </w:tcPr>
          <w:p>
            <w:pPr>
              <w:spacing w:after="0"/>
              <w:rPr>
                <w:sz w:val="24"/>
                <w:szCs w:val="24"/>
                <w:color w:val="auto"/>
              </w:rPr>
            </w:pPr>
          </w:p>
        </w:tc>
        <w:tc>
          <w:tcPr>
            <w:tcW w:w="690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The Offering</w:t>
            </w:r>
          </w:p>
        </w:tc>
      </w:tr>
      <w:tr>
        <w:trPr>
          <w:trHeight w:val="527"/>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12,000,000 shares</w:t>
            </w:r>
          </w:p>
        </w:tc>
      </w:tr>
      <w:tr>
        <w:trPr>
          <w:trHeight w:val="284"/>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Underwriters’ over-allotment option</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1,800,000 shares</w:t>
            </w:r>
          </w:p>
        </w:tc>
      </w:tr>
      <w:tr>
        <w:trPr>
          <w:trHeight w:val="26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to be outstanding after this</w:t>
            </w:r>
          </w:p>
        </w:tc>
        <w:tc>
          <w:tcPr>
            <w:tcW w:w="6900" w:type="dxa"/>
            <w:vAlign w:val="bottom"/>
            <w:tcBorders>
              <w:right w:val="single" w:sz="8" w:color="auto"/>
            </w:tcBorders>
          </w:tcPr>
          <w:p>
            <w:pPr>
              <w:spacing w:after="0"/>
              <w:rPr>
                <w:sz w:val="23"/>
                <w:szCs w:val="23"/>
                <w:color w:val="auto"/>
              </w:rPr>
            </w:pPr>
          </w:p>
        </w:tc>
      </w:tr>
      <w:tr>
        <w:trPr>
          <w:trHeight w:val="216"/>
        </w:trPr>
        <w:tc>
          <w:tcPr>
            <w:tcW w:w="41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offering</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3"/>
              </w:rPr>
              <w:t>117,331,507 shares (119,131,507 shares, if the underwriters exercise</w:t>
            </w:r>
          </w:p>
        </w:tc>
      </w:tr>
      <w:tr>
        <w:trPr>
          <w:trHeight w:val="230"/>
        </w:trPr>
        <w:tc>
          <w:tcPr>
            <w:tcW w:w="41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their over-allotment option in full)</w:t>
            </w:r>
          </w:p>
        </w:tc>
      </w:tr>
      <w:tr>
        <w:trPr>
          <w:trHeight w:val="26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We estimate that the net proceeds from the sale of shares of our</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common stock in this offering will be approximately $150.7 million</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(or approximately $174.2 million if the underwriters exercise their</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over-allotment option in full), based upon the assumed initial public</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offering price of $14.00 per share, which is the midpoint of the</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estimated offering price range set forth on the cover page of this</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3"/>
              </w:rPr>
              <w:t>prospectus, and after deducting the estimated underwriting discounts</w:t>
            </w:r>
          </w:p>
        </w:tc>
      </w:tr>
      <w:tr>
        <w:trPr>
          <w:trHeight w:val="230"/>
        </w:trPr>
        <w:tc>
          <w:tcPr>
            <w:tcW w:w="41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and commissions and estimated offering expenses payable by us.</w:t>
            </w:r>
          </w:p>
        </w:tc>
      </w:tr>
      <w:tr>
        <w:trPr>
          <w:trHeight w:val="269"/>
        </w:trPr>
        <w:tc>
          <w:tcPr>
            <w:tcW w:w="4140" w:type="dxa"/>
            <w:vAlign w:val="bottom"/>
            <w:tcBorders>
              <w:left w:val="single" w:sz="8" w:color="auto"/>
            </w:tcBorders>
          </w:tcPr>
          <w:p>
            <w:pPr>
              <w:spacing w:after="0"/>
              <w:rPr>
                <w:sz w:val="23"/>
                <w:szCs w:val="23"/>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We intend to use the net proceeds we receive from this offering for</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general corporate purposes, including working capital, sales and</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marketing  activities,  research  and  development,  general  and</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4"/>
              </w:rPr>
              <w:t>administrative matters, and capital expenditures, although we do not</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currently have any specific or preliminary plans with respect to the</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use of proceeds for such purposes. In addition, we may also use a</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portion of the net proceeds for the acquisition of, or investment in,</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4"/>
              </w:rPr>
              <w:t>technologies, solutions, products or businesses that complement our</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4"/>
              </w:rPr>
              <w:t>business, although we have no present commitments or agreements</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to enter into any acquisitions or investments. See the section titled</w:t>
            </w:r>
          </w:p>
        </w:tc>
      </w:tr>
      <w:tr>
        <w:trPr>
          <w:trHeight w:val="230"/>
        </w:trPr>
        <w:tc>
          <w:tcPr>
            <w:tcW w:w="41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“Use of Proceeds” for additional information.</w:t>
            </w:r>
          </w:p>
        </w:tc>
      </w:tr>
      <w:tr>
        <w:trPr>
          <w:trHeight w:val="26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Concentration of ownership</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Upon  the  completion  of  this  offering,  our  executive  officers,</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directors, current 5% or greater stockholders and affiliated entities</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will together beneficially own approximately 61.8% of our common</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stock outstanding after this offering (or 60.9% if the underwriters</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exercise their over-allotment option in full), with Jay Chaudhry, our</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president, chief executive officer and chairman of our board of</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directors,  and  affiliates  of  Mr.  Chaudhry  beneficially  owning</w:t>
            </w:r>
          </w:p>
        </w:tc>
      </w:tr>
      <w:tr>
        <w:trPr>
          <w:trHeight w:val="216"/>
        </w:trPr>
        <w:tc>
          <w:tcPr>
            <w:tcW w:w="41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approximately 22.9% (or 22.5% if the underwriters exercise their</w:t>
            </w:r>
          </w:p>
        </w:tc>
      </w:tr>
      <w:tr>
        <w:trPr>
          <w:trHeight w:val="230"/>
        </w:trPr>
        <w:tc>
          <w:tcPr>
            <w:tcW w:w="41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over-allotment option in full) of our common stock.</w:t>
            </w:r>
          </w:p>
        </w:tc>
      </w:tr>
      <w:tr>
        <w:trPr>
          <w:trHeight w:val="284"/>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trading symbol</w:t>
            </w:r>
          </w:p>
        </w:tc>
        <w:tc>
          <w:tcPr>
            <w:tcW w:w="690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“ZS”</w:t>
            </w:r>
          </w:p>
        </w:tc>
      </w:tr>
      <w:tr>
        <w:trPr>
          <w:trHeight w:val="240"/>
        </w:trPr>
        <w:tc>
          <w:tcPr>
            <w:tcW w:w="4140" w:type="dxa"/>
            <w:vAlign w:val="bottom"/>
            <w:tcBorders>
              <w:left w:val="single" w:sz="8" w:color="auto"/>
              <w:bottom w:val="single" w:sz="8" w:color="auto"/>
            </w:tcBorders>
          </w:tcPr>
          <w:p>
            <w:pPr>
              <w:spacing w:after="0"/>
              <w:rPr>
                <w:sz w:val="20"/>
                <w:szCs w:val="20"/>
                <w:color w:val="auto"/>
              </w:rPr>
            </w:pPr>
          </w:p>
        </w:tc>
        <w:tc>
          <w:tcPr>
            <w:tcW w:w="6900" w:type="dxa"/>
            <w:vAlign w:val="bottom"/>
            <w:tcBorders>
              <w:bottom w:val="single" w:sz="8" w:color="auto"/>
              <w:right w:val="single" w:sz="8" w:color="auto"/>
            </w:tcBorders>
          </w:tcPr>
          <w:p>
            <w:pPr>
              <w:spacing w:after="0"/>
              <w:rPr>
                <w:sz w:val="20"/>
                <w:szCs w:val="20"/>
                <w:color w:val="auto"/>
              </w:rPr>
            </w:pPr>
          </w:p>
        </w:tc>
      </w:tr>
      <w:tr>
        <w:trPr>
          <w:trHeight w:val="604"/>
        </w:trPr>
        <w:tc>
          <w:tcPr>
            <w:tcW w:w="4140" w:type="dxa"/>
            <w:vAlign w:val="bottom"/>
          </w:tcPr>
          <w:p>
            <w:pPr>
              <w:spacing w:after="0"/>
              <w:rPr>
                <w:sz w:val="24"/>
                <w:szCs w:val="24"/>
                <w:color w:val="auto"/>
              </w:rPr>
            </w:pPr>
          </w:p>
        </w:tc>
        <w:tc>
          <w:tcPr>
            <w:tcW w:w="6900" w:type="dxa"/>
            <w:vAlign w:val="bottom"/>
          </w:tcPr>
          <w:p>
            <w:pPr>
              <w:ind w:left="13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287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5287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firstLine="426"/>
        <w:spacing w:after="0" w:line="271" w:lineRule="auto"/>
        <w:rPr>
          <w:sz w:val="20"/>
          <w:szCs w:val="20"/>
          <w:color w:val="auto"/>
        </w:rPr>
      </w:pPr>
      <w:r>
        <w:rPr>
          <w:rFonts w:ascii="Arial" w:cs="Arial" w:eastAsia="Arial" w:hAnsi="Arial"/>
          <w:sz w:val="17"/>
          <w:szCs w:val="17"/>
          <w:color w:val="auto"/>
        </w:rPr>
        <w:t>Certain entities associated with Charles Giancarlo, Lane Bess, Scott Darling and Karen Blasing, each a member of our board of directors, have indicated an interest in purchasing up to an aggregate of approximately $5.0 million of shares of our common stock in this offering (or an aggregate of 357,142 shares based on the midpoint of the estimated offering price range set forth on the cover page of this prospectus) at the initial public offering price. Because these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 underwriters will receive the same discount from any shares sold to these existing stockholders as they will from any other shares sold to the public in this offering. Any shares purchased by such stockholders will be subject to lock-up restrictions described in the section entitled “Shares Eligible for Future Sale.”</w:t>
      </w:r>
    </w:p>
    <w:p>
      <w:pPr>
        <w:spacing w:after="0" w:line="179" w:lineRule="exact"/>
        <w:rPr>
          <w:sz w:val="20"/>
          <w:szCs w:val="20"/>
          <w:color w:val="auto"/>
        </w:rPr>
      </w:pPr>
    </w:p>
    <w:p>
      <w:pPr>
        <w:jc w:val="both"/>
        <w:ind w:left="380" w:firstLine="426"/>
        <w:spacing w:after="0" w:line="308" w:lineRule="auto"/>
        <w:rPr>
          <w:sz w:val="20"/>
          <w:szCs w:val="20"/>
          <w:color w:val="auto"/>
        </w:rPr>
      </w:pPr>
      <w:r>
        <w:rPr>
          <w:rFonts w:ascii="Arial" w:cs="Arial" w:eastAsia="Arial" w:hAnsi="Arial"/>
          <w:sz w:val="17"/>
          <w:szCs w:val="17"/>
          <w:color w:val="auto"/>
        </w:rPr>
        <w:t>The number of shares of our common stock that will be outstanding after this offering is based on 105,331,507 shares of our common stock (including shares of our convertible preferred stock on an as-converted basis) outstanding as of January 31, 2018, and excludes:</w:t>
      </w:r>
    </w:p>
    <w:p>
      <w:pPr>
        <w:spacing w:after="0" w:line="52" w:lineRule="exact"/>
        <w:rPr>
          <w:sz w:val="20"/>
          <w:szCs w:val="20"/>
          <w:color w:val="auto"/>
        </w:rPr>
      </w:pPr>
    </w:p>
    <w:p>
      <w:pPr>
        <w:ind w:left="1220" w:right="20" w:hanging="415"/>
        <w:spacing w:after="0" w:line="308" w:lineRule="auto"/>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14,949,423 shares of our common stock issuable upon the exercise of options to purchase shares of our common stock under our equity incentive plans that were outstanding as of January 31, 2018, with a weighted-average exercise price of $5.06 per share;</w:t>
      </w:r>
    </w:p>
    <w:p>
      <w:pPr>
        <w:spacing w:after="0" w:line="51" w:lineRule="exact"/>
        <w:rPr>
          <w:rFonts w:ascii="Arial" w:cs="Arial" w:eastAsia="Arial" w:hAnsi="Arial"/>
          <w:sz w:val="17"/>
          <w:szCs w:val="17"/>
          <w:color w:val="auto"/>
        </w:rPr>
      </w:pPr>
    </w:p>
    <w:p>
      <w:pPr>
        <w:ind w:left="1220" w:right="20" w:hanging="415"/>
        <w:spacing w:after="0" w:line="308" w:lineRule="auto"/>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2,965,890 shares of our common stock issuable upon the exercise of options to purchase shares of our common stock under our equity incentive plans that were granted after January 31, 2018, with a weighted-average exercise price of $11.00 per share; and</w:t>
      </w:r>
    </w:p>
    <w:p>
      <w:pPr>
        <w:spacing w:after="0" w:line="51" w:lineRule="exact"/>
        <w:rPr>
          <w:rFonts w:ascii="Arial" w:cs="Arial" w:eastAsia="Arial" w:hAnsi="Arial"/>
          <w:sz w:val="17"/>
          <w:szCs w:val="17"/>
          <w:color w:val="auto"/>
        </w:rPr>
      </w:pPr>
    </w:p>
    <w:p>
      <w:pPr>
        <w:jc w:val="both"/>
        <w:ind w:left="1220" w:right="20" w:hanging="415"/>
        <w:spacing w:after="0" w:line="264"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12,700,000 shares of common stock reserved for future issuance under our Fiscal Year 2018 Equity Incentive Plan, or our 2018 Plan, and 2,200,000 shares of common stock reserved for future issuance under our Fiscal Year 2018 Employee Stock Purchase Plan, or our ESPP.</w:t>
      </w:r>
    </w:p>
    <w:p>
      <w:pPr>
        <w:spacing w:after="0" w:line="181" w:lineRule="exact"/>
        <w:rPr>
          <w:sz w:val="20"/>
          <w:szCs w:val="20"/>
          <w:color w:val="auto"/>
        </w:rPr>
      </w:pPr>
    </w:p>
    <w:p>
      <w:pPr>
        <w:jc w:val="both"/>
        <w:ind w:left="380" w:firstLine="426"/>
        <w:spacing w:after="0" w:line="259" w:lineRule="auto"/>
        <w:rPr>
          <w:sz w:val="20"/>
          <w:szCs w:val="20"/>
          <w:color w:val="auto"/>
        </w:rPr>
      </w:pPr>
      <w:r>
        <w:rPr>
          <w:rFonts w:ascii="Arial" w:cs="Arial" w:eastAsia="Arial" w:hAnsi="Arial"/>
          <w:sz w:val="18"/>
          <w:szCs w:val="18"/>
          <w:color w:val="auto"/>
        </w:rPr>
        <w:t>Our 2018 Plan and our ESPP each provide for annual automatic increases in the number of shares reserved thereunder, and our 2018 Plan also provides for increases to the number of shares of common stock that may be granted thereunder based on shares underlying any awards under our 2007 Stock Plan, or the 2007 Plan, that expire, are forfeited or are otherwise terminated, as more fully described in the section titled “Executive Compensation—Employee Benefit and Stock Plans.”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31" w:lineRule="exact"/>
        <w:rPr>
          <w:sz w:val="20"/>
          <w:szCs w:val="20"/>
          <w:color w:val="auto"/>
        </w:rPr>
      </w:pPr>
    </w:p>
    <w:p>
      <w:pPr>
        <w:ind w:left="1220" w:right="20" w:hanging="415"/>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January 31, 2018 into an aggregate of 72,500,750 shares of our common stock, which will occur immediately prior to the completion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options subsequent to January 31, 2018;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2-for-3 reverse split of our common stock effected on March 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1788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1788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jc w:val="both"/>
        <w:ind w:left="380" w:firstLine="426"/>
        <w:spacing w:after="0" w:line="289" w:lineRule="auto"/>
        <w:rPr>
          <w:sz w:val="20"/>
          <w:szCs w:val="20"/>
          <w:color w:val="auto"/>
        </w:rPr>
      </w:pPr>
      <w:r>
        <w:rPr>
          <w:rFonts w:ascii="Arial" w:cs="Arial" w:eastAsia="Arial" w:hAnsi="Arial"/>
          <w:sz w:val="16"/>
          <w:szCs w:val="16"/>
          <w:color w:val="auto"/>
        </w:rPr>
        <w:t>The following table summarizes our consolidated financial and other data. The summary consolidated statements of operations data presented below for fiscal 2015, 2016 and 2017 (except for the pro forma share and pro forma net loss per share information) is derived from our audited consolidated financial statements that are included elsewhere in this prospectus. The summary consolidated statements of operations data presented below for the six months ended January 31, 2017 and 2018 and the consolidated balance sheet data as of January 31, 2018 are derived from our unaudited interim consolidated financial statements that are included elsewhere in this prospectus. In management’s opinion, the unaudited interim consolidated financial statements include all adjustments necessary to state fairly our financial position as of January 31, 2018 and the results of operations and cash flows for the six months ended January 31, 2017 and 2018. Our historical results are not necessarily indicative of the results that may be expected in the future and our results for the six months ended January 31, 2018 are not necessarily indicative of the results that may be expected for the full fiscal year ending July 31, 2018 or any other period.</w:t>
      </w: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144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You should read this data together with our consolidated financial statements and related notes included elsewhere in this prospectus and the sections titled “Selected Consolidated Financial and Other Data” and “Management’s Discussion and Analysis of Financial Condition and Results of Operations.”</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w w:val="99"/>
              </w:rPr>
              <w:t>Year Ended July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January 31,</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8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6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Consolidated Statements of Operations Data:</w:t>
            </w:r>
          </w:p>
        </w:tc>
        <w:tc>
          <w:tcPr>
            <w:tcW w:w="1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53,707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80,325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125,717</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  56,209</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84,837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27,472</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12,441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4"/>
          </w:tcPr>
          <w:p>
            <w:pPr>
              <w:ind w:left="3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8"/>
                <w:szCs w:val="18"/>
                <w:color w:val="auto"/>
                <w:w w:val="83"/>
              </w:rPr>
              <w:t>39,276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60,198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98,245</w:t>
            </w: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43,768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67,887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32,191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56,702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79,236</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34,912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54,038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33,561</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17,174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4,469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9,399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20,521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6,140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13,533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51,694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87,041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133,318</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58,226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(12,418)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(26,843)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(35,073)</w:t>
            </w:r>
          </w:p>
        </w:tc>
        <w:tc>
          <w:tcPr>
            <w:tcW w:w="36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(14,458)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(17,676)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(12,599)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(26,970)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(34,583)</w:t>
            </w:r>
          </w:p>
        </w:tc>
        <w:tc>
          <w:tcPr>
            <w:tcW w:w="36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(14,262)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(17,267)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(12,832)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(27,438)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(35,460)</w:t>
            </w: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(17,913)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auto"/>
              </w:rPr>
              <w:t>Accretion of Series C and D redeemable convertible preferred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(147)</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(9,570)</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(4,733)</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(12,979)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(36,086)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(45,030)</w:t>
            </w: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(23,022)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 basic and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(0.68)</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4"/>
          </w:tcPr>
          <w:p>
            <w:pPr>
              <w:ind w:left="180"/>
              <w:spacing w:after="0"/>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23,519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26,521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29,221</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28,533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31,125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4"/>
            <w:vMerge w:val="restart"/>
          </w:tcPr>
          <w:p>
            <w:pPr>
              <w:spacing w:after="0"/>
              <w:rPr>
                <w:sz w:val="20"/>
                <w:szCs w:val="20"/>
                <w:color w:val="auto"/>
              </w:rPr>
            </w:pPr>
            <w:r>
              <w:rPr>
                <w:rFonts w:ascii="Arial" w:cs="Arial" w:eastAsia="Arial" w:hAnsi="Arial"/>
                <w:sz w:val="18"/>
                <w:szCs w:val="18"/>
                <w:color w:val="auto"/>
                <w:w w:val="96"/>
              </w:rPr>
              <w:t>Weighted-average shares used in computing pro forma net loss per</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4"/>
          </w:tcPr>
          <w:p>
            <w:pPr>
              <w:ind w:left="180"/>
              <w:spacing w:after="0"/>
              <w:rPr>
                <w:sz w:val="20"/>
                <w:szCs w:val="20"/>
                <w:color w:val="auto"/>
              </w:rPr>
            </w:pPr>
            <w:r>
              <w:rPr>
                <w:rFonts w:ascii="Arial" w:cs="Arial" w:eastAsia="Arial" w:hAnsi="Arial"/>
                <w:sz w:val="18"/>
                <w:szCs w:val="18"/>
                <w:color w:val="auto"/>
              </w:rPr>
              <w:t>share, basic and diluted</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101,722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103,626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00" w:type="dxa"/>
            <w:vAlign w:val="bottom"/>
            <w:gridSpan w:val="5"/>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2,794</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5,574</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60" w:type="dxa"/>
            <w:vAlign w:val="bottom"/>
            <w:gridSpan w:val="3"/>
          </w:tcPr>
          <w:p>
            <w:pPr>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76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9,919</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3,797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3648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700" w:hanging="314"/>
        <w:spacing w:after="0" w:line="238" w:lineRule="auto"/>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9 to our consolidated financial statements elsewhere in this prospectus for an explanation of the method used to calculate our basic and diluted net loss per share attributable to common stockholders, our basic and diluted pro forma net loss per share and the weighted-average number of shares used in the computation of the per share amounts.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January 31, 2018</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Actual</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9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Consolidated Balance Sheet Data:</w:t>
            </w:r>
          </w:p>
        </w:tc>
        <w:tc>
          <w:tcPr>
            <w:tcW w:w="4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71,569</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71,569</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222,309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1,758</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1,758</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188,172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188,172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338,912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119,257</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119,257</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206,086</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(180,367)</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(180,367)</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(167,058)</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39,028</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189,768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00" w:hanging="314"/>
        <w:spacing w:after="0" w:line="230" w:lineRule="auto"/>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column reflects the automatic conversion of all outstanding shares of our convertible preferred stock into 72,500,750 shares of common stock immediately prior to the completion of this offering.</w:t>
      </w:r>
    </w:p>
    <w:p>
      <w:pPr>
        <w:jc w:val="both"/>
        <w:ind w:left="700" w:hanging="314"/>
        <w:spacing w:after="0" w:line="221" w:lineRule="auto"/>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as adjusted column further reflects the receipt of $150.7 million in net proceeds from our sale of shares of common stock in this offering at an assumed initial public offering price of $14.00 per share, the midpoint of the price range set forth on the cover page of this prospectus, after deducting the estimated underwriting discounts and commissions and estimated offering expenses payable by us.</w:t>
      </w:r>
    </w:p>
    <w:p>
      <w:pPr>
        <w:jc w:val="both"/>
        <w:ind w:left="700" w:hanging="314"/>
        <w:spacing w:after="0" w:line="221" w:lineRule="auto"/>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$14.00 per share, the midpoint of the price range set forth on the cover page of this prospectus, would increase or decrease, respectively, the amount of cash and cash equivalents, working capital, total assets and total stockholders’ (deficit) equity by $11.2 million, assuming the number of shares offered by us, as set forth on the cover page of this prospectus, remains the same and after deducting the estimated underwriting discounts and commissions. We may also increase or decrease the number of shares we are offering. An increase or decrease of 1.0 million in the number of shares we are offering would increase or decrease, respectively, the amount of cash and cash equivalents, working capital, total assets and total stockholders’ (deficit) equity by approximately $13.0 million, assuming the initial public offering price of $14.00 per share, the midpoint of the price range set forth on the cover page of this prospectus,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2" w:lineRule="exact"/>
        <w:rPr>
          <w:rFonts w:ascii="Arial" w:cs="Arial" w:eastAsia="Arial" w:hAnsi="Arial"/>
          <w:sz w:val="14"/>
          <w:szCs w:val="14"/>
          <w:color w:val="auto"/>
        </w:rPr>
      </w:pPr>
    </w:p>
    <w:p>
      <w:pPr>
        <w:ind w:left="700" w:hanging="314"/>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466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Non-GAAP Financial Measures and Key Business Metrics</w:t>
      </w:r>
    </w:p>
    <w:p>
      <w:pPr>
        <w:spacing w:after="0" w:line="121" w:lineRule="exact"/>
        <w:rPr>
          <w:sz w:val="20"/>
          <w:szCs w:val="20"/>
          <w:color w:val="auto"/>
        </w:rPr>
      </w:pPr>
    </w:p>
    <w:p>
      <w:pPr>
        <w:jc w:val="both"/>
        <w:ind w:left="380" w:firstLine="426"/>
        <w:spacing w:after="0" w:line="342" w:lineRule="auto"/>
        <w:rPr>
          <w:sz w:val="20"/>
          <w:szCs w:val="20"/>
          <w:color w:val="auto"/>
        </w:rPr>
      </w:pPr>
      <w:r>
        <w:rPr>
          <w:rFonts w:ascii="Arial" w:cs="Arial" w:eastAsia="Arial" w:hAnsi="Arial"/>
          <w:sz w:val="16"/>
          <w:szCs w:val="16"/>
          <w:color w:val="auto"/>
        </w:rPr>
        <w:t>Refer to the section titled “Selected Consolidated Financial and Other Data—Non-GAAP Financial Measures” for additional information and a reconciliation of our non-GAAP financial measures to the most directly comparable financial measures stated in accordance with U.S. GAAP.</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2"/>
              </w:rPr>
              <w:t>Six Months Ended January 31,</w:t>
            </w:r>
          </w:p>
        </w:tc>
      </w:tr>
      <w:tr>
        <w:trPr>
          <w:trHeight w:val="142"/>
        </w:trPr>
        <w:tc>
          <w:tcPr>
            <w:tcW w:w="4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39,276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60,198</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8"/>
              </w:rPr>
              <w:t>43,768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67,887</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39,392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60,387</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98,593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w w:val="98"/>
              </w:rPr>
              <w:t>43,907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68,122</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18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5"/>
              </w:rPr>
              <w:t>(26,843)</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(14,458)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(17,676)</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(10,857)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1"/>
              <w:spacing w:after="0"/>
              <w:rPr>
                <w:sz w:val="20"/>
                <w:szCs w:val="20"/>
                <w:color w:val="auto"/>
              </w:rPr>
            </w:pPr>
            <w:r>
              <w:rPr>
                <w:rFonts w:ascii="Arial" w:cs="Arial" w:eastAsia="Arial" w:hAnsi="Arial"/>
                <w:sz w:val="18"/>
                <w:szCs w:val="18"/>
                <w:color w:val="auto"/>
                <w:w w:val="95"/>
              </w:rPr>
              <w:t>(23,226)</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(19,327)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(7,188)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(10,103)</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1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5"/>
              </w:rPr>
              <w:t>(11,916)</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(2,554)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(5,468)</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1"/>
              <w:spacing w:after="0"/>
              <w:rPr>
                <w:sz w:val="20"/>
                <w:szCs w:val="20"/>
                <w:color w:val="auto"/>
              </w:rPr>
            </w:pPr>
            <w:r>
              <w:rPr>
                <w:rFonts w:ascii="Arial" w:cs="Arial" w:eastAsia="Arial" w:hAnsi="Arial"/>
                <w:sz w:val="18"/>
                <w:szCs w:val="18"/>
                <w:color w:val="auto"/>
              </w:rPr>
              <w:t>(6,647)</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(4,413)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(7,995)</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85,615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27,563</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1,381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(2,946)</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(9,984)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1"/>
              <w:spacing w:after="0"/>
              <w:rPr>
                <w:sz w:val="20"/>
                <w:szCs w:val="20"/>
                <w:color w:val="auto"/>
              </w:rPr>
            </w:pPr>
            <w:r>
              <w:rPr>
                <w:rFonts w:ascii="Arial" w:cs="Arial" w:eastAsia="Arial" w:hAnsi="Arial"/>
                <w:sz w:val="18"/>
                <w:szCs w:val="18"/>
                <w:color w:val="auto"/>
                <w:w w:val="95"/>
              </w:rPr>
              <w:t>(18,163)</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(14,193)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(6,967)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(13,463)</w:t>
            </w:r>
          </w:p>
        </w:tc>
      </w:tr>
      <w:tr>
        <w:trPr>
          <w:trHeight w:val="202"/>
        </w:trPr>
        <w:tc>
          <w:tcPr>
            <w:tcW w:w="4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cash used in operating activities as a percentage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revenue</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180" w:type="dxa"/>
            <w:vAlign w:val="bottom"/>
          </w:tcPr>
          <w:p>
            <w:pPr>
              <w:spacing w:after="0"/>
              <w:rPr>
                <w:sz w:val="20"/>
                <w:szCs w:val="20"/>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6"/>
          <w:szCs w:val="16"/>
          <w:color w:val="auto"/>
        </w:rPr>
        <w:t>In addition to our results determined in accordance with U.S.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U.S. GAAP. In particular, free cash flow is not a substitute for cash used in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in “Selected Consolidated Financial and Other Data—Non-GAAP Financial Measures” for each non-GAAP financial measure to the most directly comparable financial measure stated in accordance with U.S.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6058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17" w:lineRule="exact"/>
        <w:rPr>
          <w:sz w:val="20"/>
          <w:szCs w:val="20"/>
          <w:color w:val="auto"/>
        </w:rPr>
      </w:pPr>
    </w:p>
    <w:p>
      <w:pPr>
        <w:jc w:val="both"/>
        <w:ind w:left="380" w:firstLine="426"/>
        <w:spacing w:after="0" w:line="277" w:lineRule="auto"/>
        <w:rPr>
          <w:sz w:val="20"/>
          <w:szCs w:val="20"/>
          <w:color w:val="auto"/>
        </w:rPr>
      </w:pPr>
      <w:r>
        <w:rPr>
          <w:rFonts w:ascii="Arial" w:cs="Arial" w:eastAsia="Arial" w:hAnsi="Arial"/>
          <w:sz w:val="18"/>
          <w:szCs w:val="18"/>
          <w:color w:val="auto"/>
        </w:rPr>
        <w:t>We define non-GAAP gross profit and non-GAAP gross margin as GAAP gross profit and GAAP gross margin, respectively, excluding stock-based compensation expense.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117" w:lineRule="exact"/>
        <w:rPr>
          <w:sz w:val="20"/>
          <w:szCs w:val="20"/>
          <w:color w:val="auto"/>
        </w:rPr>
      </w:pPr>
    </w:p>
    <w:p>
      <w:pPr>
        <w:jc w:val="both"/>
        <w:ind w:left="380" w:firstLine="426"/>
        <w:spacing w:after="0" w:line="254" w:lineRule="auto"/>
        <w:rPr>
          <w:sz w:val="20"/>
          <w:szCs w:val="20"/>
          <w:color w:val="auto"/>
        </w:rPr>
      </w:pPr>
      <w:r>
        <w:rPr>
          <w:rFonts w:ascii="Arial" w:cs="Arial" w:eastAsia="Arial" w:hAnsi="Arial"/>
          <w:sz w:val="18"/>
          <w:szCs w:val="18"/>
          <w:color w:val="auto"/>
        </w:rPr>
        <w:t>We define non-GAAP loss from operations and non-GAAP operating margin as GAAP loss from operations and GAAP operating margin, respectively, excluding stock-based compensation expense and certain litigation-related expenses. These excluded litigation-related expenses are professional fees and related costs incurred by us in defending against significant claims that we deem not to be in the ordinary course of our business and, if applicable, accruals related to estimated losses in connection with these claims. There are many uncertainties and potential outcomes associated with any litigation, including the expense of litigation, timing of such expenses, court rulings, unforeseen developments, complications and delays, each of which may affect our results of operations from period to period, as well as the unknown magnitude of the potential loss relating to any lawsuit, all of which are inherently subject to change, difficult to estimate and could adversely affect our results of operations.</w:t>
      </w:r>
    </w:p>
    <w:p>
      <w:pPr>
        <w:spacing w:after="0" w:line="30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17" w:lineRule="exact"/>
        <w:rPr>
          <w:sz w:val="20"/>
          <w:szCs w:val="20"/>
          <w:color w:val="auto"/>
        </w:rPr>
      </w:pPr>
    </w:p>
    <w:p>
      <w:pPr>
        <w:jc w:val="both"/>
        <w:ind w:left="380" w:firstLine="426"/>
        <w:spacing w:after="0" w:line="276" w:lineRule="auto"/>
        <w:rPr>
          <w:sz w:val="20"/>
          <w:szCs w:val="20"/>
          <w:color w:val="auto"/>
        </w:rPr>
      </w:pPr>
      <w:r>
        <w:rPr>
          <w:rFonts w:ascii="Arial" w:cs="Arial" w:eastAsia="Arial" w:hAnsi="Arial"/>
          <w:sz w:val="17"/>
          <w:szCs w:val="17"/>
          <w:color w:val="auto"/>
        </w:rPr>
        <w:t>Free cash flow is a non-GAAP financial measure that we calculate as net cash used in operating activities less purchases of property and equipment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that, after the investments in property and equipment and internal-use software, can be used for strategic initiatives, including investing in our business and strengthening our financial position.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Dollar-Based Net Retention Rate</w:t>
      </w:r>
    </w:p>
    <w:p>
      <w:pPr>
        <w:spacing w:after="0" w:line="121"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6"/>
          <w:szCs w:val="16"/>
          <w:color w:val="auto"/>
        </w:rPr>
        <w:t>We believe that dollar-based net retention rate is a key metric to measure the long-term value of our customer relationships because it is driven by our ability to retain and expand the recurring revenue generated from our existing customers. Our dollar-based net retention rate compares the recurring revenue from a set of customers against the same metric for the prior 12-month period on a trailing basis. Given the repeat buying pattern of our customers and that the average term of our contracts is more than 12 months, we measure this metric over a set of customers who were with us as of the last day of the same reporting period in the prior fiscal year. Our dollar-based net retention rate includes customer attrition. We have not experienced a material increase in customer attrition rates in recent periods. For the denominator, to calculate our dollar-based net retention rate for a particular trailing 12-month period, we first establish the annual recurring revenue, or ARR, from all active subscriptions as of the last day of the same reporting period in the prior fiscal year. This effectively represents recurring dollars that we expect in the next 12-month period from the cohort of customers that existed on the last day of the same reporting period in the prior fiscal year. For the numerator, we measure the ARR for that same cohort of customers representing all subscriptions based on confirmed customer orders booked by us as of the end of the reporting period. Dollar-based net retention rate is obtained by dividing the ARR in the current trailing 12-month period by the previous trailing 12-month period. Refer to the section entitled “Management’s Discussion and Analysis of Financial Condition and Results of Operations—Certain Factors Affecting Our Performance—Follow-On Sales” for additional information on how we establish ARR.</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Trailing 12 Months Ended July 31,</w:t>
            </w:r>
          </w:p>
        </w:tc>
        <w:tc>
          <w:tcPr>
            <w:tcW w:w="5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Trailing 12 Months Ended</w:t>
            </w:r>
          </w:p>
        </w:tc>
      </w:tr>
      <w:tr>
        <w:trPr>
          <w:trHeight w:val="142"/>
        </w:trPr>
        <w:tc>
          <w:tcPr>
            <w:tcW w:w="4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January 31, 2018</w:t>
            </w:r>
          </w:p>
        </w:tc>
        <w:tc>
          <w:tcPr>
            <w:tcW w:w="20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retention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115%</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115%</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267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2679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Calculated Billings</w:t>
      </w:r>
    </w:p>
    <w:p>
      <w:pPr>
        <w:spacing w:after="0" w:line="121" w:lineRule="exact"/>
        <w:rPr>
          <w:sz w:val="20"/>
          <w:szCs w:val="20"/>
          <w:color w:val="auto"/>
        </w:rPr>
      </w:pPr>
    </w:p>
    <w:p>
      <w:pPr>
        <w:jc w:val="both"/>
        <w:ind w:left="380" w:right="200" w:firstLine="426"/>
        <w:spacing w:after="0" w:line="279" w:lineRule="auto"/>
        <w:rPr>
          <w:sz w:val="20"/>
          <w:szCs w:val="20"/>
          <w:color w:val="auto"/>
        </w:rPr>
      </w:pPr>
      <w:r>
        <w:rPr>
          <w:rFonts w:ascii="Arial" w:cs="Arial" w:eastAsia="Arial" w:hAnsi="Arial"/>
          <w:sz w:val="17"/>
          <w:szCs w:val="17"/>
          <w:color w:val="auto"/>
        </w:rPr>
        <w:t>We believe that calculated billings is a key metric to measure our periodic performance. Calculated billings represents our revenue plus the change in deferred revenue in a period. Calculated billings in any particular period aims to reflect amounts invoiced for subscriptions to access our cloud platform, together with related support services related to our new and existing customers. We typically invoice our customers annually in advance, and to a lesser extent quarterly in advance, monthly in advance or multi-year in advance.</w:t>
      </w:r>
    </w:p>
    <w:p>
      <w:pPr>
        <w:spacing w:after="0" w:line="171" w:lineRule="exact"/>
        <w:rPr>
          <w:sz w:val="20"/>
          <w:szCs w:val="20"/>
          <w:color w:val="auto"/>
        </w:rPr>
      </w:pPr>
    </w:p>
    <w:p>
      <w:pPr>
        <w:jc w:val="both"/>
        <w:ind w:left="380" w:right="200" w:firstLine="426"/>
        <w:spacing w:after="0" w:line="273" w:lineRule="auto"/>
        <w:rPr>
          <w:sz w:val="20"/>
          <w:szCs w:val="20"/>
          <w:color w:val="auto"/>
        </w:rPr>
      </w:pPr>
      <w:r>
        <w:rPr>
          <w:rFonts w:ascii="Arial" w:cs="Arial" w:eastAsia="Arial" w:hAnsi="Arial"/>
          <w:sz w:val="17"/>
          <w:szCs w:val="17"/>
          <w:color w:val="auto"/>
        </w:rPr>
        <w:t>Calculated billings increased 62% for fiscal 2017 over fiscal 2016, 44% for fiscal 2016 over fiscal 2015 and 55% for the six months ended January 31, 2018 over the six months ended January 31, 2017. As calculated billings continues to grow in absolute terms, we expect our calculated billings growth rate to trend down over time. We also expect that calculated billings will be affected by seasonality in terms of when we enter into agreements with customers; and the mix of billings in each reporting period as we typically invoice customers annually in advance, and to a lesser extent quarterly in advance, monthly in advance or multi-year in advance. Refer to the section entitled “Management’s Discussion and Analysis of Financial Condition and Results of Operations—Certain Factors Affecting Our Performance.”</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 July 31,</w:t>
            </w:r>
          </w:p>
        </w:tc>
        <w:tc>
          <w:tcPr>
            <w:tcW w:w="2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2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Calculated billings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$ 66,971</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$ 96,458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156,423</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3"/>
              </w:rPr>
              <w:t>$  69,387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107,475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4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In that event, the price of our common stock could decline, and you could lose part or all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11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We have incurred net losses in all periods since our inception, and we expect we will continue to incur net losses for the foreseeable future. We experienced net losses of $12.8 million, $27.4 million and $35.5 million for fiscal 2015, 2016 and 2017, respectively, and $14.6 million and $17.9 million for the six months ended January 31, 2017 and 2018, respectively. As of July 31, 2017 and January 31, 2018, we had an accumulated deficit of $162.0 million and $180.4 million, respectively. Because the market for our cloud platform is rapidly evolving and cloud security solutions have not yet reached widespread adoption, it is difficult for us to predict our future results of operations. We expect our operating expenses to increase significantly over the next several years, particularly in fiscal 2018, as we continue to hire additional personnel, particularly in sales and marketing, expand our operations and infrastructure, both domestically and internationally, and continue to develop our platform. In addition to the expected costs to grow our business, we also expect to incur significant additional legal, accounting and other expenses as a newly public company. If we fail to increase our revenue to offset the increases in our operating expenses, we may not achieve or sustain profitability in the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organizations do not adopt our cloud platform, our ability to grow our business and operating results may be adversely affected.</w:t>
      </w:r>
    </w:p>
    <w:p>
      <w:pPr>
        <w:spacing w:after="0" w:line="129"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Cloud technologies are still evolving, and it is difficult to predict customer demand and adoption rates for our solutions or cloud-based offerings generally. We believe that our cloud platform offers superior protection to our customers, who are becoming increasingly dependent on the internet as they move their applications and data to the cloud. We also believe that our cloud platform represents a major shift from on-premises appliance-based security solutions. However, traditional on-premises security appliances are entrenched in the infrastructure of many of our potential customers, particularly large enterprises, because of their prior investment in and the familiarity of their IT personnel with on-premises appliance-based solutions. As a result, our sales process often involves extensive efforts to educate our customers on the benefits and capabilities of our cloud platform, particularly as we continue to pursue customer relationships with large organizations. Even with these efforts, we cannot predict market acceptance of our cloud platform, or the development of competing products or services based on other technologies. If we fail to achieve market acceptance of our cloud platform or are unable to keep pace with industry changes, our ability to grow our business and our operating results will be materially and adversely affected.</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To increase our revenue and achieve and maintain profitability, we must add new customers. To do so, we must successfully convince IT decision makers that, as they adopt SaaS applications and the public cloud, security delivered through the cloud provides significant advantages over legacy on-premises appliance-based security products. Additionally, many of our customers broadly deploy our product, which requires a significant commitment of resources. These factors significantly impact our ability to add new customers and increase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time, resources and sophistication required to do so. In addition, numerous other factors, many of which are out of our control, may now or in the future impact our ability to add new customers, including potential customers’ commitments to legacy IT security vendors and products, real or perceived switching costs, our failure to expand, retain and motivate our sales and marketing personnel, our failure to develop or expand relationships with our channel partners or to attract new channel partners, failure by us to help our customers to successfully deploy our cloud platform, negative media or industry or financial analyst commentary regarding us or our solutions, litigation and deteriorating general economic conditions. If our efforts to attract new customers are not successful, our revenue and rate of revenue growth may decline, we may not achieve profitability and our future results of operations could be materially harmed.</w:t>
      </w:r>
    </w:p>
    <w:p>
      <w:pPr>
        <w:spacing w:after="0" w:line="29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services and add additional users and services to their subscriptions, our future results of operations could be harmed.</w:t>
      </w:r>
    </w:p>
    <w:p>
      <w:pPr>
        <w:spacing w:after="0" w:line="62"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In order for us to maintain or improve our results of operations, it is important that our customers renew their subscriptions for our services when existing contract terms expire and that we expand our commercial relationships with our existing customers. Our customers have no obligation to renew their subscriptions for our services after the expiration of their contractual subscription period, which is typically one to three years, and in the normal course of business, some customers have elected not to renew. In addition, in certain cases, customers may cancel their subscriptions without cause either at any time or upon advance written notice (typically ranging from 30 days to 60 days), typically subject to an early termination penalty for unused services. In addition, our customers may renew for fewer users, renew for shorter contract lengths or switch to a lower-cost suite. If our customers do not renew their subscription services, we could incur impairment losses related to our deferred contract acquisition costs. It is difficult to accurately predict long-term customer retention because of our varied customer base and given the length of our subscription contracts. Our customer retention and expansion may decline or fluctuate as a result of a number of factors, including our customers’ satisfaction with our services, our prices and pricing plans, our customers’ spending levels, decreases in the number of users to which our customers deploy our solutions, mergers and acquisitions involving our customers, competition and deteriorating general economic conditions.</w:t>
      </w:r>
    </w:p>
    <w:p>
      <w:pPr>
        <w:spacing w:after="0" w:line="18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future success also depends in part on the rate at which our current customers add additional users or services to their subscriptions, which is driven by a number of factors, including customer satisfaction with our services, customer security and networking issues and requirements, general economic conditions and customer reaction to the price per additional user or of additional services. If our efforts to expand our relationship with our existing customers are not successful, our business may materially suffer.</w:t>
      </w:r>
    </w:p>
    <w:p>
      <w:pPr>
        <w:spacing w:after="0" w:line="29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face intense and increasing competition and could lose market share to our competitors, which could adversely affect our business, financial condition and results of operations.</w:t>
      </w:r>
    </w:p>
    <w:p>
      <w:pPr>
        <w:spacing w:after="0" w:line="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market for network security solutions is intensely competitive and characterized by rapid changes in technology, customer requirements, industry standards and frequent introductions of new and improvements of existing products and services. Our business model of delivering security through the cloud rather than legacy on-premises appliances is still relatively new and has not yet gained widespread market traction. Moreover, we compete with many established network and security vendors who are aggressively competing against us with their legacy appliance-based solutions and are also seeking to introduce cloud-based services that have functionality similar to our cloud platform. We expect competition to increase as other established and emerging companies enter the security solutions market, in particular with respect to cloud-based security solutions, as customer requirements evolve and as new products, services and technologies are introduced. If we are unable to anticipate or effectively react to these competitive challenges, our competitive position could weaken, and we could experience a decline in revenue or our growth rate that could materially and adversely affect our business and results of operations.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competitors and potential competitors include:</w:t>
      </w:r>
    </w:p>
    <w:p>
      <w:pPr>
        <w:spacing w:after="0" w:line="131" w:lineRule="exact"/>
        <w:rPr>
          <w:sz w:val="20"/>
          <w:szCs w:val="20"/>
          <w:color w:val="auto"/>
        </w:rPr>
      </w:pPr>
    </w:p>
    <w:p>
      <w:pPr>
        <w:ind w:left="10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IT security vendors, such as Check Point Software Technologies Ltd., Fortinet, Inc., Palo Alto Networks, Inc. and Symantec Corporation, which offer a broad mix of network and endpoint security products;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networking vendors, such as Cisco Systems, Inc. and Juniper Networks, Inc., which offer security appliances and incorporate security capabilities in their networking products;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companies such as FireEye, Inc., Forcepoint Inc. (previously, Websense, Inc.), F5 Networks, Inc. and Pulse Secure, LLC with point solutions that compete with some of the features of our cloud platform, such as proxy, firewall, sandboxing and advanced threat protection, data loss prevention, encryption, load balancing and virtual private network vendors; and</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providers of IT security services that offer, or may leverage related technologies to introduce, products that compete with or are alternatives to our cloud platform.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Many of our existing competitors have, and some of our potential competitors could have, substantial competitive advantages such as:</w:t>
      </w:r>
    </w:p>
    <w:p>
      <w:pPr>
        <w:spacing w:after="0" w:line="142"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name recognition, longer operating histories and larger customer bases;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channel partners and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resources to make acquisitions and enter into strategic partnerships;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labor and research and development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larger and more mature intellectual property rights portfolios;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Our competitors may be successful in convincing IT decision makers that legacy appliance-based security products are sufficient to meet their security needs and provide security performance that competes with our cloud platform. Accordingly, these IT decision makers may continue allocating their information technology budgets to legacy appliance-based products and may not adopt our cloud platform. Further, many organizations have invested substantial personnel and financial resources to design and operate their appliance-based networks and have established deep relationships with appliance vendors. As a result, these organizations may prefer to purchase from their existing suppliers rather than add or switch to a new supplier.</w:t>
      </w:r>
    </w:p>
    <w:p>
      <w:pPr>
        <w:spacing w:after="0" w:line="15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larger competitors have substantially broader and more diverse product and services offerings, which may allow them to leverage their relationships based on other products or incorporate functionality into existing products to gain business in a manner that discourages users from purchasing our services, including through selling at zero or negative margins, offering concessions, bundling products or maintaining closed technology platforms. Many competitors that specialize in providing protection from a single type of security threat may be able to deliver these targeted security products to the market more quickly than we can or to convince organizations that these limited products meet their needs.</w:t>
      </w:r>
    </w:p>
    <w:p>
      <w:pPr>
        <w:spacing w:after="0" w:line="17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Conditions in our market could change rapidly and significantly as a result of technological advancements, partnering or acquisitions by our competitors or continuing market consolidation. New start-up companies that innovate and large competitors that are making significant investments in research and development may invent similar or superior products, services and technologies that compete with our cloud platform. In addition, large companies with substantial communications infrastructure, such as global telecommunications services provider partners or public cloud providers, could choose to enter the security solutions market.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Any failure to meet and address these factors could materially harm our business and operating results.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experienced rapid revenue and other growth in recent periods, which may not be indicative of our future performance.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have experienced rapid revenue growth in recent periods, with revenue of $53.7 million, $80.3 million and $125.7 million for fiscal 2015, 2016 and 2017, respectively. Similarly, we have recently experienced a period of rapid growth in our operations and employee headcount. In particular, our headcount grew from approximately 450 employees as of July 31, 2015, to approximately 600 employees as of July 31, 2016, to approximately 850 employees as of July 31, 2017, to approximately 950 employees as of January 31, 2018. In addition, the number of customers, users and internet traffic on our cloud platform has increased rapidly in recent years.</w:t>
      </w:r>
    </w:p>
    <w:p>
      <w:pPr>
        <w:spacing w:after="0" w:line="188"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You should not consider our recent growth in revenue, operations or employee headcount as indicative of our future performance. While we expect to continue to expand our operations and to increase our headcount significantly in the future, both domestically and internationally, our growth may not be sustainable. In particular, our recent revenue growth rates may decline in the future and may not be sufficient to achieve and sustain profitability, as we also expect our costs to increase in future periods. We believe that historical comparisons of our revenue may not be meaningful and should not be relied upon as an indication of future performance. Accordingly, you should not rely on our revenue and other growth for any prior quarter or fiscal year as an indication of our future revenue or revenue growth.</w:t>
      </w:r>
    </w:p>
    <w:p>
      <w:pPr>
        <w:spacing w:after="0" w:line="287" w:lineRule="exact"/>
        <w:rPr>
          <w:sz w:val="20"/>
          <w:szCs w:val="20"/>
          <w:color w:val="auto"/>
        </w:rPr>
      </w:pPr>
    </w:p>
    <w:p>
      <w:pPr>
        <w:ind w:left="200" w:right="460"/>
        <w:spacing w:after="0" w:line="375" w:lineRule="auto"/>
        <w:rPr>
          <w:sz w:val="20"/>
          <w:szCs w:val="20"/>
          <w:color w:val="auto"/>
        </w:rPr>
      </w:pPr>
      <w:r>
        <w:rPr>
          <w:rFonts w:ascii="Arial" w:cs="Arial" w:eastAsia="Arial" w:hAnsi="Arial"/>
          <w:sz w:val="15"/>
          <w:szCs w:val="15"/>
          <w:b w:val="1"/>
          <w:bCs w:val="1"/>
          <w:i w:val="1"/>
          <w:iCs w:val="1"/>
          <w:color w:val="auto"/>
        </w:rPr>
        <w:t>If we fail to effectively manage our growth, we may be unable to execute our business plan, maintain high levels of service, adequately address competitive challenges or maintain our corporate culture, and our business, financial condition and results of operations would be harmed.</w:t>
      </w:r>
    </w:p>
    <w:p>
      <w:pPr>
        <w:spacing w:after="0" w:line="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growth has placed, and future growth will continue to place, a significant strain on our management and our administrative, operational and financial infrastructure. Our success will depend in part on our ability to manage this growth effectively, which will require that we continue to improve our administrative, operational, financial and management systems and controls by, among other things:</w:t>
      </w:r>
    </w:p>
    <w:p>
      <w:pPr>
        <w:spacing w:after="0" w:line="87"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attracting, training and integrating a large number of new employees, particularly members of our sales and management teams;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further improving our key business applications, processes and IT infrastructure, including our data centers, to support our business needs;</w:t>
      </w:r>
    </w:p>
    <w:p>
      <w:pPr>
        <w:spacing w:after="0" w:line="153" w:lineRule="exact"/>
        <w:rPr>
          <w:rFonts w:ascii="Arial" w:cs="Arial" w:eastAsia="Arial" w:hAnsi="Arial"/>
          <w:sz w:val="16"/>
          <w:szCs w:val="16"/>
          <w:color w:val="auto"/>
        </w:rPr>
      </w:pPr>
    </w:p>
    <w:p>
      <w:pPr>
        <w:ind w:left="1060" w:hanging="424"/>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enhancing our information and communication systems to ensure that our employees and offices around the world are well coordinated and can effectively communicate with each other and our growing base of channel partners, customers and users; and</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appropriately documenting and testing our IT systems and business processes.</w:t>
      </w:r>
    </w:p>
    <w:p>
      <w:pPr>
        <w:spacing w:after="0" w:line="225"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These and other improvements in our systems and controls will require significant capital expenditures and the allocation of valuable management and employee resources. If we fail to implement these improvements effectively, our ability to manage our expected growth, ensure uninterrupted operation of our cloud platform and key business systems and comply with the rules and regulations applicable to public companies could be impaired, the quality of our platform and services could suffer and we may not be able to adequately address competitive challenges.</w:t>
      </w:r>
    </w:p>
    <w:p>
      <w:pPr>
        <w:spacing w:after="0" w:line="17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addition, we believe that our corporate culture has been a contributor to our success, which we believe fosters innovation, teamwork and an emphasis on customer-focused results. We also believe that our culture creates an environment that drives and perpetuates our strategy and cost-effective distribution approach. As we grow and develop the infrastructure of a public company, we may find it difficult to maintain our corporate culture. Any failure to preserve our culture could harm our future success, including our ability to retain and recruit personnel, innovate and operate effectively and execute on our business strategy. If we experience any of these effects in connection with future growth, it could materially impair our ability to attract new customers, retain existing customers and expand their use of our platform, all of which would materially and adversely affect our business, financial condition and results of operations.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Our relatively limited operating history makes it difficult to evaluate our current business and prospects and may increase the risk that we will not be successful.</w:t>
      </w:r>
    </w:p>
    <w:p>
      <w:pPr>
        <w:spacing w:after="0" w:line="62"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Our relatively limited operating history makes it difficult to evaluate our current business and prospects and plan for our future growth. We were incorporated in 2007, with much of our growth occurring in recent years. As a result, our business model has not been fully proven, which subjects us to a number of uncertainties, including our ability to plan for and model future growth. While we have continued to develop our solutions to incorporate multiple security and compliance applications into a single purpose-built, multi-tenant, distributed cloud security platform, we have encountered and will continue to encounter risks and uncertainties frequently experienced by rapidly growing companies in developing markets, including our ability to achieve broad market acceptance of our cloud platform, attract additional customers, grow partnerships, withstand increasing competition and manage increasing expenses as we continue to grow our business. If our assumptions regarding these risks and uncertainties are incorrect or change in response to changes in the market for network security solutions, our operating and financial results could differ materially from our expectations and our business could suffer.</w:t>
      </w:r>
    </w:p>
    <w:p>
      <w:pPr>
        <w:spacing w:after="0" w:line="30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could make our future results difficult to predict and could cause our operating results to fall below expectations.</w:t>
      </w:r>
    </w:p>
    <w:p>
      <w:pPr>
        <w:spacing w:after="0" w:line="62"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Our operating results may fluctuate from quarter to quarter as a result of a number of factors, many of which are outside of our control and may be difficult to predict. Some of the factors that may cause our results of operations to fluctuate from quarter to quarter include:</w:t>
      </w:r>
    </w:p>
    <w:p>
      <w:pPr>
        <w:spacing w:after="0" w:line="5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 market acceptance and the level of demand for our cloud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 particularly large enterprises;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platform, particularly our largest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 and penetrate key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programs;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our sales cycle, including the timing of renewals;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changes and the timing and success of new service introductions by us or our competitors or any other change in the competitive landscape of our market;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operations and to remain competitive;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buying patterns for IT spending;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and level of our execution of our business strategy and operating plan;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and costs related to the acquisition of businesses, talent, technologies or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We also intend to continue to invest significantly to grow our business in the near future rather than optimizing for profitability or cash flows. In addition, we generally experience seasonality in terms of when we enter into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agreements with customers. We typically enter into a higher percentage of agreements with new customers, as well as renewal agreements with existing customers, in the second and fourth quarters of our fiscal year. This seasonality is reflected to a much lesser extent, and sometimes is not immediately apparent, in revenue, due to the fact that we recognize subscription revenue ratably over the term of the subscription, which is generally one to three years. We expect that seasonality will continue to affect our operating results in the future and may reduce our ability to predict cash flow and optimize the timing of our operating expenses.</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industry or financial analysts. If we fail to meet or exceed such expectations for these or any other reasons, the market price of our common stock could fall substantially, and we could face costly lawsuits, including securities class action suits.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the delivery of our services to our customers is interrupted or delayed for any reason, our business could suffer.</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Any interruption or delay in the delivery of our services will negatively impact our customers. Our solutions are deployed via the internet, and our customers’ internet traffic is routed through our cloud platform. Our customers depend on the continuous availability of our cloud platform to access the internet, and our services are designed to operate without interruption in accordance with our service level commitments. If our entire platform were to fail, customers and users could lose access to the internet until such disruption is resolved or customers deploy disaster recovery options that allow them to bypass our cloud platform to access the internet. The adverse effects of any service interruptions on our reputation and financial condition may be disproportionately heightened due to the nature of our business and the fact that our customers expect continuous and uninterrupted internet access and have a low tolerance for interruptions of any duration. While we do not consider them to have been material, we have experienced, and may in the future experience, service disruptions and other performance problems due to a variety of factors.</w:t>
      </w:r>
    </w:p>
    <w:p>
      <w:pPr>
        <w:spacing w:after="0" w:line="17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following factors, many of which are beyond our control, can affect the delivery and availability of our services and the performance of our cloud:</w:t>
      </w:r>
    </w:p>
    <w:p>
      <w:pPr>
        <w:spacing w:after="0" w:line="76"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and availability of third-party telecommunications services with the necessary speed, data capacity and security for providing reliable internet access and services;</w:t>
      </w:r>
    </w:p>
    <w:p>
      <w:pPr>
        <w:spacing w:after="0" w:line="75" w:lineRule="exact"/>
        <w:rPr>
          <w:rFonts w:ascii="Arial" w:cs="Arial" w:eastAsia="Arial" w:hAnsi="Arial"/>
          <w:sz w:val="18"/>
          <w:szCs w:val="18"/>
          <w:color w:val="auto"/>
        </w:rPr>
      </w:pPr>
    </w:p>
    <w:p>
      <w:pPr>
        <w:jc w:val="both"/>
        <w:ind w:left="1060" w:hanging="424"/>
        <w:spacing w:after="0" w:line="31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decisions by the owners and operators of the data centers where our cloud infrastructure is deployed or by global telecommunications service provider partners who provide us with network bandwidth to terminate our contracts, discontinue services to us, shut down operations or facilities, increase prices, change service levels, limit bandwidth, declare bankruptcy or prioritize the traffic of other parties;</w:t>
      </w:r>
    </w:p>
    <w:p>
      <w:pPr>
        <w:spacing w:after="0" w:line="52" w:lineRule="exact"/>
        <w:rPr>
          <w:rFonts w:ascii="Arial" w:cs="Arial" w:eastAsia="Arial" w:hAnsi="Arial"/>
          <w:sz w:val="16"/>
          <w:szCs w:val="16"/>
          <w:color w:val="auto"/>
        </w:rPr>
      </w:pPr>
    </w:p>
    <w:p>
      <w:pPr>
        <w:ind w:left="1060" w:hanging="424"/>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occurrence of earthquakes, floods, fires, power loss, system failures, physical or electronic break-ins, acts of war or terrorism, human error or interference (including by disgruntled employees, former employees or contractors) and other catastrophic events;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our global telecommunications service provider partners or the infrastructure of the internet;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traffic capacity requirements;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 which we use to operate our cloud platform;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classification of websites by our vendors who provide us with lists of malicious websites;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deployment or configuration of our services;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occurrence of any of these factors, or if we are unable to efficiently and cost-effectively fix such errors or other problems that may be identified, could damage our reputation, negatively impact our relationship with our customers or otherwise materially harm our business, results of operations and financial condition.</w:t>
      </w:r>
    </w:p>
    <w:p>
      <w:pPr>
        <w:spacing w:after="0" w:line="18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addition, we provide our services through a cloud-based inline proxy, and some governments, third-party products, websites or services may block proxy-based traffic under certain circumstances. For example, vendors may attempt to block traffic from our cloud platform or blacklist our IP addresses because they cannot identify the source of the proxy-based traffic. Our competitors may use this as an excuse to block traffic from their solutions or blacklist our IP addresses, which may result in our customers’ traffic being blocked from our platform. If our customers experience significant instances of traffic blockages, they will experience reduced functionality or other inefficiencies, which would reduce customer satisfaction with our services and likelihood of renewal.</w:t>
      </w:r>
    </w:p>
    <w:p>
      <w:pPr>
        <w:spacing w:after="0" w:line="30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actual or perceived failure of our cloud platform to block malware or prevent a security breach could harm our reputation and adversely impact our business, financial condition and results of operations.</w:t>
      </w:r>
    </w:p>
    <w:p>
      <w:pPr>
        <w:spacing w:after="0" w:line="17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Our cloud platform may fail to detect or prevent security breaches for any number of reasons. Our cloud platform is complex and may contain performance issues that are not detected until after its deployment. We also provide frequent solution updates and fundamental enhancements, which increase the possibility of errors, and our reporting, tracking, monitoring and quality assurance procedures may not be sufficient to ensure we detect any such defects in a timely manner. The performance of our cloud platform can be negatively impacted by our failure to enhance, expand or update our cloud platform, errors or defects in our software, improper classification of websites by our vendors who provide us with lists of malicious websites, improper deployment or configuration of our services and many other factors.</w:t>
      </w:r>
    </w:p>
    <w:p>
      <w:pPr>
        <w:spacing w:after="0" w:line="178"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In addition, because the techniques used by computer hackers to access or sabotage networks change frequently and generally are not recognized until launched against a target, there is a risk that a cyber threat could emerge that our services are unable to detect or prevent until after some of our customers are impacted. Moreover, as our services are adopted by an increasing number of enterprises, it is possible that the individuals and organizations behind cyber threats will focus on finding ways to defeat our services. If this happens, our cloud platform could be targeted by attacks specifically designed to disrupt our business and create the perception that our cloud platform is not capable of providing superior security, which, in turn, could have a serious impact on our reputation as a provider of security solutions. Further, if a high profile security breach occurs with respect to another cloud services provider, our customers and potential customers may lose trust in cloud solutions generally, and with respect to security in particular, which could materially and adversely impact our ability to retain existing customers or attract new customers.</w:t>
      </w:r>
    </w:p>
    <w:p>
      <w:pPr>
        <w:spacing w:after="0" w:line="166"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Increasingly, companies are subject to a wide variety of attacks on their networks and systems, including traditional computer hackers, malicious code (such as viruses and worms), distributed denial-of-service attacks, sophisticated attacks conducted or sponsored by nation-states, advanced persistent threat intrusions, ransomware, and theft or misuse of intellectual property or business or personal data, including by disgruntled employees, former employees or contractors. No security solution, including our cloud platform, can address all possible security threats or block all methods of penetrating a network or otherwise perpetrating a security incident. Our customers must rely on complex network and security infrastructures, which include products and services from multiple vendors, to secure their networks. If any of our customers becomes infected with malware or experiences a security breach, they could be disappointed with our services, regardless of whether our services are intended to block the attack or would have blocked the attack if the customer had properly configured our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cloud platform. Additionally, if any enterprises that are publicly known to use our services are the subject of a cyberattack that becomes publicized, our current or potential customers may look to our competitors for alternatives to our services.</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From time to time, industry or financial analysts and research firms test our solutions against other security products. Our services may fail to detect or prevent threats in any particular test for a number of reasons, including misconfiguration. To the extent potential customers, industry or financial analysts or testing firms believe that the occurrence of a failure to detect or prevent any particular threat is a flaw or indicates that our services do not provide significant value, our reputation and business could be materially harmed.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real or perceived flaws in our cloud platform or any real or perceived security breaches of our customers could result in:</w:t>
      </w:r>
    </w:p>
    <w:p>
      <w:pPr>
        <w:spacing w:after="0" w:line="131"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of existing or potential customers or channel partners;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delayed or lost sales and harm to our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delay in attaining, or the failure to attain, market acceptance;</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expenditure of significant financial resources in efforts to analyze, correct, eliminate, remediate or work around errors or defects, to address and eliminate vulnerabilities and to address any applicable legal or contractual obligations relating to any actual or perceived security breach;</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publicity and damage to our reputation and brand;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claims and demands (including for stolen assets or information, repair of system damages, and compensation to customers and business partners), litigation, regulatory inquiries or investigations and other liability.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above results could materially and adversely affect our business, financial condition and results of operations.</w:t>
      </w:r>
    </w:p>
    <w:p>
      <w:pPr>
        <w:spacing w:after="0" w:line="33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If our global network of data centers which deliver our services was damaged or otherwise failed to meet the requirement of our business, our ability to provide services to our customers and maintain the performance of our cloud platform could be negatively impacted, which could cause our business to suffer.</w:t>
      </w:r>
    </w:p>
    <w:p>
      <w:pPr>
        <w:spacing w:after="0" w:line="73"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currently host our cloud platform and serve our customers from a global network of over 100 data centers. While we have electronic access to the components and infrastructure of our cloud platform that are hosted by third parties, we do not control the operation of these facilities. Consequently, we may be subject to service disruptions as well as failures to provide adequate support for reasons that are outside of our direct control. Our data centers are vulnerable to damage or interruption from a variety of sources, including earthquakes, floods, fires, power loss, system failures, computer viruses, physical or electronic break-ins, human error or interference (including by disgruntled employees, former employees or contractors), and other catastrophic events. Our data centers may also be subject to local administrative actions, changes to legal or permitting requirements and litigation to stop, limit or delay operations. Despite precautions taken at these facilities, such as disaster recovery and business continuity arrangements, the occurrence of a natural disaster or an act of terrorism, a decision to close the facilities without adequate notice or other unanticipated problems at these facilities could result in interruptions or delays in our services, impede our ability to scale our operations or have other adverse impacts upon our business. In addition, if we do not accurately plan for our infrastructure capacity requirements and we experience significant strains on our data center capacity, we may experience delays and additional expenses in arranging new data centers, and our customers could experience performance degradation or service outages that may subject us to financial liabilities, result in customer losses and materially harm our business.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and growth depend in part on the success of our relationships with our channel partners.</w:t>
      </w:r>
    </w:p>
    <w:p>
      <w:pPr>
        <w:spacing w:after="0" w:line="117" w:lineRule="exact"/>
        <w:rPr>
          <w:sz w:val="20"/>
          <w:szCs w:val="20"/>
          <w:color w:val="auto"/>
        </w:rPr>
      </w:pPr>
    </w:p>
    <w:p>
      <w:pPr>
        <w:jc w:val="both"/>
        <w:ind w:left="200" w:firstLine="441"/>
        <w:spacing w:after="0" w:line="267" w:lineRule="auto"/>
        <w:rPr>
          <w:sz w:val="20"/>
          <w:szCs w:val="20"/>
          <w:color w:val="auto"/>
        </w:rPr>
      </w:pPr>
      <w:r>
        <w:rPr>
          <w:rFonts w:ascii="Arial" w:cs="Arial" w:eastAsia="Arial" w:hAnsi="Arial"/>
          <w:sz w:val="17"/>
          <w:szCs w:val="17"/>
          <w:color w:val="auto"/>
        </w:rPr>
        <w:t>We currently derive most of our revenue from sales through our channel partner network, and we expect for the foreseeable future most of our future revenue growth will also be driven through this network. Not only does our joint sales approach require additional investment to grow and train our sales force, but we believe that continued growth in our business is dependent upon identifying, developing and maintaining strategic relationships with our existing and potential channel partners, including global systems integrators and regional telecommunications service providers that will in turn drive substantial revenue and provide additional value-added services to our customers. Our agreements with our channel partners are generally non-exclusive, meaning our channel partners may offer customers the products of several different companies, including products that compete with our cloud platform. In general, our channel partners may also cease marketing or reselling our platform with limited or no notice and without penalty. If our channel partners do not effectively market and sell subscriptions to our cloud platform, choose to promote our competitors’ products or fail to meet the needs of our customers, our ability to grow our business and sell subscriptions to our cloud platform may be adversely affected. For example, sales through our top five channel partners and their affiliates, in aggregate, represented 40%, 46% and 47% of our revenue for fiscal 2015, 2016 and 2017, respectively, and 48% and 42% of our revenue for the six months ended January 31, 2017 and 2018, respectively. In addition, our channel partner structure could subject us to lawsuits or reputational harm if, for example, a channel partner misrepresents the functionality of our cloud platform to customers or violates applicable laws or our corporate policies. Our ability to achieve revenue growth in the future will depend in large part on our success in maintaining successful relationships with our channel partners, identifying additional channel partners and training our channel partners to independently sell and deploy our platform. If we are unable to maintain our relationships with our existing channel partners or develop successful relationships with new channel partners or if our channel partners fail to perform, our business, financial position and results of operations could be materially and adversely affected.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business and results of operations may be adversely affected.</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We believe that maintaining and enhancing our reputation as a provider of high-quality security solutions is critical to our relationship with our existing customers and channel partners and our ability to attract new customers and channel partners. The successful promotion of our brand will depend on a number of factors, including our marketing efforts, our ability to continue to develop high-quality features and solutions for our cloud platform and our ability to successfully differentiate our platform from competitive products and services. Our brand promotion activities may not be successful or yield increased revenue. In addition, independent industry or financial analysts often provide reviews of our platform, as well as products and services of our competitors, and perception of our platform in the marketplace may be significantly influenced by these reviews. If these reviews are negative, or less positive as compared to those of our competitors’ products and services, our brand may be adversely affected. Additionally, the performance of our channel partners may affect our brand and reputation if customers do not have a positive experience with our channel partners’ services. The promotion of our brand requires us to make substantial expenditures, and we anticipate that the expenditures will increase as our market becomes more competitive, we expand into new markets and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and adversely affect our business, results of operations and financial condition.</w:t>
      </w:r>
    </w:p>
    <w:p>
      <w:pPr>
        <w:spacing w:after="0" w:line="28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sales force, we may be unable to add new customers or increase sales to our existing customers, and our business will be adversely affected.</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Although we have a channel sales model, our sales representatives typically engage in direct interaction with our prospective customers. Therefore, we continue to be substantially dependent on our sales force to obtain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new customers. Increasing our customer base and achieving broader market acceptance of our cloud platform will depend, to a significant extent, on our ability to expand and further invest in our sales and marketing operations and activities. There is significant competition for sales personnel with the advanced sales skills and technical knowledge we need. We believe that selling a cloud-based security solution requires particularly talented sales personnel with the ability to communicate the transformative potential of our cloud platform. Our ability to achieve significant growth in revenue in the future will depend, in large part, on our success in recruiting, training and retaining sufficient numbers of these talented sales personnel in both the U.S. and international markets. In particular, in fiscal 2018, we expect to expand our sales and marketing organization significantly. New hires require significant training and may take significant time before they achieve full productivity. As a result, our new hires and planned hires may not become as productive as we would like, and we may be unable to hire or retain sufficient numbers of qualified individuals in the future. As a result of our rapid growth, a large percentage of our sales and marketing team is new to our company and selling our solutions, and therefore this team may be less effective than our more seasoned employees.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future growth prospects will be materially and adversely affected.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cloud platform, particularly with respect to large organizations. Our sales efforts typically involve educating our prospective customers about the uses, benefits and the value proposition of our cloud platform. Customers often view the subscription to our cloud platform as a significant strategic decision and, as a result, frequently require considerable time to evaluate, test and qualify our platform prior to entering into or expanding a relationship with us. Large enterprises and government entities in particular often undertake a significant evaluation process that further lengthens the sales cycle.</w:t>
      </w:r>
    </w:p>
    <w:p>
      <w:pPr>
        <w:spacing w:after="0" w:line="15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sales force develops relationships directly with our customers, and together with our channel account teams, works with our channel partners on account penetration, account coordination, sales and overall market development. We spend substantial time and resources on our sales efforts without any assurance that our efforts will produce a sale. Platform purchases are frequently subject to budget constraints, multiple approvals and unanticipated administrative, processing and other delays. As a result, it is difficult to predict whether and when a sale will be completed and when revenue from a sale will be recognized.</w:t>
      </w:r>
    </w:p>
    <w:p>
      <w:pPr>
        <w:spacing w:after="0" w:line="18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Sales to larger customers involve risks that may not be present, or that are present to a lesser extent, with sales to smaller customers, which can act as a disincentive to our sales team to pursue these larger customers. These risks include:</w:t>
      </w:r>
    </w:p>
    <w:p>
      <w:pPr>
        <w:spacing w:after="0" w:line="76" w:lineRule="exact"/>
        <w:rPr>
          <w:sz w:val="20"/>
          <w:szCs w:val="20"/>
          <w:color w:val="auto"/>
        </w:rPr>
      </w:pPr>
    </w:p>
    <w:p>
      <w:pPr>
        <w:ind w:left="10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companies that traditionally target larger enterprises and that may have pre-existing relationships or purchase commitments from such customers;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larger customers in negotiating contractual arrangements with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stringent requirements in our support obligations;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customer that elects not to purchase our solutions.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failure of our efforts to secure sales after investing resources in a lengthy sales process could materially and adversely affect our business and operating results.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If we fail to develop or introduce new enhancements to our cloud platform on a timely basis, our ability to attract and retain customers, remain competitive and grow our business could be impaired.</w:t>
      </w:r>
    </w:p>
    <w:p>
      <w:pPr>
        <w:spacing w:after="0" w:line="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services, evolving industry standards and changing regulations, as well as changing customer needs, requirements and preferences. Our ability to attract new customers and increase revenue from existing customers will depend in significant part on our ability to anticipate and respond effectively to these changes on a timely basis and continue to introduce enhancements to our cloud platform. The success of our cloud platform depends on our continued investment in our research and development organization to increase the reliability, availability and scalability of our existing solutions. The success of any enhancement depends on several factors, including the timely completion and market acceptance of the enhancement. Any new service that we develop might not be introduced in a timely or cost-effective manner and might not achieve the broad market acceptance necessary to generate significant revenue. If new technologies emerge that deliver competitive products and services at lower prices, more efficiently, more conveniently or more securely, these technologies could adversely impact our ability to compete effectively. Any delay or failure in the introduction of enhancements could materially harm our business, results of operations and financial condition.</w:t>
      </w:r>
    </w:p>
    <w:p>
      <w:pPr>
        <w:spacing w:after="0" w:line="28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services over the term of the subscription, downturns or upturns in new business may not be immediately reflected in our operating results and may be difficult to discern.</w:t>
      </w:r>
    </w:p>
    <w:p>
      <w:pPr>
        <w:spacing w:after="0" w:line="62"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We generally recognize revenue from customers ratably over the terms of their subscription, which are typically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may not be immediately reflected in our revenue for that period. Any such change, however, may affect our revenue in future periods. Additionally, subscriptions that are invoiced annually in advance or multi-year in advance contribute significantly to our short-term and long-term deferred revenue in comparison to our invoices issued quarterly and monthly in advance, which will also affect our financial position in any given period. Accordingly, the effect of downturns or upturns in new sales and potential changes in our rate of renewals may not be fully reflected in our results of operations until future periods. We may also be unable to reduce our cost structure in line with a significant deterioration in sales or renewals. Our subscription model also makes it difficult for us to rapidly increase our revenue through additional sales in any period, as revenue from new customers must be recognized over the applicable subscription term.</w:t>
      </w:r>
    </w:p>
    <w:p>
      <w:pPr>
        <w:spacing w:after="0" w:line="30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our cloud platform or internal networks, systems or data are or are perceived to have been breached, our solution may be perceived as insecure, our reputation may be damaged and our financial results may be negatively impacted.</w:t>
      </w:r>
    </w:p>
    <w:p>
      <w:pPr>
        <w:spacing w:after="0" w:line="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It is virtually impossible for us to entirely mitigate the risk of breaches of our cloud platform or other security incidents affecting our internal systems, networks or data. In addition, the functionality of our platform may be disrupted by third parties, including disgruntled employees, former employees or contractors. The security measures we use internally and have integrated into our cloud platform, which are designed to detect unauthorized activity and prevent or minimize security breaches, may not function as expected or may not be sufficient to protect against certain attacks. Companies are subject to a wide variety of attacks on their networks and systems, and techniques used to sabotage or to obtain unauthorized access to networks in which data is stored or through which data is transmitted change frequently and generally are not recognized until launched against a target. As a result, we may be unable to anticipate these techniques or implement adequate measures to prevent an electronic intrusion into our customers through our cloud platform or to prevent breaches and other security incidents affecting our cloud platform, internal networks, systems or data. Actual or perceived security breaches of our cloud platform could result in actual or perceived breaches of our customers’ networks and systems, which, in turn, could lead to litigation, governmental audits and investigations and significant legal fees, 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could damage our relationships with our existing customers and have a negative impact on our ability to attract and retain new customers.</w:t>
      </w:r>
    </w:p>
    <w:p>
      <w:pPr>
        <w:spacing w:after="0" w:line="22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internal systems are exposed to the same cybersecurity risks and consequences of a breach as our customers and other enterprises. However, since our business is focused on providing reliable security services to our customers, we believe that an actual or perceived breach of, or security incident affecting, our internal networks, systems or data, could be especially detrimental to our reputation, customer confidence in our solution and our business.</w:t>
      </w:r>
    </w:p>
    <w:p>
      <w:pPr>
        <w:spacing w:after="0" w:line="295"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b w:val="1"/>
          <w:bCs w:val="1"/>
          <w:i w:val="1"/>
          <w:iCs w:val="1"/>
          <w:color w:val="auto"/>
        </w:rPr>
        <w:t>If our cloud platform does not interoperate with our customers’ network and security infrastructure or with third-party products, websites or services, our cloud platform may become less competitive and our results of operations may be harmed.</w:t>
      </w:r>
    </w:p>
    <w:p>
      <w:pPr>
        <w:spacing w:after="0" w:line="3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Our cloud platform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services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182"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may not deliver or maintain interoperability quickly or cost-effectively, or at all. These efforts require capital investment and engineering resources. If we fail to maintain compatibility of our cloud platform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28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If we fail to meet these contractual commitments, we could be obligated to provide credits for future service and our business could suffer.</w:t>
      </w:r>
    </w:p>
    <w:p>
      <w:pPr>
        <w:spacing w:after="0" w:line="62"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Our customer agreements contain service level commitments, which contain specifications regarding the availability and performance of our cloud platform. Any failure of or disruption to our infrastructure could impact the performance of our platform and the availability of services to customers. If we are unable to meet our stated service level commitments or if we suffer extended periods of poor performance or unavailability of our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286"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 including the quality of the support provided on our behalf by certain channel partners. Failure to maintain high-quality customer support could have an adverse effect on our business, financial condition and results of operations.</w:t>
      </w:r>
    </w:p>
    <w:p>
      <w:pPr>
        <w:spacing w:after="0" w:line="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do not provide superior support to our customers, our ability to renew subscriptions, increase the number of users and sell additional services to customers will be adversely affected. We believe that successfully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delivering our cloud solution requires a particularly high level of customer support and engagement. We or our channel partners must successfully assist our customers in deploying our cloud platform, resolving performance issues, addressing interoperability challenges with a customer’s existing network and security infrastructure and responding to security threats and cyberattacks. Many enterprises, particularly large organizations, have very complex networks and require high levels of focused support, including premium support offerings, to fully realize the benefits of our cloud platform. Any failure by us to maintain the expected level of support could reduce customer satisfaction and hurt our customer retention, particularly with respect to our large enterprise customers. Additionally, if our channel partners do not provide support to the satisfaction of our customers, we may be required to provide this level of support to those customers, which would require us to hire additional personnel and to invest in additional resources. We may not be able to hire such resources fast enough to keep up with demand, particularly if the sales of our platform exceed our internal forecasts. To the extent that we or our channel partners are unsuccessful in hiring, training and retaining adequate support resources, our ability and the ability of our channel partners to provide adequate and timely support to our customers will be negatively impacted, and our customers’ satisfaction with our cloud platform could be adversely affected. We currently rely in part on contractors provided by third-party service providers internationally to provide support services to our customers, and we expect to expand our international customer service support team to other countries. Any failure to properly train or oversee such contractors could result in a poor customer experience and an adverse impact on our reputation and ability to renew subscriptions or engage new customers. Furthermore, as we sell our solutions internationally, our support organization faces additional challenges, including those associated with delivering support, training and documentation in languages other than English. Any failure to maintain high-quality customer support, or a market perception that we do not maintain high-quality support, could materially harm our reputation, adversely affect our ability to sell our solutions to existing and prospective customers and could harm our business, financial condition and results of operations.</w:t>
      </w:r>
    </w:p>
    <w:p>
      <w:pPr>
        <w:spacing w:after="0" w:line="283"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or the inability to attract and retain qualified personnel could harm our business.</w:t>
      </w:r>
    </w:p>
    <w:p>
      <w:pPr>
        <w:spacing w:after="0" w:line="62"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Jay Chaudhry, our president, chief executive officer and chairman of our board of directors, who is critical to our future vision and strategic direction. We rely on our leadership team in the areas of operations, security, marketing, sales, support and general and administrative functions, and on individual contributors on our research and development team. Although we have entered into employment agreements with our key personnel, these agreements have no specific duration and constitute at-will employment. We do not maintain key person life insurance policies on any of our employees. The loss of one or more of our executive officers or key employees could seriously harm our business.</w:t>
      </w:r>
    </w:p>
    <w:p>
      <w:pPr>
        <w:spacing w:after="0" w:line="189"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To execute our growth plan, we must attract and retain highly qualified personnel.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Many of the companies with which we compete for experienced personnel have greater resources than we have. 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fulfill our current or future needs could materially and adversely affect our business, operating results and financial condition.</w:t>
      </w:r>
    </w:p>
    <w:p>
      <w:pPr>
        <w:spacing w:after="0" w:line="333"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 significant natural disaster, such as an earthquake, fire or a flood, occurring at our headquarters, at one of our other facilities or where a key channel partner or data center is located could adversely affect our business, results of operations and financial condition. Further, if a natural disaster or man-made problem were to affect our component suppliers or other third-party providers, this could materially and adversely affect our ability to provide services in a timely or cost effective manner. In addition, natural disasters and acts of terrorism could cause disruptions in our or our customers’ businesses, national economies or the world economy as a whole.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Though it is difficult to determine what, if any, harm may directly result from any specific interruption or attack, any failure to maintain performance, reliability, security and availability of our platform to the satisfaction of our users may materially harm our reputation and our ability to retain existing customers and attract new customers.</w:t>
      </w:r>
    </w:p>
    <w:p>
      <w:pPr>
        <w:spacing w:after="0" w:line="28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incorporate technology from third parties into our cloud platform, and our inability to obtain or maintain rights to the technology could harm our business.</w:t>
      </w:r>
    </w:p>
    <w:p>
      <w:pPr>
        <w:spacing w:after="0" w:line="62"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license software and other technology from third parties that we incorporate into or integrate with, our cloud platform. We cannot be certain that our licensors are not infringing the intellectual property rights of third parties or that our licensors have sufficient rights to the licensed intellectual property in all jurisdictions in which we may sell our services. In addition, many licenses are non-exclusive, and therefore our competitors may have access to the same technology licensed to us. Some of our agreements with our licensors may be terminated for convenience by them, or otherwise provide for a limited term. If we are unable to continue to license any of this technology for any reason, our ability to develop and sell our services containing such technology could be harmed. Similarly, if we are unable to license necessary technology from third parties now or in the future, we may be forced to acquire or develop alternative technology, which we may be unable to do in a commercially feasible manner or at all, and we may be required to use alternative technology of lower quality or performance standards. This could limit and delay our ability to offer new or competitive products and services and increase our costs of production. As a result, our business and results of operations could be significantly harmed. Additionally, as part of our longer-term strategy, we plan to open our cloud security platform to third-party developers and applications to further extend its functionality. We cannot be certain that such efforts to grow our business will be successful.</w:t>
      </w:r>
    </w:p>
    <w:p>
      <w:pPr>
        <w:spacing w:after="0" w:line="2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and we license some of our software through open source projects, which could negatively affect our ability to sell our platform and subject us to possible litigation.</w:t>
      </w:r>
    </w:p>
    <w:p>
      <w:pPr>
        <w:spacing w:after="0" w:line="62"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Our solutions incorporate software licensed by third parties under open source licenses, including open source software included in software we receive from third-party commercial software vendors. Use of open source software may entail greater risks than use of third-party commercial software, as open source licensors generally do not provide support, updates or warranties or other contractual protections regarding infringement claims or the quality of the code In addition, the wide availability of source code used in our solutions could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solutions. As a result, we could be subject to lawsuits by parties claiming ownership of what we believe to be open source software. Litigation could be costly for us to defend, have a negative effect on our results of operations and financial condition or require us to devote additional research and development resources to change our solutions. In addition, by the terms of some open source licenses, under certain conditions we could be required to release the source code of our proprietary software, and to make our proprietary software available under open source licenses, including authorizing further modification and redistribution. In the event that portions of our proprietary software are determined to be subject to such requirements by an open source license, we could be required to publicly release the affected portions of our source code, re-engineer all or a portion of our platform or otherwise be limited in the licensing of our services, each of which provide an advantage to our competitors or other entrants to the market, create security vulnerabilities in our solutions and could reduce or eliminate the value of our services. Further, if we are held to have breached or otherwise failed to comply with the terms of an open source software license, we could be required to release certain of our proprietary source code under open source licenses, pay monetary damages, seek licenses from third parties to continue offering our services on terms that are not economically feasible or be subject to injunctions that could require us to discontinue the sale of our services if re-engineering could not be accomplished on a timely basis. Many of the risks associated with use of open source software cannot be eliminated and could negatively affect our business. Moreover, we cannot assure you that our processes for controlling our use of open source software in our platform will be effective.</w:t>
      </w:r>
    </w:p>
    <w:p>
      <w:pPr>
        <w:spacing w:after="0" w:line="16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Responding to any infringement or noncompliance claim by an open source vendor, regardless of its validity, or discovering open source software code in our platform could harm our business, operating results and financial condition, by, among other things:</w:t>
      </w:r>
    </w:p>
    <w:p>
      <w:pPr>
        <w:spacing w:after="0" w:line="7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us to pay monetary damages or enter into royalty and licensing agreements that we would not normally find acceptable;</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causing delays in the deployment of our platform or service offerings to our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stop offering certain services on or features of our platform;</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platform using alternative non-infringing or non-open source technology, which could require significant effort and expense;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333"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essential financial and operational services, and a failure or disruption in these services could materially and adversely affect our ability to manage our business effectively.</w:t>
      </w:r>
    </w:p>
    <w:p>
      <w:pPr>
        <w:spacing w:after="0" w:line="62"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We rely on third parties to provide many essential financial and operational services to support our business. Many of these vendors are less established and have shorter operating histories than traditional software vendors. Moreover,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manage our operations.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for certain components of the equipment we use to operate our cloud platform, and any disruption in the availability of these components could delay our ability to expand or increase the capacity of our global data center network or replace defective equipment in our existing data centers.</w:t>
      </w:r>
    </w:p>
    <w:p>
      <w:pPr>
        <w:spacing w:after="0" w:line="7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We rely on a limited number of suppliers for several components of the equipment we use to operate our cloud platform and provide services to our customers. Our reliance on these suppliers exposes us to risks, including reduced control over production costs and constraints based on the then current availability, terms and pricing of these components. For example, we generally purchase these components on a purchase order basis, and do not have long-term contracts guaranteeing supply. In addition, the technology industry has experienced component shortages and delivery delays in the past, and we may experience shortages or delays, including as a result of natural disasters, increased demand in the industry or if our suppliers do not have sufficient rights to supply the components in all jurisdictions in which we may host our services. If our supply of certain components is disrupted or delayed, there can be no assurance that additional supplies or components can serve as adequate replacements for the existing components or that supplies will be available on terms that are favorable to us, if at all. Any disruption or delay in the supply of our components may delay opening new data centers, delay increasing capacity or replacing defective equipment at existing data centers or cause other constraints on our operations that could damage our channel partner or customer relationships.</w:t>
      </w:r>
    </w:p>
    <w:p>
      <w:pPr>
        <w:spacing w:after="0" w:line="286" w:lineRule="exact"/>
        <w:rPr>
          <w:sz w:val="20"/>
          <w:szCs w:val="20"/>
          <w:color w:val="auto"/>
        </w:rPr>
      </w:pPr>
    </w:p>
    <w:p>
      <w:pPr>
        <w:ind w:left="200" w:right="100"/>
        <w:spacing w:after="0" w:line="375" w:lineRule="auto"/>
        <w:rPr>
          <w:sz w:val="20"/>
          <w:szCs w:val="20"/>
          <w:color w:val="auto"/>
        </w:rPr>
      </w:pPr>
      <w:r>
        <w:rPr>
          <w:rFonts w:ascii="Arial" w:cs="Arial" w:eastAsia="Arial" w:hAnsi="Arial"/>
          <w:sz w:val="15"/>
          <w:szCs w:val="15"/>
          <w:b w:val="1"/>
          <w:bCs w:val="1"/>
          <w:i w:val="1"/>
          <w:iCs w:val="1"/>
          <w:color w:val="auto"/>
        </w:rPr>
        <w:t>Claims by others that we infringe their proprietary technology or other rights, such as the lawsuits filed by Symantec Corporation, or other lawsuits asserted against us, could result in significant costs and substantially harm our business, financial condition, results of operations and prospects.</w:t>
      </w:r>
    </w:p>
    <w:p>
      <w:pPr>
        <w:spacing w:after="0" w:line="1"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color w:val="auto"/>
        </w:rPr>
        <w:t>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In addition, patent holding companies seek to monetize patents they previously developed, have purchased or otherwise obtained. Many companies, including our competitors, may now, and in the future, have significantly larger and more mature patent, copyright, trademark and trade secret portfolios than we have, which they may use to assert claims of infringement, misappropriation and other violations of intellectual property rights against us. In addition, future litigation may involve non-practicing entities or other patent owners who have no relevant product offerings or revenue and against whom our own patents may therefore provide little or no deterrence or protection. As we face increasing competition and gain an increasingly higher profile, including as a result of becoming a public company, the possibility of intellectual property rights claims against us grows. Third parties have asserted in the past and may in the future assert claims of infringement of intellectual property rights against us and these claims, even without merit, could harm our business, including by increasing our costs, reducing our revenue, creating customer concerns that result in delayed or reduced sales, distracting our management from the running of our business and requiring us to cease use of important intellectual property. In addition, because patent applications can take years to issue and are often afforded confidentiality for some period of time, there may currently be pending applications, unknown to us, that later result in issued patents that could cover one or more of our services. Moreover,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Furthermore, because of the substantial amount of discovery required in connection with patent and other intellectual property rights litigation, there is a risk that some of our confidential information could be compromised by the discovery process.</w:t>
      </w:r>
    </w:p>
    <w:p>
      <w:pPr>
        <w:spacing w:after="0" w:line="16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For example, we are currently involved in legal proceedings with Symantec Corporation, or Symantec, and Finjan, Inc., or Finjan. For additional details, see the section entitled “Business—Legal Proceedings.” We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vigorously defending ourselves against these claims; however, we cannot assure you that we will be successful in defending against these lawsuits or any future allegations of infringement. Given the early stage in these lawsuits, we are unable to predict the likelihood of success in defending against these infringement claims. If we are not successful, we could be required to pay substantial damages for past and future sales and/or licensing of our services, enjoined from making, using, selling or otherwise offering our services if a license or other right to continue selling our services is not made available to us, and required to pay substantial ongoing royalties and comply with unfavorable terms even if such a license is made available to us. Any of these outcomes could result in a material adverse effect on our business. Even if we were to prevail, these lawsuits, and any other third-party infringement claims, could be costly and time-consuming, divert the attention of our management and key personnel from our business operations, deter channel partners from selling or licensing our services and dissuade potential customers from purchasing our services, which would also materially harm our business. In addition, any public announcements of the results of any proceedings in these or other third-party infringement claims could be negatively perceived by industry or financial analysts and investors and could cause our stock price to experience volatility or decline. The expense of litigation and the timing of this expense from period to period are difficult to estimate, subject to change and could adversely affect our results of operations.</w:t>
      </w:r>
    </w:p>
    <w:p>
      <w:pPr>
        <w:spacing w:after="0" w:line="180"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customers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spacing w:after="0" w:line="18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9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From time to time, the U.S. Supreme Court, other U.S. federal courts and the U.S. Patent and Trademark Appeals Board, and their foreign counterparts,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events could materially and adversely harm our business, financial condition and results of operations.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become involved in other litigation that may materially adversely affect us.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From time to time, we may become involved in various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and/or require us to change our business practices. In addition, the expense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of litigation and the timing of this expense from period to 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117" w:lineRule="exact"/>
        <w:rPr>
          <w:sz w:val="20"/>
          <w:szCs w:val="20"/>
          <w:color w:val="auto"/>
        </w:rPr>
      </w:pPr>
    </w:p>
    <w:p>
      <w:pPr>
        <w:jc w:val="both"/>
        <w:ind w:left="200" w:firstLine="441"/>
        <w:spacing w:after="0" w:line="267" w:lineRule="auto"/>
        <w:rPr>
          <w:sz w:val="20"/>
          <w:szCs w:val="20"/>
          <w:color w:val="auto"/>
        </w:rPr>
      </w:pPr>
      <w:r>
        <w:rPr>
          <w:rFonts w:ascii="Arial" w:cs="Arial" w:eastAsia="Arial" w:hAnsi="Arial"/>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all of which provide only limited protection. The efforts we have taken to protect our intellectual property rights may not be sufficient or effective, and our patents, trademarks and copyrights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 Additionally, the U.S. Patent and Trademark Office and various foreign governmental patent agencies require compliance with a number of procedural, documentary, fee payment and other similar provisions during the patent application process and to maintain issued patents. There are situations in which noncompliance can result in abandonment or lapse of the patent or patent application, resulting in partial or complete loss of patent rights in the relevant jurisdiction. If this occurs, it could materially harm our business, operating results, financial condition and prospects.</w:t>
      </w:r>
    </w:p>
    <w:p>
      <w:pPr>
        <w:spacing w:after="0" w:line="19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We may not be effective in policing unauthorized use of our intellectual property rights, and even if we do detect violations, litigation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either of which could harm our business, operating results and financial condition.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operating results, financial condition and prospects.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operating results.</w:t>
      </w:r>
    </w:p>
    <w:p>
      <w:pPr>
        <w:spacing w:after="0" w:line="6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derive a portion of our revenue from contracts with government organizations, and we believe the success and growth of our business will in part depend on our successful procurement of additional public sector customers. However, demand from government organizations is often unpredictable, and we cannot assure you that we will be able to maintain or grow our revenue from the public sector. Sales to government entities are subject to substantial risks, including the following:</w:t>
      </w:r>
    </w:p>
    <w:p>
      <w:pPr>
        <w:spacing w:after="0" w:line="92" w:lineRule="exact"/>
        <w:rPr>
          <w:sz w:val="20"/>
          <w:szCs w:val="20"/>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to government agencies can be highly competitive, expensive and time-consuming, often requiring significant upfront time and expense without any assurance that such efforts will generate a sale;</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or other government certification requirements applicable to our cloud platform, including the Federal Risk and Authorization Management Program, are often difficult and costly to obtain and maintain and failure to do so will restrict our ability to sell to government customers;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government demand and payment for our services may be impacted by public sector budgetary cycles and funding authorizations; and</w:t>
      </w:r>
    </w:p>
    <w:p>
      <w:pPr>
        <w:spacing w:after="0" w:line="142" w:lineRule="exact"/>
        <w:rPr>
          <w:rFonts w:ascii="Arial" w:cs="Arial" w:eastAsia="Arial" w:hAnsi="Arial"/>
          <w:sz w:val="17"/>
          <w:szCs w:val="17"/>
          <w:color w:val="auto"/>
        </w:rPr>
      </w:pPr>
    </w:p>
    <w:p>
      <w:pPr>
        <w:ind w:left="1060" w:hanging="424"/>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governments routinely investigate and audit government contractors’ administrative processes and any unfavorable audit could result in fines, civil or criminal liability, further investigations, damage to our reputation and debarment from further government business.</w:t>
      </w:r>
    </w:p>
    <w:p>
      <w:pPr>
        <w:spacing w:after="0" w:line="14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and operating results.</w:t>
      </w:r>
    </w:p>
    <w:p>
      <w:pPr>
        <w:spacing w:after="0" w:line="279"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in the public sector or negatively impact our ability to contract with the public sector.</w:t>
      </w:r>
    </w:p>
    <w:p>
      <w:pPr>
        <w:spacing w:after="0" w:line="6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94"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mandatory changes to our cloud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operating results and financial condition could be adversely affected. In addition,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responding to any action will likely result in a significant diversion of management’s attention and resources and an increase in professional fees.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Enforcement actions and sanctions could materially harm our business, operating results and financial condition.</w:t>
      </w:r>
    </w:p>
    <w:p>
      <w:pPr>
        <w:spacing w:after="0" w:line="21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In addition, we must comply with laws and regulations relating to the formation, administration and performance of contracts with the public sector, including U.S. federal, state and local governmental organizations, which affect how we and our channel partners do business with governmental agencies. Selling our solutions to the U.S. government, whether directly or through channel partners, also subjects us to certain regulatory and contractual requirements. Failure to comply with these requirements by either us or our channel partners could subject us to investigations, fines and other penalties, which could have an adverse effect on our business, operating results, financial condition and prospects. As an example, the U.S. Department of Justice, or DOJ, and the General Services Administration, or GSA, have in the past pursued claims against and financial settlements with IT vendors under the False Claims Act and other statutes related to pricing and discount practices and compliance with certain provisions of GSA contracts for sales to the federal government. The DOJ and GSA continue to actively pursue such claims. Violations of certain regulatory and contractual requirements could also result in us being suspended or debarred from future government contracting. Any of these outcomes could have a material adverse effect on our revenue, operating results, financial condition and prospects.</w:t>
      </w:r>
    </w:p>
    <w:p>
      <w:pPr>
        <w:spacing w:after="0" w:line="178"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could lead to claims for damages from our channel partners or customers,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 material adverse effect on our business and operating results.</w:t>
      </w:r>
    </w:p>
    <w:p>
      <w:pPr>
        <w:spacing w:after="0" w:line="262"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were not able to satisfy data protection, security, privacy and other government- and industry-specific requirements or regulations, our business, results of operations and financial condition could be harmed.</w:t>
      </w:r>
    </w:p>
    <w:p>
      <w:pPr>
        <w:spacing w:after="0" w:line="6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Personal privacy, data protection, information security and other telecommunications regulations are significant issues in the United States, Europe and in other jurisdictions where we offer our solutions. The regulatory framework for privacy and security matters is rapidly evolving and is likely to remain uncertain for the foreseeable future. Our handling of data is subject to a variety of laws and regulations, including regulation by various government agencies.</w:t>
      </w:r>
    </w:p>
    <w:p>
      <w:pPr>
        <w:spacing w:after="0" w:line="18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The U.S. federal government, and various state and foreign governments, have adopted or proposed limitations on the collection, distribution, use and storage of personally identifiable information of individuals.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We also expect that there will continue to be new proposed laws, regulations and industry standards concerning privacy, data protection, information security and telecommunications services in the United States, the European Union and other jurisdictions in which we operate or may operate, and we cannot yet determine the impact such future laws, regulations and standards may have on our business. For example, the European Commission recently adopted the General Data Protection Regulation, effective in May 2018, that will supersede current EU data protection legislation, impose more stringent EU data protection requirements and provide for greater penalties for noncompliance. In addition, changes in laws or regulations that adversely affect the use of the internet, including laws impacting net neutrality, could impact our business. Further, China and Russia, countries in which we offer our solutions, recently enacted legislation prohibiting certain technologies, and it is not clear how broadly such prohibitions will be interpreted or applied in relation to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83"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Although we work to comply with applicable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standards and obligations, could result in additional cost and liability to us, damage our reputation, inhibit sales, and materially and adversely affect our business and operating results.</w:t>
      </w:r>
    </w:p>
    <w:p>
      <w:pPr>
        <w:spacing w:after="0" w:line="277"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62" w:lineRule="exact"/>
        <w:rPr>
          <w:sz w:val="20"/>
          <w:szCs w:val="20"/>
          <w:color w:val="auto"/>
        </w:rPr>
      </w:pPr>
    </w:p>
    <w:p>
      <w:pPr>
        <w:jc w:val="both"/>
        <w:ind w:left="200" w:firstLine="441"/>
        <w:spacing w:after="0" w:line="268" w:lineRule="auto"/>
        <w:rPr>
          <w:sz w:val="20"/>
          <w:szCs w:val="20"/>
          <w:color w:val="auto"/>
        </w:rPr>
      </w:pPr>
      <w:r>
        <w:rPr>
          <w:rFonts w:ascii="Arial" w:cs="Arial" w:eastAsia="Arial" w:hAnsi="Arial"/>
          <w:sz w:val="17"/>
          <w:szCs w:val="17"/>
          <w:color w:val="auto"/>
        </w:rPr>
        <w:t>We are subject to the U.S. Foreign Corrupt Practices Act of 1977, the UK Bribery Act 2010 and other anti-corruption, anti-bribery, anti-money laundering and similar laws in the United States and other countries in which we conduct activities. Anti-corruption and anti-bribery laws, which have been enforced aggressively and are interpreted broadly, prohibit companies and their employees and agents from promising, authorizing, making or offering improper payments or other benefits to government officials and others in the private sector. We leverage third parties, including channel partners, to sell subscriptions to our platform and conduct our business abroad. We and these third-party intermediaries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and agents, even if we do not explicitly authorize such activities. 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materially harm our reputation, business, results of operations and financial condition.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62"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Our business activities are subject to various restrictions under U.S. export and similar laws and regulations, including the U.S. Department of Commerce’s Export Administration Regulations and various economic and trade sanctions regulations administered by the U.S. Treasury Department’s Office of Foreign Assets Control. The U.S. export control laws and U.S. economic sanctions laws include restrictions or prohibitions on the sale or supply of certain products and services to U.S. embargoed or sanctioned countries, governments, persons and entities. In addition, various countries regulate the import of certain technology and have enacted or could enact laws that could limit our ability to provide our services and operate our cloud platform or could limit our customers’ ability to access or use our services in those countries.</w:t>
      </w:r>
    </w:p>
    <w:p>
      <w:pPr>
        <w:spacing w:after="0" w:line="178"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Although we take precautions to prevent our services from being provided in violation of such laws, our services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fines. We may also be materially and adversely affected through penalties, reputational harm, loss of access to certain markets, or otherwise. Obtaining the necessary authorizations, including any required license, for a particular transaction may be time-consuming, is not guaranteed and may result in the delay or loss of sales opportunities. In addition, changes in our platform, or changes in export, sanctions and import laws, could delay the introduction and sale of subscriptions to our platform in international markets, prevent users in certain countries from accessing our services or, in some cases, prevent the provision of our services to certain countries, governments, persons or entities altogether. Any change in export or import regulations, economic sanctions or related laws, shift in the enforcement or scope of existing regulations or change in the countries, governments, persons or technologies targeted by such regulations could decrease our ability to sell subscriptions to our platform to existing customers or potential new customers with international operations. Any decrease in our ability to sell subscriptions to our platform could materially and adversely affect our business, results of operations and financial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international operations expose us to significant risks, and failure to manage those risks could materially and adversely impact our business.</w:t>
      </w:r>
    </w:p>
    <w:p>
      <w:pPr>
        <w:spacing w:after="0" w:line="152"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Historically, we have derived a significant portion of our revenue from outside the United States. We derived approximately 57%, 56% and 54% of our revenue from our international customers for fiscal 2015, 2016 and 2017, respectively, and we derived approximately 53% of our revenue from our international customers for the six months ended January 31, 2018. We are continuing to adapt to and develop strategies to address international markets and our growth strategy includes expansion into target geographies, such as Japan and the Asia-Pacific region, but there is no guarantee that such efforts will be successful. As of July 31, 2017, approximately 52% of our full-time employees were located outside of the United States.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73"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economic and social uncertainty;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or uncertain protection for intellectual property rights in some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34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greater risk of a failure of foreign employees, partners, distributors and resellers to comply with both U.S. and foreign laws, including antitrust regulations, anti-bribery laws, export and import control laws, and any applicable trade regulations ensuring fair trade practices;</w:t>
      </w:r>
    </w:p>
    <w:p>
      <w:pPr>
        <w:spacing w:after="0" w:line="29"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greater difficulty in identifying, attracting and retaining local qualified personnel, and the costs and expenses associated with such activities;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 including the British Pound, Indian Rupee and Euro, and related impact on sales cycles.</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29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necessary to expand our operations and invest in new solutions could reduce our ability to compete and could harm our business.</w:t>
      </w:r>
    </w:p>
    <w:p>
      <w:pPr>
        <w:spacing w:after="0" w:line="62"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expect that our existing cash and cash equivalents and short-term investments, together with the net proceeds that we receive in this offering, will be sufficient to meet our anticipated cash needs for working capital and capital expenditures for at least the next 12 months. We may, however, need to raise additional funds in the future to fund our operating expenses, make capital purchases and acquire or invest in business or technology, and we may not be able to obtain those funds on favorable terms, or at all. If we raise additional equity financing, our stockholders may experience significant dilution of their ownership interests and the per share value of our common stock could decline. Furthermore, if we engage in debt financing, the holders of debt would have priority over the holders of our common stock, and we may be required to accept terms that restrict our ability to incur additional indebtedness or our ability to pay any dividends on our common stock, though we do not intend to pay dividends in the foreseeable future. We may also be required to take other actions, any of which could harm our business and operating results. If we are unable to obtain adequate financing, or financing on terms satisfactory to us, when we require it, our ability to continue to support our business growth and to respond to business challenges could be significantly limited, and our business, operating results, financial condition and prospects could be materially and adversely affected.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Adverse economic conditions or reduced IT security spending may adversely impact our revenue and profitability.</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operations and performance depend in part on worldwide economic conditions and the impact these conditions have on levels of spending on IT networking and security solutions. Our business depends on the overall demand for these solutions and on the economic health and general willingness of our current and prospective customers to purchase our security services. Weak economic conditions, or a reduction in IT security spending, could materially and adversely affect our business, operating results and financial condition in a number of ways, including by reducing sales, lengthening sales cycles and lowering prices for our services.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estimates of market opportunity and forecasts of market growth included in this prospectus may prove to be inaccurate.</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This prospectus includes our internal estimates of the addressable market for security appliances. Market opportunity estimates and growth forecasts, whether obtained from third-party sources or developed internally, are subject to significant uncertainty and are based on assumptions and estimates that may not prove to be accurate. The estimates and forecasts in this prospectus relating to the size and expected growth of our target market, market demand and adoption, capacity to address this demand, and pricing may prove to be inaccurate. In particular, our estimates regarding our current and projected market opportunity are difficult to predict. In addition, our internal estimates of the addressable market for security appliances reflect the opportunity available from all participants and potential participants in the market. The addressable market we estimate may not materialize for many years, if ever, and even if the markets in which we compete meet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believe our long-term value as a company will be greater if we focus on growth, which may negatively impact our profitability in the near term.</w:t>
      </w:r>
    </w:p>
    <w:p>
      <w:pPr>
        <w:spacing w:after="0" w:line="15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Part of our business strategy is to primarily focus on our long-term growth. As a result, our profitability may be lower in the near term, particularly in fiscal 2018, than it would be if our strategy were to maximize short-term profitability. Significant expenditures on sales and marketing efforts, and expenditures on growing our cloud platform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296"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62"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As a public company, we will be subject to the reporting requirements of the Securities Exchange Act of 1934, as amended, or the Exchange Act, the Sarbanes-Oxley Act of 2002, or the Sarbanes-Oxley Act, and the rules and regulations of The Nasdaq Global Select Market, or Nasdaq. We expect that the requirements of these rules and regulations will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internal controls over financial reporting and other procedures that are designed to ensure information required to be disclosed by us in the reports that we will file with the U.S. Securities and Exchange Commission, or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58"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common stock.</w:t>
      </w:r>
    </w:p>
    <w:p>
      <w:pPr>
        <w:spacing w:after="0" w:line="181"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order to maintain and improve the effectiveness of our disclosure controls and procedures and internal controls over financial reporting, we have expended and anticipate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stock price could decline. In addition, if we are unable to continue to meet these requirements, we may not be able to remain listed on Nasdaq.</w:t>
      </w:r>
    </w:p>
    <w:p>
      <w:pPr>
        <w:spacing w:after="0" w:line="165"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are not currently required to comply with the SEC rules that implement Sections 302 and 404 of the Sarbanes-Oxley Act, and we are therefore not required to make a formal assessment of the effectiveness of our internal controls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on Form 10-K. To comply with the requirements of being a public company, we will need to undertake various actions, such as implementing new internal controls and procedures and hiring accounting or internal audit staff.</w:t>
      </w:r>
    </w:p>
    <w:p>
      <w:pPr>
        <w:spacing w:after="0" w:line="17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 and could cause a decline in the price of our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operating results.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vast majority of our sales contracts are denominated in U.S. dollars, and therefore, substantially all of our revenue is not subject to foreign currency risk. However, a strengthening of the U.S. dollar could increase the real cost of our solutions to our customers outside of the United States, which could adversely affect our financial condition and operating results. In addition, an increasing portion of our operating expenses is incurred outside the United States, is denominated in foreign currencies, such as the British Pound, Indian Rupee and Euro, and is subject to fluctuations due to changes in foreign currency exchange rates. If we become more exposed to currency fluctuations and are not able to successfully hedge against the risks associated with currency fluctuations, our operating results could be materially and adversely affected.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On December 22, 2017, President Trump signed into law legislation commonly referred to as the Tax Cuts and Jobs Act of 2017, or the Tax Act,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capital expenditures, and puts into effect the migration from a “worldwide” system of taxation to a territorial system. We continue to examine the impact this tax reform legislation may have on our business, and the new tax law could have material adverse impacts on our business, cash flows, results of operations or financial conditions.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6"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materially and adversely affect our operating results.</w:t>
      </w:r>
    </w:p>
    <w:p>
      <w:pPr>
        <w:spacing w:after="0" w:line="266"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62"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As of July 31, 2017, we had net operating loss carryforwards for U.S. federal income tax purposes and state income tax purposes of $150.0 million and $68.3 million, respectively, available to offset future taxable income. If not utilized, both the federal and state tax credit carryforwards will begin to expire in fiscal 2024. Realization of these net operating loss and research tax credit carryforwards depends on future income, and there is a risk that our existing carryforwards could expire unused and be unavailable to offset future income tax liabilities, which could materially and adversely affect our results of operations.</w:t>
      </w:r>
    </w:p>
    <w:p>
      <w:pPr>
        <w:spacing w:after="0" w:line="18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addition, under Section 382 of the Internal Revenue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We do not expect to experience an ownership change in connection with this offering, though any such ownership change could result in increased future tax liability. In addition, we may experience ownership changes in the future as a result of subsequent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9"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not yet determined the consequences to our business of the Tax Act, which could have a material impact on the value of our deferred tax assets and could increase our future U.S. tax expense. For example, the new tax laws impose an 80% limitation on the use of net operating losses that were generated in tax years beginning after December 31, 2017, creating the risk that net operating losses generated in the future could expire unused and be unavailable to offset future income tax liabilities.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100"/>
        <w:spacing w:after="0" w:line="375" w:lineRule="auto"/>
        <w:rPr>
          <w:sz w:val="20"/>
          <w:szCs w:val="20"/>
          <w:color w:val="auto"/>
        </w:rPr>
      </w:pPr>
      <w:r>
        <w:rPr>
          <w:rFonts w:ascii="Arial" w:cs="Arial" w:eastAsia="Arial" w:hAnsi="Arial"/>
          <w:sz w:val="15"/>
          <w:szCs w:val="15"/>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operating results, financial condition and prospects.</w:t>
      </w:r>
    </w:p>
    <w:p>
      <w:pPr>
        <w:spacing w:after="0" w:line="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business strategy may, from time to time, include acquiring other complementary solutions, technologies or businesses. In order to expand our security offerings and features, we also may enter into relationships with other businesses, which could involve preferred or exclusive licenses, additional channels of distribution or investments in other companies. Negotiating these transactions can be time-consuming, difficult and costly, and our ability to close these transactions may be subject to third-party approvals, such as government regulatory approvals, which are beyond our control. Consequently, we cannot assure you that these transactions, once undertaken and announced, will close.</w:t>
      </w:r>
    </w:p>
    <w:p>
      <w:pPr>
        <w:spacing w:after="0" w:line="173"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These kinds of acquisitions or investments may result in unforeseen operating difficulties and expenditures. In particular, we may encounter difficulties assimilating or integrating the businesses, technologies, products and services, personnel or operations of companies that we may acquire, particularly if the key personnel of an acquired business choose not to work for us. We may have difficulty retaining the customers of any acquired business or using or continuing the development of the acquired technologies. Acquisitions may also disrupt our ongoing business, divert our resources and require significant management attention that would otherwise be available for development of our business. We may not successfully evaluate or utilize the acquired technology or personnel, or accurately forecast the financial impact of an acquisition transaction, including accounting charges. Any acquisition or investment could expose us to unknown liabilities. Moreover, we cannot assure you that the anticipated benefits of any acquisition or investment would be realized or that we would not be exposed to unknown liabilities. In connection with these types of transactions, we may:</w:t>
      </w:r>
    </w:p>
    <w:p>
      <w:pPr>
        <w:spacing w:after="0" w:line="72"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encounter difficulties integrating diverse business cultures;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These challenges related to acquisitions or investments could adversely affect our business, operating results, financial condition and prospects.</w:t>
      </w:r>
    </w:p>
    <w:p>
      <w:pPr>
        <w:spacing w:after="0" w:line="356"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62"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determination of revenue recognition, deferred revenue and deferred contract acquisition costs, specifically related to our adoption of the new revenue recognition standard; allowance for doubtful accounts; valuation of common stock options; useful lives of property and equipment; the period of benefit generated from our deferred contract acquisition costs; loss contingencies related to litigation; and valuation of deferred tax assets. Our results of operations may be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24"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 and Ownership of Our Common Stock</w:t>
      </w:r>
    </w:p>
    <w:p>
      <w:pPr>
        <w:spacing w:after="0" w:line="22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We anticipate that our executive officers, directors, current 5% or greater stockholders and affiliated entities will together beneficially own approximately 61.8% of our common stock outstanding after this offering (or 60.9% if the underwriters exercise their over-allotment option in full), with Jay Chaudhry, our president, chief executive officer and chairman of our board of directors, and his affiliates beneficially owning approximately 22.9% (or 22.5% if the underwriters exercise their over-allotment option in full) of our common stock. As a result, these stockholders, acting together, will have control over most matters that require approval by our stockholders, including the election of directors and approval of significant corporate transactions. Corporate action might be taken even if other stockholders, including those who purchase shares in this offering, oppose them. This concentration of ownership might also have the effect of delaying or preventing a change of control of us that other stockholders may view as beneficial.</w:t>
      </w:r>
    </w:p>
    <w:p>
      <w:pPr>
        <w:spacing w:after="0" w:line="27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62"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amended and restated certificate of incorporation that will be in effect upon completion of this offering authorizes us to issue up to one billion shares of common stock and up to two hundred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or otherwise. Any such issuance could result in substantial dilution to our existing stockholders and cause the market price of our common stock to decline.</w:t>
      </w:r>
    </w:p>
    <w:p>
      <w:pPr>
        <w:spacing w:after="0" w:line="281"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16"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initial public offering price of our common stock will be substantially higher than the pro forma net tangible book value per share of our common stock immediately following this offering, based on the total value of our tangible assets less our total liabilities. Therefore, if you purchase shares of our common stock in this offering, you will experience immediate dilution of $12.74 per share, the difference between the price per share you pay for our common stock and its pro forma net tangible book value per share as of January 31, 2018, after giving effect to the issuance of shares of our common stock in this offering and assuming an initial public offering price of $14.00 per share, the midpoint of the range on the cover page of this prospectus. Furthermore, if</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underwriters exercise their over-allotment option in full, outstanding options are exercised, we issue awards to our employees under our equity incentive plans or we otherwise issue additional shares of our common stock, you could experience further dilution. See “Dilution” for more information.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public trading market may not develop or be sustained following this offering.</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Prior to this offering, there has been no public market or active private market for our common stock. We have been approved to list our common stock on Nasdaq;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 We cannot predict the prices at which our common stock will trade. The initial public offering price of our common stock will be determined by negotiations between us and the underwriters and may not bear any relationship to the market price at which our common stock will trade after this offering or to any other established criteria of the value of our business and prospects.</w:t>
      </w:r>
    </w:p>
    <w:p>
      <w:pPr>
        <w:spacing w:after="0" w:line="287"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7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10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9" w:lineRule="exact"/>
        <w:rPr>
          <w:rFonts w:ascii="Arial" w:cs="Arial" w:eastAsia="Arial" w:hAnsi="Arial"/>
          <w:sz w:val="16"/>
          <w:szCs w:val="16"/>
          <w:color w:val="auto"/>
        </w:rPr>
      </w:pPr>
    </w:p>
    <w:p>
      <w:pPr>
        <w:ind w:left="1060" w:hanging="424"/>
        <w:spacing w:after="0" w:line="308"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jc w:val="both"/>
        <w:ind w:left="1060" w:hanging="424"/>
        <w:spacing w:after="0" w:line="271"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jc w:val="both"/>
        <w:ind w:left="1060" w:hanging="424"/>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requirement for the affirmative vote of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03"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 See “Description of Capital Stock—Description of Certain Terms in Our Charter Document and Delaware Law.”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us and the underwriters. The market price of our common stock following this offering may fluctuate substantially and may be lower than the initial public offering price. The market price of our common stock following this offering will depend on a number of factors, including those described in this “Risk Factors” section, many of which are beyond our control and may not be related to our operating performance. These fluctuations could cause you to lose all or part of your investment in our common stock, since you might not be able to sell your shares at or above the price you paid in this offering. Factors that could cause fluctuations in the market price of our common stock include the following:</w:t>
      </w:r>
    </w:p>
    <w:p>
      <w:pPr>
        <w:spacing w:after="0" w:line="95"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expiration of market stand-off or contractual lock-up agreements and sales of shares of our common stock by us or our stockholders;</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Chaudhry;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operating results and financial condition.</w:t>
      </w:r>
    </w:p>
    <w:p>
      <w:pPr>
        <w:spacing w:after="0" w:line="273"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3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January 31, 2018, upon completion of this offering, we will have 117,331,507 shares of common stock outstanding, assuming no exercise of our outstanding stock options after January 31, 2018 and assuming no exercise by the underwriters of their over-allotment option.</w:t>
      </w:r>
    </w:p>
    <w:p>
      <w:pPr>
        <w:spacing w:after="0" w:line="19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All of the shares of common stock sold in this offering, other than shares that may be purchased by entities associated with Charles Giancarlo, Lane Bess, Scott Darling and Karen Blasing, which will be subject to a lock-up agreement as described further below, will be freely tradable without restrictions or further registration under the Securities Act of 1933, as amended, or the Securities Act, except for any shares held by our affiliates as defined in Rule 144 under the Securities Act.</w:t>
      </w:r>
    </w:p>
    <w:p>
      <w:pPr>
        <w:spacing w:after="0" w:line="18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Subject to certain exceptions described in the section titled “Underwriting,” we, all of our directors and executive officers and holders of substantially all of our common stock, or securities exercisable for or convertible into our common stock outstanding immediately prior to this offering, are subject to market stand-off agreements or have agreed not to offer, sell or agree to sell, directly or indirectly, any shares of common stock without the permission of Morgan Stanley &amp; Co. LLC and Goldman Sachs &amp; Co. LLC on behalf of the underwriters, for a period of 180 days from the date of this prospectus. When the lock-up period expires, we and our security holders subject to a lock-up agreement or market stand-off agreement will be able to sell our shares in the public market. In addition, the underwriters may, in their sole discretion, release all or some portion of the shares subject to lock-up agreements prior to the expiration of the lock-up period. See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addition, following this offering, holders of an aggregate of up to 72,500,750 shares of our common stock, based on shares outstanding as of January 31, 2018, will be entitled to rights with respect to registration of these shares under the Securities Act pursuant to our amended and restated investors’ rights agreement. If these holders of our common stock, by exercising their registration rights, sell a large number of shares, they could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adversely affect the market price for our common stock. We also intend to register the offer and sale of all shares of common stock that we may issue under our equity compensation plans.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289"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62"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for use in the operation of our business and do not anticipate paying any dividends on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62"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77"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the funds raised in this offering, and we may use them in ways that may not enhance our operating results or the price of our common stock.</w:t>
      </w:r>
    </w:p>
    <w:p>
      <w:pPr>
        <w:spacing w:after="0" w:line="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to create a public market for our stock and thereby enable access to the public equity markets for our employees and stockholders, to obtain additional capital and to increase our visibility in the marketplace. We currently intend to use a significant portion of the net proceeds from this offering for general corporate purposes, including for any of the purposes described in “Use of Proceeds.” However, we do not currently have any specific or preliminary plans for the net proceeds from this offering and will have broad discretion in how we use the net proceeds of this offering. We could spend the proceeds from this offering in ways that our stockholders may not agree with or that do not yield a favorable return. You will not have the opportunity as part of your investment decision to assess whether the net proceeds are being used appropriately. Investors in this offering will need to rely upon the judgment of our management with respect to the use of proceeds. If we do not use the net proceeds that we receive in this offering effectively, our business, financial condition, results of operations and prospects could be harmed, and the market price of our common stock could decline.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completion of this offering, provides that the Court of Chancery of the State of Delaware is the exclusive forum for:</w:t>
      </w:r>
    </w:p>
    <w:p>
      <w:pPr>
        <w:spacing w:after="0" w:line="76"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 (ii) the first fiscal year after our annual gross revenue is $1.07 billion or more; (iii) the date on which we have, during the previous three-year period, issued more than $1.0 billion in non-convertible debt securities; or (iv) as of the end of any fiscal year in which the market value of our common stock held by non-affiliates exceeded $700.0 million as of the end of the second quarter of that fiscal year.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public company, we will be subject to the reporting and corporate governance requirements of the Exchange Act, the listing requirements of Nasdaq and other applicable securities rules and regulations, including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Sarbanes-Oxley Act and the Dodd-Frank Wall Street Reform and Consumer Protection Act. Compliance with these rules and regulations will increase our legal and financial compliance costs, make some activities more difficult, time-consuming or costly and increase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additional personnel to help comply with these requirements, we may need to further expand our legal and finance departments in the future, which will increase our costs and expenses.</w:t>
      </w:r>
    </w:p>
    <w:p>
      <w:pPr>
        <w:spacing w:after="0" w:line="18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7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and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31" w:lineRule="exact"/>
        <w:rPr>
          <w:sz w:val="20"/>
          <w:szCs w:val="20"/>
          <w:color w:val="auto"/>
        </w:rPr>
      </w:pPr>
    </w:p>
    <w:p>
      <w:pPr>
        <w:jc w:val="both"/>
        <w:ind w:left="106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beliefs and objectives for future operations, including regarding our estimated total addressable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15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This prospectus includes industry and market data, estimates and forecasts that we obtained from industry publications and research, surveys, studies conducted by third parties as well as other information based on our internal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these industry publications and third-party research, surveys and studies are reliable. This information involves a number of assumptions and limitations, and you are cautioned not to give undue weight to these estimates. The industry in which we operate is subject to a high degree of uncertainty and risk due to a variety of important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66"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Cloud Shadow IT Survey conducted by Vanson Bourne on behalf of NTT Communications, March 2016.</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Forrester Research, Inc., The Forrester Wave: SaaS Web Content Security, Q2 2015, 26 June 2015.</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Data Corporation, Inc., Worldwide Data Loss Prevention Forecast, 2016-2020, March 2016.</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Data Corporation, Inc., Worldwide IT Security Products Forecast, 2017-2020: Comprehensive Security Products Forecast Review, March 2017.</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Data Corporation, Inc., Worldwide Network Security Forecast, 2017-2021, September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McKinsey &amp; Company, IT as a service: From build to consume, September 2016.</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estimate that the net proceeds to us from the sale of shares of our common stock offered by us in this offering at the assumed initial public offering price of $14.00 per share, which is the midpoint of the estimated offering price range set forth on the cover page of this prospectus, and after deducting the estimated underwriting discounts and commissions and estimated offering expenses payable by us, will be approximately $150.7 million, or approximately $174.2 million if the underwriters exercise their over-allotment option in full.</w:t>
      </w:r>
    </w:p>
    <w:p>
      <w:pPr>
        <w:spacing w:after="0" w:line="18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Each $1.00 increase or decrease in the assumed initial public offering price of $14.00 per share, the midpoint of the price range set forth on the cover page of this prospectus, would increase or decrease, respectively, the net proceeds to us from this offering by approximately $11.2 million, assuming the number of shares offered by us, as set forth on the cover page of this prospectus, remains the same and after deducting the estimated underwriting discounts and commissions payable by us. Similarly, each 1.0 million increase or decrease in the number of shares offered by us would increase or decrease, respectively, the net proceeds to us from this offering by approximately $13.0 million, assuming the initial public offering price of $14.00 per share, the midpoint of the price range set forth on the cover page of this prospectus, remains the same and after deducting the estimated underwriting discounts and commissions payable by us.</w:t>
      </w:r>
    </w:p>
    <w:p>
      <w:pPr>
        <w:spacing w:after="0" w:line="178"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to create a public market for our stock and thereby enable access to the public equity markets for our employees and stockholders, to obtain additional capital and to increase our visibility in the marketplace. We currently intend to use the net proceeds we receive from this offering primarily for general corporate purposes, including working capital, sales and marketing activities, research and development, general and administrative matters and capital expenditures, although we do not currently have any specific or preliminary plans with respect to the use of proceeds for such purposes. In addition, we may also use a portion of the net proceeds for the acquisition of, or investment in, technologies, solutions, products or businesses that complement our business, although we have no present commitments or agreements to enter into any material acquisitions or investments. We will have broad discretion over the uses of the net proceeds of this offering. Pending these uses, we intend to invest the net proceeds in short-term, investment-grade interest-bearing securities such as money market accounts, certificates of deposit, commercial paper and guaranteed obligations of the U.S. government.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cash and cash equivalents, as well as our capitalization, as of January 31, 2018 on:</w:t>
      </w:r>
    </w:p>
    <w:p>
      <w:pPr>
        <w:spacing w:after="0" w:line="131"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jc w:val="both"/>
        <w:ind w:left="1060" w:right="2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basis, to reflect (i) the automatic conversion of all outstanding shares of our convertible preferred stock into 72,500,750 shares of our common stock and (ii) the filing and effectiveness of our amended and restated certificate of incorporation in Delaware, each of which will occur immediately prior to the completion of this offering; and</w:t>
      </w:r>
    </w:p>
    <w:p>
      <w:pPr>
        <w:spacing w:after="0" w:line="86" w:lineRule="exact"/>
        <w:rPr>
          <w:rFonts w:ascii="Arial" w:cs="Arial" w:eastAsia="Arial" w:hAnsi="Arial"/>
          <w:sz w:val="18"/>
          <w:szCs w:val="18"/>
          <w:color w:val="auto"/>
        </w:rPr>
      </w:pPr>
    </w:p>
    <w:p>
      <w:pPr>
        <w:jc w:val="both"/>
        <w:ind w:left="1060" w:right="20" w:hanging="424"/>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as adjusted basis, to give further effect to the sale and issuance by us of 12,000,000 shares of our common stock in this offering at an assumed initial public offering price of $14.00 per share, which is the midpoint of the estimated offering price range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January 31, 2018</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1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gridSpan w:val="9"/>
          </w:tcPr>
          <w:p>
            <w:pPr>
              <w:jc w:val="center"/>
              <w:ind w:right="13"/>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data)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71,569</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w w:val="97"/>
              </w:rPr>
              <w:t>Redeemable convertible preferred stock; $0.001 par value; 73,100,000 shares authorized,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2"/>
              </w:rPr>
              <w:t>actual; 72,500,750 shares issued and outstanding, actual; 73,100,000 shares authorized, pro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forma; 200,000,000 shares authorized, pro forma, as adjusted; no shares issued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206,086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4"/>
              </w:rPr>
              <w:t>Common stock; $0.001 par value; 130,000,000 shares authorized, actual; 32,830,757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7"/>
              </w:rPr>
              <w:t>issued and outstanding, actual; 130,000,000 shares authorized, pro forma; 105,331,507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5"/>
              </w:rPr>
              <w:t>shares issued and outstanding, pro forma; 1,000,000,000 shares authorized, pro forma 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adjusted; 117,331,507 shares issued and outstanding, pro forma as adjusted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227,022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Notes receivable from stockholders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(7,755)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(180,367)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(180,367)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(167,058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jc w:val="both"/>
        <w:ind w:left="520" w:right="20" w:hanging="316"/>
        <w:spacing w:after="0" w:line="234"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$14.00 per share, the midpoint of the price range set forth on the cover page of this prospectus, would increase or decrease, respectively, the amount of cash and cash equivalents, additional paid-in capital, total stockholders’ (deficit) equity and total capitalization by $11.2 million, assuming the number of shares offered by us, as set forth on the cover page of this prospectus, remains the same and after deducting the estimated underwriting discounts and commissions. We may also increase or decrease the number of shares we are offering. An increase or decrease of 1.0 million in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520"/>
        <w:spacing w:after="0" w:line="234" w:lineRule="auto"/>
        <w:rPr>
          <w:sz w:val="20"/>
          <w:szCs w:val="20"/>
          <w:color w:val="auto"/>
        </w:rPr>
      </w:pPr>
      <w:r>
        <w:rPr>
          <w:rFonts w:ascii="Arial" w:cs="Arial" w:eastAsia="Arial" w:hAnsi="Arial"/>
          <w:sz w:val="14"/>
          <w:szCs w:val="14"/>
          <w:color w:val="auto"/>
        </w:rPr>
        <w:t>number of shares we are offering would increase or decrease, respectively, the amount of cash and cash equivalents, additional paid-in capital, total stockholders’ (deficit) equity and total capitalization by approximately $13.0 million, assuming the initial public offering price of $14.00 per share, the midpoint of the price range set forth on the cover page of this prospectus,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pro forma as adjusted cash and cash equivalents, additional paid-in capital, total stockholders’ (deficit) equity, total capitalization and shares of common stock outstanding as of January 31, 2018, would be $245.7 million, $401.2 million, $213.2 million, $213.2 million and 119,131,507 shares, respectively.</w:t>
      </w:r>
    </w:p>
    <w:p>
      <w:pPr>
        <w:spacing w:after="0" w:line="181"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The number of shares of our common stock that will be outstanding after this offering is based on 105,331,507 shares of our common stock (including shares of our convertible preferred stock on an as-converted basis) outstanding as of January 31, 2018, and excludes:</w:t>
      </w:r>
    </w:p>
    <w:p>
      <w:pPr>
        <w:spacing w:after="0" w:line="52" w:lineRule="exact"/>
        <w:rPr>
          <w:sz w:val="20"/>
          <w:szCs w:val="20"/>
          <w:color w:val="auto"/>
        </w:rPr>
      </w:pPr>
    </w:p>
    <w:p>
      <w:pPr>
        <w:ind w:left="10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14,949,423 shares of our common stock issuable upon the exercise of options to purchase shares of our common stock outstanding as of January 31, 2018, with a weighted-average exercise price of $5.06 per share;</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2,965,890 shares of our common stock issuable upon the exercise of options to purchase shares of our common stock granted after January 31, 2018, with a weighted-average exercise price of $11.00 per share;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12,700,000 shares of common stock reserved for future issuance under our 2018 Plan and 2,200,000 shares of common stock reserved for future issuance under our ESPP.</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2018 Plan and our ESPP each provide for annual automatic increases in the number of shares reserved thereunder, and our 2018 Plan also provides for increases to the number of shares of common stock that may be granted thereunder based on shares underlying any awards under our 2007 Plan that expire, are forfeited or are otherwise terminated, as more fully described in the section titled “Executive Compensation—Employee Benefit and Stock Plans.”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Net tangible book value is determined by dividing our total tangible assets less our total liabilities by the number of shares of common stock outstanding. Our historical net tangible book value as of January 31, 2018 was approximately $(3.2) million, or $(0.10) per share. As of January 31, 2018, our pro forma net tangible book value was approximately $(3.2) million, or $(0.03) per share of common stock. Our pro forma net tangible book value per share represents the amount of our total tangible assets reduced by the amount of our total liabilities and divided by the total number of shares of our common stock outstanding as of January 31, 2018, after giving effect to the automatic conversion of all outstanding shares of our convertible preferred stock as of January 31, 2018 into 72,500,750 shares of common stock.</w:t>
      </w:r>
    </w:p>
    <w:p>
      <w:pPr>
        <w:spacing w:after="0" w:line="178"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After giving effect to our sale in this offering of 12,000,000 shares of our common stock, at an assumed initial public offering price of $14.00 per share, the midpoint of the estimated offering price range set forth on the cover page of this prospectus, after deducting the estimated underwriting discounts and commissions and estimated offering expenses payable by us, our pro forma as adjusted net tangible book value as of January 31, 2018 would have been approximately $147.5 million, or $1.26 per share of our common stock. This represents an immediate increase in pro forma net tangible book value of $1.29 per share to our existing stockholders and an immediate dilution of $12.74 per share to investors purchasing shares in this offering at the assumed initial offering price. The following table illustrates this dilution:</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January 31, 2018</w:t>
            </w:r>
          </w:p>
        </w:tc>
        <w:tc>
          <w:tcPr>
            <w:tcW w:w="2040" w:type="dxa"/>
            <w:vAlign w:val="bottom"/>
            <w:gridSpan w:val="3"/>
          </w:tcPr>
          <w:p>
            <w:pPr>
              <w:jc w:val="right"/>
              <w:ind w:right="51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as adjusted to give effect to this offering</w:t>
            </w:r>
          </w:p>
        </w:tc>
        <w:tc>
          <w:tcPr>
            <w:tcW w:w="9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as adjusted to new investors in this offering</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9" w:lineRule="auto"/>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 offering determined at pricing. A $1.00 increase or decrease in the assumed initial public offering price of $14.00 per share, the midpoint of the price range set forth on the cover page of this prospectus, would increase or decrease, as applicable, our pro forma net tangible book value, as adjusted to give effect to this offering, by $0.09 or $0.10 per share, respectively, and would increase or decrease, as applicable, the dilution in pro forma as adjusted net tangible book value per share to new investors in this offering by $0.91 or $0.90 per share, respectively, assuming the number of shares offered by us, as set forth on the cover page of this prospectus, remains the same and after deducting the estimated underwriting discounts and commissions. Each 1.0 million increase or decrease in the number of shares offered by us as set forth on the cover page of this prospectus, would increase or decrease our pro forma net tangible book value, as adjusted to give effect to this offering, by $0.10 per share, and would increase or decrease, as applicable, the dilution in pro forma as adjusted net tangible book value per share to new investors in this offering by $0.10 per share, assuming that the assumed initial public offering price of $14.00 per share, the midpoint of the price range set forth on the cover page of this prospectus, remains the same and after deducting the estimated underwriting discounts and commissions.</w:t>
      </w:r>
    </w:p>
    <w:p>
      <w:pPr>
        <w:spacing w:after="0" w:line="183"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the pro forma net tangible book value per share of our common stock after giving effect to this offering would be $1.43 per share, and the dilution in net tangible book value per share to investors in this offering would be $12.57 per share.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The following table summarizes, on a pro forma as adjusted basis as of January 31, 2018 after giving effect to the sale of shares of common stock by us in this offering at an assumed initial public offering price of $14.00 per share, the midpoint of the estimated offering price range on the cover page of this prospectus, the difference between existing stockholders and new investors with respect to the number of shares of common stock purchased from us, the total consideration paid to us and the average price per share paid or to be paid to us at an assumed initial public offering price of $14.00 per share, the midpoint of the estimated offering price range on the cover page of this prospectus, before deducting the estimated underwriting discounts and commissions and estimated offering expenses payable by 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w w:val="91"/>
              </w:rPr>
              <w:t>Shares Purchased</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w w:val="98"/>
              </w:rPr>
              <w:t>Average Price</w:t>
            </w: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4"/>
              </w:rPr>
              <w:t>Amount</w:t>
            </w:r>
          </w:p>
        </w:tc>
        <w:tc>
          <w:tcPr>
            <w:tcW w:w="11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105,331,507</w:t>
            </w: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204,426</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54.9%</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New public investors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12,000,000</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168,000</w:t>
            </w:r>
          </w:p>
        </w:tc>
        <w:tc>
          <w:tcPr>
            <w:tcW w:w="6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80" w:type="dxa"/>
            <w:vAlign w:val="bottom"/>
          </w:tcPr>
          <w:p>
            <w:pPr>
              <w:spacing w:after="0"/>
              <w:rPr>
                <w:sz w:val="19"/>
                <w:szCs w:val="19"/>
                <w:color w:val="auto"/>
              </w:rPr>
            </w:pP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117,331,507</w:t>
            </w: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372,426</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 offering determined at pricing. Each $1.00 increase or decrease in the assumed initial public offering price of $14.00 per share, the midpoint of the price range set forth on the cover page of this prospectus, would increase or decrease total consideration paid by new investors and total consideration paid by all stockholders by approximately $11.2 million, assuming that the number of shares offered by us, as set forth on the cover page of this prospectus, remains the same and after deducting the estimated underwriting discounts and commissions.</w:t>
      </w:r>
    </w:p>
    <w:p>
      <w:pPr>
        <w:spacing w:after="0" w:line="173"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To the extent that any outstanding options are exercised, or we issue any securities or convertible debt in the future, investors will experience further dilution.</w:t>
      </w:r>
    </w:p>
    <w:p>
      <w:pPr>
        <w:spacing w:after="0" w:line="170"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Except as otherwise indicated, the above discussion and tables assume no exercise by the underwriters of their over-allotment option. If the underwriters exercise their over-allotment option in full, our existing stockholders would own 88.4% and the investors purchasing shares of our common stock in this offering would own 11.6% of the total number of shares of our common stock outstanding immediately after completion of this offering.</w:t>
      </w:r>
    </w:p>
    <w:p>
      <w:pPr>
        <w:spacing w:after="0" w:line="147"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number of shares of our common stock that will be outstanding after this offering is based on 105,331,507 shares of our common stock (including shares of our convertible preferred stock on an as-converted basis) outstanding as of January 31, 2018, and excludes:</w:t>
      </w:r>
    </w:p>
    <w:p>
      <w:pPr>
        <w:spacing w:after="0" w:line="52" w:lineRule="exact"/>
        <w:rPr>
          <w:sz w:val="20"/>
          <w:szCs w:val="20"/>
          <w:color w:val="auto"/>
        </w:rPr>
      </w:pPr>
    </w:p>
    <w:p>
      <w:pPr>
        <w:ind w:left="1060" w:right="2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14,949,423 shares of our common stock issuable upon the exercise of options to purchase shares of our common stock outstanding as of January 31, 2018, with a weighted-average exercise price of $5.06 per share;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2,965,890 shares of our common stock issuable upon the exercise of options to purchase shares of our common stock granted after January 31, 2018, with a weighted-average exercise price of $11.00 per share; and</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12,700,000 shares of common stock reserved for future issuance under our 2018 Plan and 2,200,000 shares of common stock reserved for future issuance under our ESPP.</w:t>
      </w:r>
    </w:p>
    <w:p>
      <w:pPr>
        <w:spacing w:after="0" w:line="170"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Our 2018 Plan and our ESPP each provide for annual automatic increases in the number of shares reserved thereunder, and our 2018 Plan also provides for increases to the number of shares of common stock that may be granted thereunder based on shares underlying any awards under our 2007 Plan that expire, are forfeited or are otherwise terminated, as more fully described in the section titled “Executive Compensation—Employee Benefit and Stock Plans.”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200" w:right="20" w:firstLine="441"/>
        <w:spacing w:after="0" w:line="270" w:lineRule="auto"/>
        <w:rPr>
          <w:sz w:val="20"/>
          <w:szCs w:val="20"/>
          <w:color w:val="auto"/>
        </w:rPr>
      </w:pPr>
      <w:r>
        <w:rPr>
          <w:rFonts w:ascii="Arial" w:cs="Arial" w:eastAsia="Arial" w:hAnsi="Arial"/>
          <w:sz w:val="17"/>
          <w:szCs w:val="17"/>
          <w:color w:val="auto"/>
        </w:rPr>
        <w:t>The selected consolidated statements of operations data presented below for fiscal 2015, 2016 and 2017 and the consolidated balance sheet data as of July 31, 2016 and 2017 (except for the pro forma share and pro forma net loss per share information) are derived from our audited consolidated financial statements that are included elsewhere in this prospectus. The selected consolidated statements of operations data presented below for the six months ended January 31, 2017 and 2018 and the consolidated balance sheet data as of January 31, 2018 is derived from our unaudited interim consolidated financial statements that are included elsewhere in this prospectus. In management’s opinion, the unaudited interim consolidated financial statements include all adjustments necessary to state fairly our financial position as of January 31, 2018 and the results of operations and cash flows for the six months ended January 31, 2017 and 2018. Our historical results are not necessarily indicative of the results that may be expected in the future and our results for the six months ended January 31, 2018 are not necessarily indicative of the results that may be expected for the full fiscal year ending July 31, 2018 or any other period.</w:t>
      </w:r>
    </w:p>
    <w:p>
      <w:pPr>
        <w:spacing w:after="0" w:line="182"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selected consolidated financial data below should be read in conjunction with the section entitled “Management’s Discussion and Analysis of Financial Condition and Results of Operations” and our consolidated financial statements and related notes included elsewhere in this prospectus.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6"/>
              </w:rPr>
              <w:t>Year Ended July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40" w:type="dxa"/>
            <w:vAlign w:val="bottom"/>
            <w:gridSpan w:val="8"/>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6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53,707</w:t>
            </w: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80,325</w:t>
            </w: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125,717</w:t>
            </w: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56,209</w:t>
            </w:r>
          </w:p>
        </w:tc>
        <w:tc>
          <w:tcPr>
            <w:tcW w:w="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84,837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27,472</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39,276</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98,245</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32,191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56,702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79,236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51,694</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133,318</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58,226</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(12,418)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(26,843)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(35,073)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(14,458)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(12,599)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(26,970)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(34,583)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(14,262)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(12,832)</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(27,438)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(35,460)</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(14,629)</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Accretion of Series C and D redeemable convertible preferred stock</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(12,979)</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(36,086)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(45,030)</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(19,362)</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 basic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15"/>
                <w:szCs w:val="15"/>
                <w:color w:val="auto"/>
              </w:rPr>
              <w:t>(2)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23,519</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28,533</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w w:val="95"/>
              </w:rPr>
              <w:t>Weighted-average shares used in computing pro forma net loss per</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share, basic and diluted</w:t>
            </w:r>
            <w:r>
              <w:rPr>
                <w:rFonts w:ascii="Arial" w:cs="Arial" w:eastAsia="Arial" w:hAnsi="Arial"/>
                <w:sz w:val="15"/>
                <w:szCs w:val="15"/>
                <w:color w:val="auto"/>
              </w:rPr>
              <w:t>(2)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694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Year Ended July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2017</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2,794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829</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1,203</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9,919</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20" w:right="20" w:hanging="316"/>
        <w:spacing w:after="0" w:line="291"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See Note 9 to our consolidated financial statements elsewhere in this prospectus for an explanation of the method used to calculate our basic and diluted net loss per share attributable to common stockholders, our basic and diluted pro forma net loss per share and the weighted-average number of shares used in the computation of the per share amounts.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14"/>
                <w:szCs w:val="14"/>
                <w:color w:val="auto"/>
              </w:rPr>
            </w:pPr>
          </w:p>
        </w:tc>
        <w:tc>
          <w:tcPr>
            <w:tcW w:w="17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9"/>
              </w:rPr>
              <w:t>January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2"/>
                <w:szCs w:val="12"/>
                <w:color w:val="auto"/>
              </w:rPr>
            </w:pP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Balance Sheet Data:</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92,842</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87,978</w:t>
            </w:r>
          </w:p>
        </w:tc>
        <w:tc>
          <w:tcPr>
            <w:tcW w:w="820" w:type="dxa"/>
            <w:vAlign w:val="bottom"/>
            <w:tcBorders>
              <w:top w:val="single" w:sz="8" w:color="CCEEFF"/>
            </w:tcBorders>
          </w:tcPr>
          <w:p>
            <w:pPr>
              <w:ind w:left="6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71,569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153,518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182,902</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96,619</w:t>
            </w: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191,407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200,977</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(162,016)</w:t>
            </w: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(124,740)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(151,142)</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(167,058)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 and Key Business Metrics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gridSpan w:val="2"/>
          </w:tcPr>
          <w:p>
            <w:pPr>
              <w:jc w:val="right"/>
              <w:ind w:right="15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39,276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60,198</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43,768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Non-GAAP gross profit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39,392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1"/>
              <w:spacing w:after="0"/>
              <w:rPr>
                <w:sz w:val="20"/>
                <w:szCs w:val="20"/>
                <w:color w:val="auto"/>
              </w:rPr>
            </w:pPr>
            <w:r>
              <w:rPr>
                <w:rFonts w:ascii="Arial" w:cs="Arial" w:eastAsia="Arial" w:hAnsi="Arial"/>
                <w:sz w:val="18"/>
                <w:szCs w:val="18"/>
                <w:color w:val="auto"/>
              </w:rPr>
              <w:t>60,387</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98,593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43,907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Non-GAAP gross margin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060" w:type="dxa"/>
            <w:vAlign w:val="bottom"/>
          </w:tcPr>
          <w:p>
            <w:pPr>
              <w:jc w:val="right"/>
              <w:ind w:right="291"/>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8"/>
              </w:rPr>
              <w:t>(12,418)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8"/>
              </w:rPr>
              <w:t>(26,843)</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2"/>
              </w:rPr>
              <w:t>(14,458)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w w:val="98"/>
              </w:rPr>
              <w:t>(10,857)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1"/>
              <w:spacing w:after="0"/>
              <w:rPr>
                <w:sz w:val="20"/>
                <w:szCs w:val="20"/>
                <w:color w:val="auto"/>
              </w:rPr>
            </w:pPr>
            <w:r>
              <w:rPr>
                <w:rFonts w:ascii="Arial" w:cs="Arial" w:eastAsia="Arial" w:hAnsi="Arial"/>
                <w:sz w:val="18"/>
                <w:szCs w:val="18"/>
                <w:color w:val="auto"/>
                <w:w w:val="98"/>
              </w:rPr>
              <w:t>(23,226)</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(19,327)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(7,188)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60" w:type="dxa"/>
            <w:vAlign w:val="bottom"/>
          </w:tcPr>
          <w:p>
            <w:pPr>
              <w:jc w:val="right"/>
              <w:ind w:right="291"/>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(3,279)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8"/>
              </w:rPr>
              <w:t>(11,916)</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(595)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1"/>
              <w:spacing w:after="0"/>
              <w:rPr>
                <w:sz w:val="20"/>
                <w:szCs w:val="20"/>
                <w:color w:val="auto"/>
              </w:rPr>
            </w:pPr>
            <w:r>
              <w:rPr>
                <w:rFonts w:ascii="Arial" w:cs="Arial" w:eastAsia="Arial" w:hAnsi="Arial"/>
                <w:sz w:val="18"/>
                <w:szCs w:val="18"/>
                <w:color w:val="auto"/>
              </w:rPr>
              <w:t>(6,647)</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(8,342)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(4,413)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85,615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27,563</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1,381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Free cash flow</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(9,984)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1"/>
              <w:spacing w:after="0"/>
              <w:rPr>
                <w:sz w:val="20"/>
                <w:szCs w:val="20"/>
                <w:color w:val="auto"/>
              </w:rPr>
            </w:pPr>
            <w:r>
              <w:rPr>
                <w:rFonts w:ascii="Arial" w:cs="Arial" w:eastAsia="Arial" w:hAnsi="Arial"/>
                <w:sz w:val="18"/>
                <w:szCs w:val="18"/>
                <w:color w:val="auto"/>
                <w:w w:val="98"/>
              </w:rPr>
              <w:t>(18,163)</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(14,193)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(6,967)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used in operating activities as a percentage of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Free cash flow margin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0"/>
                <w:szCs w:val="20"/>
                <w:color w:val="auto"/>
              </w:rPr>
            </w:pPr>
          </w:p>
        </w:tc>
        <w:tc>
          <w:tcPr>
            <w:tcW w:w="1060" w:type="dxa"/>
            <w:vAlign w:val="bottom"/>
          </w:tcPr>
          <w:p>
            <w:pPr>
              <w:jc w:val="right"/>
              <w:ind w:right="291"/>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1"/>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21" w:lineRule="exact"/>
        <w:rPr>
          <w:sz w:val="20"/>
          <w:szCs w:val="20"/>
          <w:color w:val="auto"/>
        </w:rPr>
      </w:pPr>
    </w:p>
    <w:p>
      <w:pPr>
        <w:jc w:val="both"/>
        <w:ind w:left="200" w:right="20" w:firstLine="441"/>
        <w:spacing w:after="0" w:line="287" w:lineRule="auto"/>
        <w:rPr>
          <w:sz w:val="20"/>
          <w:szCs w:val="20"/>
          <w:color w:val="auto"/>
        </w:rPr>
      </w:pPr>
      <w:r>
        <w:rPr>
          <w:rFonts w:ascii="Arial" w:cs="Arial" w:eastAsia="Arial" w:hAnsi="Arial"/>
          <w:sz w:val="16"/>
          <w:szCs w:val="16"/>
          <w:color w:val="auto"/>
        </w:rPr>
        <w:t>In addition to our results determined in accordance with U.S.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U.S. GAAP. In particular, free cash flow is not a substitute for cash used in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define non-GAAP gross profit and non-GAAP gross margin as GAAP gross profit and GAAP gross margin, respectively, excluding stock-based compensation expense.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4"/>
          </w:tcPr>
          <w:p>
            <w:pPr>
              <w:ind w:left="180"/>
              <w:spacing w:after="0"/>
              <w:rPr>
                <w:sz w:val="20"/>
                <w:szCs w:val="20"/>
                <w:color w:val="auto"/>
              </w:rPr>
            </w:pPr>
            <w:r>
              <w:rPr>
                <w:rFonts w:ascii="Arial" w:cs="Arial" w:eastAsia="Arial" w:hAnsi="Arial"/>
                <w:sz w:val="14"/>
                <w:szCs w:val="14"/>
                <w:b w:val="1"/>
                <w:bCs w:val="1"/>
                <w:color w:val="auto"/>
                <w:w w:val="99"/>
              </w:rPr>
              <w:t>Year Ended July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39,276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60,198</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Add: Stock-based compensation expense included in cost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39,392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60,387</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98,593</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Non-GAAP gross margin (non-GAAP gross profit as a percentage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revenue)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3"/>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117"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We define non-GAAP loss from operations and non-GAAP operating margin as GAAP loss from operations and GAAP operating margin, respectively, excluding stock-based compensation expense and certain litigation-related expenses. These excluded litigation-related expenses are professional fees and related costs incurred by us in defending against significant claims that we deem not to be in the ordinary course of our business and, if applicable, accruals related to estimated losses in connection with these claims. There are many uncertainties and potential outcomes associated with any litigation, including the expense of litigation, timing of such expenses, court rulings, unforeseen developments, complications and delays, each of which may affect our results of operations from period to period, as well as the unknown magnitude of the potential loss relating to any lawsuit, all of which are inherently subject to change, difficult to estimate and could adversely affect our results of operations.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8"/>
              </w:rPr>
              <w:t>Year Ended July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(26,843)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(35,073)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(14,458)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Litigation-related expenses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(10,857)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(23,226)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(19,327)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(10,103)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Non-GAAP operating margin (non-GAAP loss from operations as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percentage of revenue)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92"/>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Free cash flow is a non-GAAP financial measure that we calculate as net cash used in operating activities less purchases of property and equipment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July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January 31,</w:t>
            </w: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(11,916)</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(5,171)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(7,783)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internal-use software</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(1,534)</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8"/>
                <w:szCs w:val="18"/>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(9,984)</w:t>
            </w:r>
          </w:p>
        </w:tc>
        <w:tc>
          <w:tcPr>
            <w:tcW w:w="5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(18,163)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(14,193)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Net cash used in operating activities (as a percentage of</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Less: Purchases of property and equipment (as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Less: Capitalized internal-use software (as a percentage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revenue)</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Free cash flow margin</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Key Business Metrics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jc w:val="both"/>
        <w:ind w:left="200" w:right="20" w:firstLine="441"/>
        <w:spacing w:after="0" w:line="287" w:lineRule="auto"/>
        <w:rPr>
          <w:sz w:val="20"/>
          <w:szCs w:val="20"/>
          <w:color w:val="auto"/>
        </w:rPr>
      </w:pPr>
      <w:r>
        <w:rPr>
          <w:rFonts w:ascii="Arial" w:cs="Arial" w:eastAsia="Arial" w:hAnsi="Arial"/>
          <w:sz w:val="16"/>
          <w:szCs w:val="16"/>
          <w:color w:val="auto"/>
        </w:rPr>
        <w:t>We believe that dollar-based net retention rate is a key metric to measure the long-term value of our customer relationships because it is driven by our ability to retain and expand the recurring revenue generated from our existing customers. Our dollar-based net retention rate compares the recurring revenue from a set of customers against the same metric for the prior 12-month period on a trailing basis. Given the repeat buying pattern of our customers and that the average term of our contracts is more than 12 months, we measure this metric over a set of customers who were with us as of the last day of the same reporting period in the prior fiscal year. Our dollar-based net retention rate includes customer attrition. We have not experienced a material increase in customer attrition rates in recent periods. For the denominator, to calculate our dollar-based net retention rate for a particular trailing 12-month period, we first establish the ARR from all active subscriptions as of the last day of the same reporting period in the prior fiscal year. This effectively represents recurring dollars that we expect in the next 12-month period from the cohort of customers that existed on the last day of the same reporting period in the prior fiscal year. For the numerator, we measure the ARR for that same cohort of customers representing all subscriptions based on confirmed customer orders booked by us as of the end of the reporting period. Dollar-based net retention rate is obtained by dividing the ARR in the current trailing 12-month period by the previous trailing 12-month period. Refer to the section entitled “Management’s Discussion and Analysis— Certain Factors Affecting Our Performance—Follow-On Sales” for additional information on how we establish ARR.</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Trailing 12 Months Ended July 31,</w:t>
            </w:r>
          </w:p>
        </w:tc>
        <w:tc>
          <w:tcPr>
            <w:tcW w:w="3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Trailing 12 Months Ended</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4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7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January 31, 2018</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Dollar-based net retention rate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116%</w:t>
            </w:r>
          </w:p>
        </w:tc>
        <w:tc>
          <w:tcPr>
            <w:tcW w:w="10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115%</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w:t>
            </w:r>
          </w:p>
        </w:tc>
        <w:tc>
          <w:tcPr>
            <w:tcW w:w="6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Calculated Billings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believe that calculated billings is a key metric to measure our periodic performance. Calculated billings represents our revenue plus the change in deferred revenue in a period. Calculated billings in any particular period aims to reflect amounts invoiced for subscriptions to access our cloud platform, together with related support services related to our new and existing customers. We typically invoice our customers annually in advance, and to a lesser extent quarterly in advance, monthly in advance or multi-year in advance.</w:t>
      </w:r>
    </w:p>
    <w:p>
      <w:pPr>
        <w:spacing w:after="0" w:line="18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Calculated billings increased 62% for fiscal 2017 over fiscal 2016, 44% for fiscal 2016 over fiscal 2015 and 55% for the six months ended January 31, 2018 over the six months ended January 31, 2017. As calculated billings continues to grow in absolute terms, we expect our calculated billings growth rate to trend down over time. We also expect that calculated billings will be affected by seasonality in terms of when we enter into agreements with customers; and the mix of billings in each reporting period as we typically invoice customers annually in advance, and to a lesser extent quarterly in advance, monthly in advance or multi-year in advance. Refer to the section entitled “Management’s Discussion and Analysis of Financial Condition and Results of Operations—Certain Factors Affecting Our Performance.”</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 July 31,</w:t>
            </w: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1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Calculated billings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66,971</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96,458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156,423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69,387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our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 titled “Risk Factors” included elsewhere in this prospectus. Our fiscal year end is July 31, and our fiscal quarters end on October 31, January 31, April 30 and July 31. Our fiscal years ended July 31, 2015, 2016 and 2017 are referred to herein as fiscal 2015, fiscal 2016 and fiscal 2017, respectively. Our fiscal year ending July 31, 2018 is referred to herein as fiscal 2018.</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Zscaler was incorporated in 2007, during the early stages of cloud adoption and mobility, based on a vision that the internet would become the new corporate network as the cloud becomes the new data center. We predicted that with rapid cloud adoption and increasing workforce mobility, traditional perimeter security approaches would provide inadequate protection for users and data and an increasingly poor user experience. We pioneered a security cloud that represents a fundamental shift in the architectural design and approach to network security.</w:t>
      </w:r>
    </w:p>
    <w:p>
      <w:pPr>
        <w:spacing w:after="0" w:line="17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Enterprise applications are rapidly moving to the cloud to achieve greater IT agility, a faster pace of innovation and lower costs. Organizations are increasingly relying on internet destinations for a range of business activities, adopting new external SaaS applications for critical business functions and moving their internally managed applications to the public cloud. Enterprise users now expect to be able to seamlessly access applications and data, wherever they are hosted, from any device, anywhere in the world. We believe these trends are indicative of the broader digital transformation agenda, as businesses increasingly succeed or fail based on their IT outcomes.</w:t>
      </w:r>
    </w:p>
    <w:p>
      <w:pPr>
        <w:spacing w:after="0" w:line="18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main suites of our ZIA and ZPA offerings are Professional, Business and Transformation, and we also recently introduced a ZIA Secure Transformation suite.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Zscaler Internet Access and Zscaler Private Access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248920</wp:posOffset>
            </wp:positionV>
            <wp:extent cx="5162550" cy="3576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6255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generate revenue primarily from sales of subscriptions to access our cloud platform, together with related support services. We also generate an immaterial amount of revenue from professional and other services, which consist primarily of fees associated with mapping, implementation, network design and training. Our subscription pricing is calculated on a per-user basis. We recognize subscription and support revenue ratably over the life of the contract, which is generally one to three years. As of July 31, 2017, we had expanded our operations to over 2,800 customers across every major industry, with users in 185 countries. Government agencies and some of the largest enterprises in the world rely on us to help them transform to the cloud, including more than 200 of the Forbes Global 2000.</w:t>
      </w:r>
    </w:p>
    <w:p>
      <w:pPr>
        <w:spacing w:after="0" w:line="17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sales team, along with our channel partner network of global telecommunications service provider, system integrator and value-added reseller partners, sells our services worldwide to organizations of all sizes. We also focus on increasing sales to our existing customer base. Most of our customers protect their users by routing all their internet-bound web traffic through our cloud platform. For those customers that initially deploy our cloud platform to specific users or for specific security functionality, we leverage our land-and-expand sales model with the goal of generating incremental revenue through the addition of new users and the sale of additional subscriptions, suites or features.</w:t>
      </w:r>
    </w:p>
    <w:p>
      <w:pPr>
        <w:spacing w:after="0" w:line="173"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have experienced significant growth, with revenue increasing from $53.7 million in fiscal 2015 to $80.3 million in fiscal 2016 to $125.7 million in fiscal 2017, representing year-over-year revenue growth of 50% and 57%, respectively. Our revenue increased from $56.2 million for the six months ended January 31, 2017 to $84.8 million for the six months ended January 31, 2018, representing a period-over-period revenue growth of 51%. However, we have incurred net losses in all periods since our inception. Our net loss increased from $12.8 million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fiscal 2015 to $27.4 million in fiscal 2016 to $35.5 million in fiscal 2017. Our net loss also increased from $14.6 million for the six months ended January 31, 2017 to $17.9 million for the six months ended January 31, 2018. We expect we will continue to incur net losses for the foreseeable future. Furthermore, we expect our net loss to increase in fiscal 2018 as we increase our investment in our sales and marketing organization to take advantage of our market opportunity, and as we experience an increase in general and administrative expenses related to beginning to operate as a public company and to ongoing legal matters and related accruals, certain of which are described in further detail in Note 5 to our consolidated financial statements included elsewhere in this prospectus.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Opportunities, Challenges and Risks</w:t>
      </w:r>
    </w:p>
    <w:p>
      <w:pPr>
        <w:spacing w:after="0" w:line="121" w:lineRule="exact"/>
        <w:rPr>
          <w:sz w:val="20"/>
          <w:szCs w:val="20"/>
          <w:color w:val="auto"/>
        </w:rPr>
      </w:pPr>
    </w:p>
    <w:p>
      <w:pPr>
        <w:jc w:val="both"/>
        <w:ind w:left="200" w:firstLine="441"/>
        <w:spacing w:after="0" w:line="267"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expanding our customer base, expanding within existing customers, leveraging channel partners to participate in cloud transformation initiatives, expanding and innovating services, expanding into additional market segments and extending our platform to third-party developers. While each of these areas presents significant opportunities for us, they also pose material challenges and risks that we must successfully address in order to sustain the growth of our business and improve our results of operations. For example, we may fail to expand our customer base because cloud technologies are still evolving and it is difficult to predict customer demand and adoption rates for our solutions or cloud-based offerings generally, or because we are unable to successfully convince IT decision makers that security delivered through the cloud provides significant advantages over legacy on-premises appliance-based security products. We may also fail to grow our sales with our existing customers if such customers do not renew their subscriptions for our services when existing contract terms expire, or if we do not expand our commercial relationships with them. Further, we may be unable to identify, develop and maintain strategic relationships with our existing and potential channel partners, which would adversely affect our ability to undertake cloud transformation initiatives and achieve revenue growth. Additionally, our ability to expand and innovate services depends on our continued investment in our research and development organization to increase the reliability, availability and scalability of our existing solutions, which we cannot be certain will be successful, as well as the timely completion and market acceptance of such enhancements. We may be unable to expand into additional market segments, such as government agencies and international markets, if we lack adequate resources for such expansion, if we are unable to comply with applicable laws, regulations or certification requirements, or if there is geopolitical uncertainty and instability. We also cannot be certain that our plans to open our cloud security platform to third-party developers and applications to further extend its functionality will be successful. Additionally, we expect that addressing such challenges and risks will increase our operating expenses significantly over the next several years, particularly in fiscal 2018. The timing of our future profitability, if we achieve profitability at all, will depend upon many variables, including the success of our growth strategies and the timing and size of investments and expenditures that we choose to undertake, as well as market growth and other factors that are not within our control. If we fail to successfully address these challenges, risk and variables and other risks that we face, our business, operating results and prospects may be materially adversely affected. Please see “Risk Factors” and “Business—Growth Strategies” for additional information on the challenges and risks we face.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Increased Internet Traffic and Adoption of Cloud-Based Software and Security</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The adoption of cloud applications and infrastructure, explosion of internet traffic volumes and shift to mobile-first computing generally, and the pace at which enterprises adopt the internet as their corporate network in particular, impact our ability to drive market adoption of our cloud platform. We believe that most enterprises are in the early stages of a broad transformation to the cloud. Organizations are increasingly relying on the internet to operate their businesses, deploying new SaaS applications and migrating internally managed line-of-business applications to the cloud. However, the growing dependence on the internet has increased exposure to malicious or compromised websites, and sophisticated hackers are exploiting the gaps left by legacy network security appliances. To securely access the internet and transform their networks, organizations must also make fundamental changes in their network and security architectures. We believe that most organizations have yet to fully make these investments. Since we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enable organizations to securely transform to the cloud, we believe that the imperative for organizations to securely move to the cloud will increase demand for our cloud platform and broaden our customer base.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Customer Acquisition</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believe that our ability to increase the number of customers on our cloud platform is an indicator of our market penetration and our future business opportunities. As of July 31, 2015, 2016 and 2017, we had over 2,050 customers, over 2,450 customers and over 2,800 customers, respectively, across all major geographies, and we currently count over 200 of the Forbes Global 2000 as customers. Our ability to continue to grow this number will increase our future opportunities for renewals and follow-on sales. We believe that we have significant room to capture additional market share and intend to continue to invest significantly in sales and marketing to engage our prospective customers, increase brand awareness, further leverage our channel partnerships and drive adoption of our solution.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Follow-On Sales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typically expand our relationship with our customers over time. While most of our new customers route all of their internet-bound web traffic through our cloud platform, some of our customers initially use our services for specific users or specific security functionality. We leverage our land-and-expand model with the goal of generating incremental revenue, often within the term of the initial subscription, by increasing sales to our existing customers in one of three ways:</w:t>
      </w:r>
    </w:p>
    <w:p>
      <w:pPr>
        <w:spacing w:after="0" w:line="92" w:lineRule="exact"/>
        <w:rPr>
          <w:sz w:val="20"/>
          <w:szCs w:val="20"/>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expanding deployment of our cloud platform to cover additional users;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upgrading to a more advanced Business, Transformation or Secure Transformation suite; and</w:t>
      </w:r>
    </w:p>
    <w:p>
      <w:pPr>
        <w:spacing w:after="0" w:line="130" w:lineRule="exact"/>
        <w:rPr>
          <w:rFonts w:ascii="Arial" w:cs="Arial" w:eastAsia="Arial" w:hAnsi="Arial"/>
          <w:sz w:val="18"/>
          <w:szCs w:val="18"/>
          <w:color w:val="auto"/>
        </w:rPr>
      </w:pPr>
    </w:p>
    <w:p>
      <w:pPr>
        <w:jc w:val="center"/>
        <w:ind w:left="5620" w:right="1240" w:hanging="4984"/>
        <w:spacing w:after="0" w:line="449" w:lineRule="auto"/>
        <w:tabs>
          <w:tab w:leader="none" w:pos="10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a ZPA subscription to a ZIA customer, a ZIA subscription to a ZPA customer, or other features on an a la carte basis. 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These purchases increase the ARR attributable to our customers over time. To establish ARR for a customer, we use the total amount of each order booked to compute the annual recurring value of revenue that we would recognize if the customer continues to renew all contractual subscriptions. For example, a contract for $3.0 million with a contractual term of three years would have ARR of $1.0 million as long as our customer uses our cloud platform. The chart below illustrates the total ARR of each cohort of customers who made their first purchase from us in a given fiscal year. By increasing ARR over time, we can significantly increase the return on our upfront sales and marketing investments. As a result, our financial performance will depend in part on the degree to which our follow-on sales strategies are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96840" cy="3404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9684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Since our founding, we have invested significantly in growing our business. We have increased our headcount in recent years, from approximately 450 employees as of July 31, 2015, to approximately 600 employees as of July 31, 2016, to approximately 850 employees as of July 31, 2017, to approximately 950 employees as of January 31, 2018. We intend to continue to invest in our research and development organization to extend our technology leadership and enhance the functionality of our cloud platform. We also intend to continue to invest in development efforts to offer new solutions on our platform. In addition, we intend to continue dedicating resources to update and upgrade our existing solutions, by improving the reliability, availability and scalability of our platform, because of the importance of up-time of our inline architecture and the significant role we play in our customers’ IT solutions. Our commitment to enhancing our solutions is demonstrated by our investment in our research and development organization, and we expect to continue hiring to expand our organization.</w:t>
      </w:r>
    </w:p>
    <w:p>
      <w:pPr>
        <w:spacing w:after="0" w:line="17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also intend to continue to invest significantly in sales and marketing to grow and train our sales force, broaden our brand awareness and expand and deepen our channel partner relationships. Although we have a channel sales model, we use a joint sales approach in which our sales force develops relationships directly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our customers, and together with our channel account teams, works with our channel partners on building our opportunity pipeline, driving customer demand, account penetration, account coordination, sales and overall market development. Our sales team is focused on increasing sales through our channel partners and not through direct sales to customers. We expand our reach and sales leverage through the relationships with our channel partners, who consist of global telecommunications service provider, system integrator and value-added reseller partners. We expect to continue investing in our channel partner relationships as we provide them with education, training and programs, including enabling them to independently sell our solutions. Our sales and marketing efforts are primarily intended to increase our revenues from customers derived through channel partners, and we do not expect that these investments will materially change the percentage of direct sales relative to sales through our channel partners. While these planned investments will increase our operating expenses in the short term, we believe that over the long term this joint sales strategy will help us to expand our customer base and grow our business. We also are investing in programs to increase recognition of our brand and solutions, including joint marketing activities with our channel partners and strategic partners.</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we expect our general and administrative expenses to increase in absolute dollars for the foreseeable future to support our growth, as a result of additional costs associated with ongoing legal matters and related accruals, and in connection with accounting, compliance and investor relations as we become a public company.</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While we expect our net loss to increase in fiscal 2018 as a result of these activities, we will balance these investments in future growth with a continued focus on managing our results of operations and investing judiciously. Accordingly, in the short term we expect these activities to increase our net losses, but in the long term we anticipate that these investments will positively impact our business and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To illustrate the economics of our customer relationships, we are providing a contribution margin analysis of the customers we acquired during fiscal 2015, which we refer to as the 2015 Cohort. We are only presenting annual periods within a three-year period to illustrate these economics as we generate revenue from contracts with typical durations ranging from one to three years. We believe the 2015 Cohort is a fair representation of our overall customer base because it reflects a broad and geographically distributed customer base as well as adoption of features we released prior to fiscal 2015.</w:t>
      </w:r>
    </w:p>
    <w:p>
      <w:pPr>
        <w:spacing w:after="0" w:line="154"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define contribution margin as ARR from the customer cohort at the end of a period, less the associated cost of revenue computed using the reported gross margin, and applicable sales and marketing expenses.</w:t>
      </w:r>
    </w:p>
    <w:p>
      <w:pPr>
        <w:spacing w:after="0" w:line="170"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A significant majority of our sales and marketing expenses are dedicated to acquiring new customers and these costs are mainly associated with the newest cohort of customers in a given fiscal year. Our sales and marketing expenses in the first year of acquiring new customers include our reported sales and marketing expenses from our consolidated statements of operations, less the cost of our sales organization that is solely responsible for customer contract renewals, and our estimate of marketing expenses that are directed towards our existing customers. In subsequent years, to the extent such sales and marketing expenses are incurred to retain such customers, these expenses reduce our contribution margin. Accordingly, for sales and marketing expenses related to the cohort of customers included in the analysis below, we include our estimate of marketing expenses that are directed towards our existing customers, estimated sales commissions recognized for any additional subscriptions purchased by these customers, and an allocation of expenses related to our sales organization that is solely responsible for contract renewals of our existing customers.</w:t>
      </w:r>
    </w:p>
    <w:p>
      <w:pPr>
        <w:spacing w:after="0" w:line="166"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For fiscal 2015, the 2015 Cohort represented $17.5 million in ARR and $32.8 million in estimated cost of revenue and related sales and marketing costs to acquire these customers, representing a computed contribution margin of (87%). In fiscal 2016 and 2017, the 2015 Cohort represented $21.1 million and $27.4 million, respectively, in ARR and $7.4 million and $8.6 million, respectively, in estimated cost of revenue and related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 to retain and expand these customers, representing a computed contribution margin of 65% and 68%, respectively.</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2015 Customer Cohort Contribution Margin Computation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160020</wp:posOffset>
            </wp:positionV>
            <wp:extent cx="3490595" cy="19894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9059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 and Other Financial Measures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measure our performance, identify trends, formulate business plans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We believe that dollar-based net retention rate is a key metric to measure the long-term value of our customer relationships because it is driven by our ability to retain and expand the recurring revenue generated from our existing customers. Our dollar-based net retention rate compares the recurring revenue from a set of customers against the same metric for the prior 12-month period on a trailing basis. Because our customers have repeat buying patterns and the average term of our contracts is more than 12 months, we measure this metric over a set of customers who were with us as of the last day of the same reporting period in the prior fiscal year. Our dollar-based net retention rate includes customer attrition. We have not experienced a material increase in customer attrition rates in recent periods.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calculate our dollar-based net retention rate as follows: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i w:val="1"/>
          <w:iCs w:val="1"/>
          <w:color w:val="auto"/>
        </w:rPr>
        <w:t xml:space="preserve">Denominator: </w:t>
      </w:r>
      <w:r>
        <w:rPr>
          <w:rFonts w:ascii="Arial" w:cs="Arial" w:eastAsia="Arial" w:hAnsi="Arial"/>
          <w:sz w:val="17"/>
          <w:szCs w:val="17"/>
          <w:color w:val="auto"/>
        </w:rPr>
        <w:t>To calculate our dollar-based net retention rate as of the end of a reporting period, we first establish the ARR from all active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subscriptions as of the last day of the same reporting period in the prior fiscal year. This effectively represents recurring dollars that we expect in the next 12-month period from the cohort of customers that existed on the last day of the same reporting period in the prior fiscal year.</w:t>
      </w:r>
    </w:p>
    <w:p>
      <w:pPr>
        <w:spacing w:after="0" w:line="166"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i w:val="1"/>
          <w:iCs w:val="1"/>
          <w:color w:val="auto"/>
        </w:rPr>
        <w:t xml:space="preserve">Numerator: </w:t>
      </w:r>
      <w:r>
        <w:rPr>
          <w:rFonts w:ascii="Arial" w:cs="Arial" w:eastAsia="Arial" w:hAnsi="Arial"/>
          <w:sz w:val="18"/>
          <w:szCs w:val="18"/>
          <w:color w:val="auto"/>
        </w:rPr>
        <w:t>We measure the ARR for that same cohort of customers representing all subscriptions based on confirmed customer orders booked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as of the end of the reporting period.</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Dollar-based net retention rate is obtained by dividing the numerator by the denominator. Our dollar-based net retention rate may fluctuate due to a number of factors, including the performance of our cloud platform, the rate of ARR expansion of our existing customers, potential changes in our rate of renewals and other risk factors described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3"/>
              </w:rPr>
              <w:t>Trailing 12 Months Ended July 31,</w:t>
            </w:r>
          </w:p>
        </w:tc>
        <w:tc>
          <w:tcPr>
            <w:tcW w:w="3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5"/>
              </w:rPr>
              <w:t>Trailing 12 Months Ended</w:t>
            </w: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4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7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January 31, 2018</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Dollar-based net retention rate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116%</w:t>
            </w:r>
          </w:p>
        </w:tc>
        <w:tc>
          <w:tcPr>
            <w:tcW w:w="10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9"/>
              </w:rPr>
              <w:t>115%</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115%</w:t>
            </w:r>
          </w:p>
        </w:tc>
        <w:tc>
          <w:tcPr>
            <w:tcW w:w="6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Calculated Billings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believe that calculated billings is a key metric to measure our periodic performance. Calculated billings represents our revenue plus the change in deferred revenue in a period. Calculated billings in any particular period aims to reflect amounts invoiced for subscriptions to access our cloud platform, together with related support services related to our new and existing customers. We typically invoice our customers annually in advance, and to a lesser extent quarterly in advance, monthly in advance or multi-year in advance.</w:t>
      </w:r>
    </w:p>
    <w:p>
      <w:pPr>
        <w:spacing w:after="0" w:line="18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Calculated billings increased 62% for fiscal 2017 over fiscal 2016, 44% for fiscal 2016 over fiscal 2015, and 55% for the six months ended January 31, 2018 over the six months ended January 31, 2017. As calculated billings continues to grow in absolute terms, we expect our calculated billings growth rate to trend down over time. We also expect that calculated billings will be affected by seasonality in terms of when we enter into agreements with customers; and the mix of billings in each reporting period as we typically invoice customers annually in advance, and to a lesser extent quarterly in advance, monthly in advance or multi-year in advance. Refer to the section entitled “Management’s Discussion and Analysis of Financial Condition and Results of Operations—Certain Factors Affecting Our Performance.”</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 July 31,</w:t>
            </w: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1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Calculated billings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66,971</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96,458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156,423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69,387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In addition to our results determined in accordance with U.S. GAAP, we believe the following non-GAAP measures are useful in evaluating our operating performance. However, non-GAAP financial information is presented for supplemental informational purposes only, has limitations as an analytical tool and should not be considered in isolation or as a substitute for financial information presented in accordance with U.S. GAAP. Investors are encouraged to review the related U.S. GAAP financial measures and the reconciliation of these non-GAAP financial measures to their most directly comparable U.S. GAAP financial measures, and not to rely on any single financial measure to evaluate our business.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define non-GAAP gross profit and non-GAAP gross margin as GAAP gross profit and GAAP gross margin, respectively, excluding stock-based compensation expense.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w w:val="98"/>
              </w:rPr>
              <w:t>Year Ended July 31,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60,198</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Add: Stock-based compensation expense included in cost of revenue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39,392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60,387</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4"/>
              </w:rPr>
              <w:t>Non-GAAP gross margin (non-GAAP gross profit as a percentage of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define non-GAAP loss from operations and non-GAAP operating margin as GAAP loss from operations and GAAP operating margin, respectively, excluding stock-based compensation expense and certain litigation-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related expenses. These excluded litigation-related expenses are professional fees and related costs incurred by us in defending against significant claims that we deem not to be in the ordinary course of our business and, if applicable, accruals related to estimated losses in connection with these claims. There are many uncertainties and potential outcomes associated with any litigation, including the expense of litigation, timing of such expenses, court rulings, unforeseen developments, complications and delays, each of which may affect our results of operations from period to period, as well as the unknown magnitude of the potential loss relating to any lawsuit, all of which are inherently subject to change, difficult to estimate and could adversely affect our results of operations.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4"/>
                <w:szCs w:val="14"/>
                <w:b w:val="1"/>
                <w:bCs w:val="1"/>
                <w:color w:val="auto"/>
                <w:w w:val="93"/>
              </w:rPr>
              <w:t>January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(12,418)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(26,843)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(35,073)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(14,458)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Litigation-related expenses</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(10,857)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(23,226)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(19,327)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(10,103)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79"/>
              </w:rPr>
              <w:t>(28%)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79"/>
              </w:rPr>
              <w:t>(26%)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operating margin (non-GAAP loss from</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as a percentage of revenue)</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Free cash flow is a non-GAAP financial measure that we calculate as net cash used in operating activities less purchases of property and equipment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(11,916)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(6,019)</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(2,554)</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(5,171)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(7,783)</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(4,413)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internal-use software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(9,984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(18,163</w:t>
            </w:r>
          </w:p>
        </w:tc>
        <w:tc>
          <w:tcPr>
            <w:tcW w:w="380" w:type="dxa"/>
            <w:vAlign w:val="bottom"/>
          </w:tcPr>
          <w:p>
            <w:pPr>
              <w:jc w:val="right"/>
              <w:ind w:right="30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(14,193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cash used in operating activities (as a percentage of</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4"/>
              </w:rPr>
              <w:t>Less: Purchases of property and equipment (as a percentage of</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Capitalized internal-use software (as a percentage of</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Free cash flow margin</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Calculated Billings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Calculated billings is a non-GAAP financial measure that we believe is a key metric to measure our periodic performance. Calculated billings represents our total revenue plus the change in deferred revenue in a period. Calculated Billings in any particular period aims to reflect amounts invoiced for subscriptions to access our cloud platform, together with related support services related to our new and existing customers. We typically invoice our customers annually in advance, and to a lesser extent quarterly in advance, monthly in advance or multi-year in advance.</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6"/>
            <w:vMerge w:val="restart"/>
          </w:tcPr>
          <w:p>
            <w:pPr>
              <w:jc w:val="right"/>
              <w:ind w:right="50"/>
              <w:spacing w:after="0"/>
              <w:rPr>
                <w:sz w:val="20"/>
                <w:szCs w:val="20"/>
                <w:color w:val="auto"/>
              </w:rPr>
            </w:pPr>
            <w:r>
              <w:rPr>
                <w:rFonts w:ascii="Arial" w:cs="Arial" w:eastAsia="Arial" w:hAnsi="Arial"/>
                <w:sz w:val="14"/>
                <w:szCs w:val="14"/>
                <w:b w:val="1"/>
                <w:bCs w:val="1"/>
                <w:color w:val="auto"/>
                <w:w w:val="93"/>
              </w:rPr>
              <w:t>Year Ended July 31,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53,707</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 Total deferred revenue, end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49,780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Total deferred revenue,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(36,516)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(49,780)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(65,913)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(96,619)</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Calculated billings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156,423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We generate revenue primarily from sales of subscriptions to access our cloud platform, together with related support services. These subscription and related support services accounted for approximately 99% of our revenue for fiscal 2015, 2016 and 2017, and 99% and 98% for the six months ended January 31, 2017 and 2018, respectively. Our contracts with our customers do not at any time provide the customer with the right to take possession of the software that runs our cloud platform. Our customers may also purchase professional services, such as mapping, implementation, network design and training. Professional services account for an immaterial portion of our revenue.</w:t>
      </w:r>
    </w:p>
    <w:p>
      <w:pPr>
        <w:spacing w:after="0" w:line="173"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We generate revenue from contracts with typical durations ranging from one to three years. We typically invoice our customers annually in advance, and to a lesser extent quarterly in advance, monthly in advance or multi-year in advance. We recognize revenue ratably over the life of the contract. Amounts that have been invoiced are recorded in deferred revenue, or they are recorded in revenue if the revenue recognition criteria have been met. Subscriptions that are invoiced annually in advance or multi-year in advance represent a significant portion of our short-term and long-term deferred revenue in comparison to invoices issued quarterly in advance or monthly in advance. Accordingly, we cannot predict the mix of invoicing schedules in any given period.</w:t>
      </w:r>
    </w:p>
    <w:p>
      <w:pPr>
        <w:spacing w:after="0" w:line="193"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We generally experience seasonality in terms of when we enter into agreements with our customers. We typically enter into a higher percentage of agreements with new customers, as well as renewal agreements with existing customers, in our second and fourth fiscal quarters. However, because we recognize revenue ratably over the terms of our subscription contracts, a substantial portion of the revenue that we report in each period is attributable to the recognition of deferred revenue relating to agreements that we entered into during previous periods. Consequently, increases or decreases in new sales or renewals in any one period may not be immediately reflected as revenue for that period. Any downturn in sales, however, may negatively affect our revenue in future periods. Accordingly, the effect of downturns in sales and market acceptance of our platform, and potential changes in our rate of renewals, may not be fully reflected in our results of operations until future periods.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Cost of revenue includes expenses related to operating our cloud platform in data centers, depreciation of our data center equipment, related overhead costs and the amortization of our capitalized internal-use software. Cost of revenue also includes employee-related costs, including salaries, bonuses, stock-based compensation expense and employee benefit costs associated with our customer support and cloud operations organizations.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As our customers expand and increase the use of our cloud platform driven by additional applications and connected devices, our cost of revenue will increase due to higher bandwidth and data center expenses. However, we expect to continue to benefit from economies of scale as our customers increase the use of our cloud platform. We intend to continue to invest additional resources in our cloud platform and our customer support organizations as we grow our business. The level and timing of investment in these areas could affect our cost of revenue in the future.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absolute dollars and our gross margin to increase modestly over the long term, although our gross margin could fluctuate from period to period depending on the interplay of all of these factors.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stock-based compensation expense and, with respect to sales and marketing expenses, sales commissions that are recognized as expenses. Operating expenses also include overhead costs for facilities, IT and depreciation expense.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Sales and marketing expenses consist primarily of employee compensation and related expenses, including salaries, bonuses and benefits for our sales and marketing employees, sales commissions that are recognized as expenses over the period of benefit, stock-based compensation expense, marketing programs, travel and entertainment expenses, expenses for conferences and events and allocated overhead costs. We capitalize our sales commissions and associated payroll taxes and recognize them as expenses over the estimated period of benefit. The amount recognized in our sales and marketing expenses reflects the amortization of cost previously deferred as attributable to each period presented in this prospectus, as described below under “—Critical Accounting Policies and Estimates.” We intend to continue to make significant investments in our sales and marketing organization to drive additional revenue, further penetrate the market and expand our global customer base. As a result, we expect our sales and marketing expenses to continue to increase in absolute dollars and to be our largest operating expense category for the foreseeable future. In particular, in fiscal 2018, we expect to invest in growing and training our sales force, broadening our brand awareness and expanding and deepening our channel partner relationships.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research and development expenses support our efforts to add new features to our existing offerings and to ensure the reliability, availability and scalability of our solutions. Our cloud platform is software-driven, and our research and development teams employ software engineers in the design, and the related development, testing, certification and support, of these solutions. Accordingly, a majority of our research and development expenses result from employee-related costs, including salaries, bonuses and benefits, stock-based compensation expense and costs associated with technology tools used by our engineers. We expect our research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development expenses to continue to increase in absolute dollars for the foreseeable future, particularly in fiscal 2018, as we continue to invest in research and development efforts to enhance the functionality of our cloud platform, improve the reliability, availability and scalability of our platform and access new customer markets. However, we expect our research and development expenses to decrease as a percentage of our revenue over the long term, although our research and development expenses may fluctuate as a percentage of our revenue from period to period due to the timing and extent of these expenses.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General and administrative expenses consist primarily of employee-related costs, including salaries and bonuses, stock-based compensation expense and employee benefit costs for our finance, legal, human resources and administrative personnel, as well as professional fees for external legal services (including certain litigation-related expenses), accounting and other consulting services. These excluded litigation-related expenses, recognized in general and administrative expenses, are professional fees and related costs incurred by us in defending against significant claims that we deem not to be in the ordinary course of our business and, if applicable, accruals related to estimated losses in connection with these claims. We expect our general and administrative expenses to continue to increase in absolute dollars for the foreseeable future, in particular in fiscal 2018, due to additional costs associated with accounting, compliance, insurance and investor relations as we become a public company, and due to ongoing legal matters and related accruals, certain of which are described in further detail in Note 5 to our consolidated financial statements included elsewhere in this prospectus. However, we expect our general and administrative expenses to decrease as a percentage of our revenue over the long term, although our general and administrative expenses may fluctuate as a percentage of our revenue from period to period due to the timing and extent of these expenses. In particular, litigation-related expenses related to significant litigation claims may result in significant fluctuations from period to period as they are inherently subject to change and difficult to estimate.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Other income (expense), net consists primarily of foreign currency transaction gains and losses, income earned on our cash equivalents, and interest earned on outstanding notes receivable extended to certain current and former employees who early exercised their stock options. For more information on these notes receivable, please see Note 8 to our consolidated financial statements included elsewhere in this prospectus.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as well as state income taxes in the United States. We have not recorded any U.S. federal income tax expense. We have recorded deferred tax assets for which we provide a full valuation allowance, which includes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set forth our consolidated results of operations for the periods presented in dollars and as a percentage of our revenue:</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2"/>
              </w:rPr>
              <w:t>Year Ended July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53,707</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125,717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20,940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133,318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(12,418)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(26,843)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(35,073)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(12,599)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(26,970)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(34,583)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(12,832)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(27,438)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(35,460)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Year Ended July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January 31,</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2015</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2017</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2,794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829</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1,203</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9,919</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Year Ended July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3"/>
              </w:rPr>
              <w:t>January 31,</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Percentage of Revenue Data:</w:t>
            </w: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3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Gross margin</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Comparison of Six Months Ended January 31, 2017 and 2018</w:t>
            </w: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0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80" w:type="dxa"/>
            <w:vAlign w:val="bottom"/>
            <w:gridSpan w:val="2"/>
          </w:tcPr>
          <w:p>
            <w:pPr>
              <w:ind w:left="420"/>
              <w:spacing w:after="0"/>
              <w:rPr>
                <w:sz w:val="20"/>
                <w:szCs w:val="20"/>
                <w:color w:val="auto"/>
              </w:rPr>
            </w:pPr>
            <w:r>
              <w:rPr>
                <w:rFonts w:ascii="Arial" w:cs="Arial" w:eastAsia="Arial" w:hAnsi="Arial"/>
                <w:sz w:val="18"/>
                <w:szCs w:val="18"/>
                <w:b w:val="1"/>
                <w:bCs w:val="1"/>
                <w:i w:val="1"/>
                <w:iCs w:val="1"/>
                <w:color w:val="auto"/>
              </w:rPr>
              <w:t>Revenue</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8"/>
          </w:tcPr>
          <w:p>
            <w:pPr>
              <w:ind w:left="100"/>
              <w:spacing w:after="0"/>
              <w:rPr>
                <w:sz w:val="20"/>
                <w:szCs w:val="20"/>
                <w:color w:val="auto"/>
              </w:rPr>
            </w:pPr>
            <w:r>
              <w:rPr>
                <w:rFonts w:ascii="Arial" w:cs="Arial" w:eastAsia="Arial" w:hAnsi="Arial"/>
                <w:sz w:val="14"/>
                <w:szCs w:val="14"/>
                <w:b w:val="1"/>
                <w:bCs w:val="1"/>
                <w:color w:val="auto"/>
              </w:rPr>
              <w:t>Six Months Ended January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56,209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84,837</w:t>
            </w:r>
          </w:p>
        </w:tc>
        <w:tc>
          <w:tcPr>
            <w:tcW w:w="4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$ 28,628</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Revenue increased by $28.6 million, or 51%, for the six months ended January 31, 2018, compared to the six months ended January 31, 2017. The increase in revenue was attributable to the addition of new customers, which contributed $12.9 million, as we increased our customer base by 14% from January 31, 2017 to January 31, 2018. The remainder of the increase in revenue was attributable to an increase in users and sales of additional subscriptions to existing customers as reflected by our dollar-based net retention rate of 122% for the trailing 12 months ended January 31, 2018.</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January 31,</w:t>
            </w:r>
          </w:p>
        </w:tc>
        <w:tc>
          <w:tcPr>
            <w:tcW w:w="22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12,441</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$ 4,509</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Gross margin</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Cost of revenue increased by $4.5 million, or 36%, for the six months ended January 31, 2018, compared to the six months ended January 31, 2017. The overall increase in cost of revenue was driven by expanded use of our cloud platform by existing and new customers. The increase in cost of revenue was due to an increase in employee-related expenses of $1.2 million, which was driven by a 26% increase in headcount in our customer support and cloud operations organizations from January 31, 2017 to January 31, 2018. The overall increase in cost of revenue was also attributable to a $0.5 million increase in depreciation and amortization expense and a $1.3 million increase in data center colocation expense related to hosting and operating our cloud platform.</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Gross margin increased from 78% during the six months ended January 31, 2017 to 80% during the six months ended January 31, 2018. The increase in gross margin was driven by an increase in revenue and was also due in part to the increased efficiency of our technology, infrastructure and data centers enabled by technological improvements, even as our customers expanded their use of our cloud platform.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 January 31,</w:t>
            </w:r>
          </w:p>
        </w:tc>
        <w:tc>
          <w:tcPr>
            <w:tcW w:w="16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42"/>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74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34,912</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$ 19,126</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Sales and marketing expenses increased by $19.1 million, or 55%, for the six months ended January 31, 2018, compared to the six months ended January 31, 2017. The increase was primarily driven by $15.6 million in increased employee-related costs due to a 43% increase in headcount in our sales and marketing organization from January 31, 2017 to January 31, 2018, and includes a $3.2 million increase in sales commissions that were recognized as expenses. The remainder of the increase was primarily attributable to increased expenses of $0.9 million in travel and entertainment and $2.1 million for training, conferences and overhead costs.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January 31,</w:t>
            </w:r>
          </w:p>
        </w:tc>
        <w:tc>
          <w:tcPr>
            <w:tcW w:w="26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728"/>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17,174</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$ 818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ind w:left="200" w:right="20" w:firstLine="441"/>
        <w:spacing w:after="0" w:line="289" w:lineRule="auto"/>
        <w:rPr>
          <w:sz w:val="20"/>
          <w:szCs w:val="20"/>
          <w:color w:val="auto"/>
        </w:rPr>
      </w:pPr>
      <w:r>
        <w:rPr>
          <w:rFonts w:ascii="Arial" w:cs="Arial" w:eastAsia="Arial" w:hAnsi="Arial"/>
          <w:sz w:val="16"/>
          <w:szCs w:val="16"/>
          <w:color w:val="auto"/>
        </w:rPr>
        <w:t>Research and development expenses increased by $0.8 million, or 5%, for the six months ended January 31, 2018, compared to the six months ended January 31, 2017 as we continued to develop and enhance the functionality of our cloud platform. Research and development expenses in the six months ended January 31, 2017 included $4.4 million in stock-based compensation expense recognized in November 2016 associated with a one-time secondary stock purchase transaction executed between certain of our employees and certain of our affiliated stockholders, including entities controlled by Jay Chaudhry, our president, chief executive officer and chairman of the board of directors, and Lane Bess, a member of our board of directors. Refer to Note 13 to our consolidated financial statements included elsewhere in this prospectus for more information regarding this transaction. Excluding this transaction, the increase in research and development expenses was primarily driven by a 22% increase in headcount from January 31, 2017 to January 31, 2018, which resulted in additional expenses of $4.5 million in employee-related costs. The remainder of the increase was primarily attributable to professional services to support our expanded research and development efforts.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7"/>
              </w:rPr>
              <w:t>Six Months Ended January 31,</w:t>
            </w:r>
          </w:p>
        </w:tc>
        <w:tc>
          <w:tcPr>
            <w:tcW w:w="180" w:type="dxa"/>
            <w:vAlign w:val="bottom"/>
          </w:tcPr>
          <w:p>
            <w:pPr>
              <w:spacing w:after="0"/>
              <w:rPr>
                <w:sz w:val="14"/>
                <w:szCs w:val="14"/>
                <w:color w:val="auto"/>
              </w:rPr>
            </w:pPr>
          </w:p>
        </w:tc>
        <w:tc>
          <w:tcPr>
            <w:tcW w:w="1220" w:type="dxa"/>
            <w:vAlign w:val="bottom"/>
          </w:tcPr>
          <w:p>
            <w:pPr>
              <w:ind w:left="5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82"/>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6,140</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13,533</w:t>
            </w: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$ 7,393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General and administrative expenses increased by $7.4 million, or 120%, for the six months ended January 31, 2018, compared to the six months ended January 31, 2017. The increase was driven by $3.6 million in increased legal expenses related to ongoing legal matters and related accruals, including $0.7 million related to our ongoing legal proceeding with Finjan, as further discussed in Note 5 to our consolidated financial statements included elsewhere in this prospectus. Additionally, we incurred an increase of $3.3 million in employee-related costs, including an increase of $2.8 million in salaries, bonus and benefits driven by increased headcount as we prepare to operate as a public company and an increase of $0.5 million in stock-based compensation expense.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January 31,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Change</w:t>
            </w: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42"/>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196</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Other income (expense), net increased by $0.2 million, or 109%, for the six months ended January 31, 2018, compared to the six months ended January 31, 2017. The increase was primarily driven by fluctuations in foreign currency transaction gains and losses and increased interest income from our investments in money market funds for the six months ended January 31, 2018, compared to the six months ended January 31, 2017.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January 31,</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62"/>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ind w:left="8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367</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provision for income taxes increased by $0.3 million, or 76%, for the six months ended January 31, 2018, compared to the six months ended January 31, 2017, primarily related to income taxes in foreign tax jurisdictions. Our tax expense of $0.4 million and $0.6 million for the six months ended January 31, 2017 and 2018, respectively, was attributable to our foreign operations.</w:t>
      </w:r>
    </w:p>
    <w:p>
      <w:pPr>
        <w:spacing w:after="0" w:line="181" w:lineRule="exact"/>
        <w:rPr>
          <w:sz w:val="20"/>
          <w:szCs w:val="20"/>
          <w:color w:val="auto"/>
        </w:rPr>
      </w:pPr>
    </w:p>
    <w:p>
      <w:pPr>
        <w:jc w:val="both"/>
        <w:ind w:left="200" w:right="20" w:firstLine="441"/>
        <w:spacing w:after="0" w:line="289" w:lineRule="auto"/>
        <w:rPr>
          <w:sz w:val="20"/>
          <w:szCs w:val="20"/>
          <w:color w:val="auto"/>
        </w:rPr>
      </w:pPr>
      <w:r>
        <w:rPr>
          <w:rFonts w:ascii="Arial" w:cs="Arial" w:eastAsia="Arial" w:hAnsi="Arial"/>
          <w:sz w:val="16"/>
          <w:szCs w:val="16"/>
          <w:color w:val="auto"/>
        </w:rPr>
        <w:t>On December 22, 2017, the Tax Cuts and Jobs Act of 2017, or the Tax Act, was enacted. The Tax Act contains several key tax provisions that affect us, including, but not limited to, reducing the U.S. federal corporate tax rate from 34% to 21% for tax years beginning after December 31, 2017, imposing a one-time repatriation tax on deemed repatriated earnings and changing rules related to uses and limitations of net operating loss carryforwards created in tax years beginning after December 31, 2017. We have not completed our accounting assessment for the effects of the Tax Act; however, based on our initial assessment, we have determined that the Tax Act did not have a material impact on our consolidated financial statements in our fiscal quarter ending January 31, 2018. We currently maintain a full valuation allowance recorded against our U.S. federal deferred tax assets and we anticipate incurring a loss in fiscal 2018. As such, the remeasurement of the deferred tax assets and related valuation allowance is not expected to have a material impact to the financial statements in fiscal 2018, other than disclosures in our year-end financial statements. Refer to Note 10 to our consolidated financial statements included elsewhere in this prospectus for further information regarding income taxes.</w:t>
      </w:r>
    </w:p>
    <w:p>
      <w:pPr>
        <w:spacing w:after="0" w:line="16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w:t>
      </w:r>
    </w:p>
    <w:p>
      <w:pPr>
        <w:spacing w:after="0" w:line="18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Our quarterly tax provision, and estimate of our annual effective tax rate, is subject to variation due to several factors, including variability in pre-tax income (or loss), the mix of jurisdictions to which such income relates, changes in how we do business, and tax law developments. Our estimated effective tax rate for the year differs from the U.S. statutory rate of 26.9% primarily due to the benefit of a portion of our earnings being taxed at rates lower than the U.S. statutory rate.</w:t>
      </w:r>
    </w:p>
    <w:p>
      <w:pPr>
        <w:spacing w:after="0" w:line="18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While we believe our current valuation allowance is sufficient, we assess the need for an adjustment to the valuation allowance on a quarterly basis. The assessment is based on our estimates of future sources of taxable income for the jurisdictions in which we operate and the periods over which our deferred tax assets will be realizable. In the event we determine that we will be able to realize all or part of our net deferred tax assets in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future, the valuation allowance will be reversed in the period in which we make such determination. The release of a valuation allowance against deferred tax assets may cause greater volatility in the effective tax rate in the periods in which it is reversed.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Fiscal 2016 and Fiscal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gridSpan w:val="2"/>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80,325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125,717</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$ 45,392</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Revenue increased by $45.4 million, or 57%, for fiscal 2017, compared to fiscal 2016. The increase in revenue was due to the addition of new customers, which contributed $15.6 million, as we increased our customer base by 14% from July 31, 2016 to July 31, 2017. The remainder of the increase in revenue was attributable to an increase in users and sales of additional subscriptions to existing customers as reflected by our dollar-based net retention rate of 115% as of July 31,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Borders>
              <w:bottom w:val="single" w:sz="8" w:color="auto"/>
            </w:tcBorders>
          </w:tcPr>
          <w:p>
            <w:pPr>
              <w:jc w:val="right"/>
              <w:ind w:right="548"/>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2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20,127</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$ 7,345</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Gross margin</w:t>
            </w:r>
          </w:p>
        </w:tc>
        <w:tc>
          <w:tcPr>
            <w:tcW w:w="3760" w:type="dxa"/>
            <w:vAlign w:val="bottom"/>
            <w:gridSpan w:val="2"/>
          </w:tcPr>
          <w:p>
            <w:pPr>
              <w:jc w:val="right"/>
              <w:ind w:right="248"/>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Cost of revenue increased by $7.3 million, or 36%, for fiscal 2017, compared to fiscal 2016. The increase in cost of revenue was driven by expanded use of our cloud platform by existing and new customers, which resulted in increased data center costs. It was also due to an increase in employee-related expenses of $3.1 million, which was driven by a 37% increase in headcount in our customer support and cloud operations organizations from July 31, 2016 to July 31, 2017. The increase in cost of revenue was also attributable to a $1.8 million increase in depreciation and amortization expense and a $1.4 million increase in data center colocation expense related to hosting and operating our cloud platform.</w:t>
      </w:r>
    </w:p>
    <w:p>
      <w:pPr>
        <w:spacing w:after="0" w:line="173"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Gross margin increased from 75% during fiscal 2016 to 78% during fiscal 2017. The increase in gross margin was driven by an increase in revenue and was also due in part to the increased efficiency of our technology, infrastructure and data centers enabled by technological improvements, even as our customers expanded their use of our cloud platform.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80" w:type="dxa"/>
            <w:vAlign w:val="bottom"/>
            <w:gridSpan w:val="3"/>
          </w:tcPr>
          <w:p>
            <w:pPr>
              <w:ind w:left="460"/>
              <w:spacing w:after="0"/>
              <w:rPr>
                <w:sz w:val="20"/>
                <w:szCs w:val="20"/>
                <w:color w:val="auto"/>
              </w:rPr>
            </w:pPr>
            <w:r>
              <w:rPr>
                <w:rFonts w:ascii="Arial" w:cs="Arial" w:eastAsia="Arial" w:hAnsi="Arial"/>
                <w:sz w:val="14"/>
                <w:szCs w:val="14"/>
                <w:b w:val="1"/>
                <w:bCs w:val="1"/>
                <w:color w:val="auto"/>
              </w:rPr>
              <w:t>Year Ended July 31,</w:t>
            </w:r>
          </w:p>
        </w:tc>
        <w:tc>
          <w:tcPr>
            <w:tcW w:w="100" w:type="dxa"/>
            <w:vAlign w:val="bottom"/>
          </w:tcPr>
          <w:p>
            <w:pPr>
              <w:spacing w:after="0"/>
              <w:rPr>
                <w:sz w:val="14"/>
                <w:szCs w:val="14"/>
                <w:color w:val="auto"/>
              </w:rPr>
            </w:pPr>
          </w:p>
        </w:tc>
        <w:tc>
          <w:tcPr>
            <w:tcW w:w="1240" w:type="dxa"/>
            <w:vAlign w:val="bottom"/>
          </w:tcPr>
          <w:p>
            <w:pPr>
              <w:ind w:left="5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8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gridSpan w:val="2"/>
          </w:tcPr>
          <w:p>
            <w:pPr>
              <w:ind w:left="7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$ 56,702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$ 79,236</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$ 22,534</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Sales and marketing expenses increased by $22.5 million, or 40%, for fiscal 2017, compared to fiscal 2016. The increase was primarily driven by $17.2 million in increased employee-related costs due to a 41% increase in headcount in our sales and marketing organization from July 31, 2016 to July 31, 2017, and includes a</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$2.3 million increase in sales commissions that were recognized as expenses. The remainder of the increase was primarily attributable to increased expenses of $2.2 million in travel and entertainment and $2.3 million for training, conferences, advertising and overhead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72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Pr>
          <w:p>
            <w:pPr>
              <w:spacing w:after="0"/>
              <w:rPr>
                <w:sz w:val="14"/>
                <w:szCs w:val="14"/>
                <w:color w:val="auto"/>
              </w:rPr>
            </w:pP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$ 20,940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$ 33,561</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  12,621</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jc w:val="both"/>
        <w:ind w:left="200" w:right="20" w:firstLine="441"/>
        <w:spacing w:after="0" w:line="271" w:lineRule="auto"/>
        <w:rPr>
          <w:sz w:val="20"/>
          <w:szCs w:val="20"/>
          <w:color w:val="auto"/>
        </w:rPr>
      </w:pPr>
      <w:r>
        <w:rPr>
          <w:rFonts w:ascii="Arial" w:cs="Arial" w:eastAsia="Arial" w:hAnsi="Arial"/>
          <w:sz w:val="17"/>
          <w:szCs w:val="17"/>
          <w:color w:val="auto"/>
        </w:rPr>
        <w:t>Research and development expenses increased by $12.6 million, or 60%, for fiscal 2017, compared to fiscal 2016 as we continued to develop and enhance the functionality of our cloud platform. The increase was primarily driven by a 31% increase in research and development headcount from July 31, 2016 to July 31, 2017, which resulted in additional expenses of $10.4 million in employee-related costs, including an increase of $4.4 million in stock-based compensation expense from a one-time secondary stock purchase transaction that was executed among certain of our employees and certain of our affiliated stockholders, including entities controlled by Jay Chaudhry, our president, chief executive officer and chairman of the board of directors, and Lane Bess, a member of our board of directors. See Note 13 to our consolidated financial statements included elsewhere in this prospectus for more information regarding this transaction. The remainder of the increase was primarily attributable to other expenses that increased as we expanded our research and development efforts.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74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40" w:type="dxa"/>
            <w:vAlign w:val="bottom"/>
          </w:tcPr>
          <w:p>
            <w:pPr>
              <w:spacing w:after="0"/>
              <w:rPr>
                <w:sz w:val="14"/>
                <w:szCs w:val="14"/>
                <w:color w:val="auto"/>
              </w:rPr>
            </w:pPr>
          </w:p>
        </w:tc>
        <w:tc>
          <w:tcPr>
            <w:tcW w:w="1320" w:type="dxa"/>
            <w:vAlign w:val="bottom"/>
          </w:tcPr>
          <w:p>
            <w:pPr>
              <w:ind w:left="6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84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gridSpan w:val="2"/>
          </w:tcPr>
          <w:p>
            <w:pPr>
              <w:ind w:left="8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9,399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$ 20,521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11,122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jc w:val="both"/>
        <w:ind w:left="200" w:right="20" w:firstLine="441"/>
        <w:spacing w:after="0" w:line="293" w:lineRule="auto"/>
        <w:rPr>
          <w:sz w:val="20"/>
          <w:szCs w:val="20"/>
          <w:color w:val="auto"/>
        </w:rPr>
      </w:pPr>
      <w:r>
        <w:rPr>
          <w:rFonts w:ascii="Arial" w:cs="Arial" w:eastAsia="Arial" w:hAnsi="Arial"/>
          <w:sz w:val="16"/>
          <w:szCs w:val="16"/>
          <w:color w:val="auto"/>
        </w:rPr>
        <w:t>General and administrative expenses increased by $11.1 million, or 118%, for fiscal 2017, compared to fiscal 2016. The increase was primarily driven by $4.4 million in increased employee-related costs, including an increase of $3.1 million in salaries, bonus and benefits driven by increased headcount as we prepare to operate as a public company and an increase of $0.4 million in stock-based compensation expense. Additionally, our legal expenses increased by $5.5 million due to ongoing legal matters and related accruals, including $2.5 million related to our ongoing legal proceeding with Finjan, as further discussed in Note 5 to our consolidated financial statements included elsewhere in this prospectus. The remainder of the increase was primarily due to increased expenses of $1.3 million for third-party accounting and consulting services.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74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July 31,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(127)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$ 490</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$ 617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Other income (expense), net increased by $0.6 million, or 486%, for fiscal 2017, compared to fiscal 2016. The increase was primarily driven by fluctuations in foreign currency transaction gains and losses and increased interest income from our investments in money market funds for fiscal 2017, compared to fiscal 2016.</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60" w:type="dxa"/>
            <w:vAlign w:val="bottom"/>
            <w:gridSpan w:val="3"/>
          </w:tcPr>
          <w:p>
            <w:pPr>
              <w:ind w:left="380"/>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ind w:left="8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   468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877</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$ 409</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We recorded a provision for income taxes of $0.5 million and $0.9 million in fiscal 2016 and 2017, respectively. Our effective tax rate of (1.7%) and (2.5%) in fiscal 2016 and 2017, respectively, differs from the U.S. statutory federal income tax rate of 34% due to an increase in the valuation allowance against our U.S. federal and state deferred tax assets, as well as the benefit of our foreign income being taxed at different rates than the U.S. statutory rate. Our provision for income taxes increased by $0.4 million, or 87%, for fiscal 2017, compared to fiscal 2016, primarily related to income taxes in foreign tax jurisdictions in relation to income from foreign operations.</w:t>
      </w:r>
    </w:p>
    <w:p>
      <w:pPr>
        <w:spacing w:after="0" w:line="18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of July 1, 2017, we had an immaterial amount of net deferred tax assets, which was mainly comprised of U.S. federal and state net operating loss carryovers. Our U.S. federal and state deferred tax assets are subject to a full valuation allowance to reflect uncertainties about whether we will be able to utilize the deferred tax assets before they expire.</w:t>
      </w:r>
    </w:p>
    <w:p>
      <w:pPr>
        <w:spacing w:after="0" w:line="181"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While we believe our current valuation allowance is sufficient, we assess the need for an adjustment to the valuation allowance on a quarterly basis. The assessment is based on our estimates of future sources of taxable income for the jurisdictions in which we operate and the periods over which our deferred tax assets will be realizable. In the event we determine that we will be able to realize all or part of our net deferred tax assets in the future, the valuation allowance will be reversed in the period in which we make such determination. The release of a valuation allowance against deferred tax assets may cause greater volatility in the effective tax rate in the periods in which it is reversed.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Fiscal 2015 and Fiscal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8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60" w:type="dxa"/>
            <w:vAlign w:val="bottom"/>
            <w:gridSpan w:val="2"/>
          </w:tcPr>
          <w:p>
            <w:pPr>
              <w:ind w:left="7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$ 53,707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$ 80,325</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$ 26,618</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Revenue increased by $26.6 million, or 50%, for fiscal 2016, compared to fiscal 2015. The increase in revenue was due to the addition of new customers, which contributed $9.7 million, as we increased our customer base by 19% from July 31, 2015 to July 31, 2016. The remainder of the increase in revenue was attributable to an increase in users and sales of additional subscriptions to existing customers as reflected by our dollar-based net retention rate of 115% as of July 31, 2016.</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2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$ 14,431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$ 20,127</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margin</w:t>
            </w:r>
          </w:p>
        </w:tc>
        <w:tc>
          <w:tcPr>
            <w:tcW w:w="3700" w:type="dxa"/>
            <w:vAlign w:val="bottom"/>
            <w:gridSpan w:val="2"/>
          </w:tcPr>
          <w:p>
            <w:pPr>
              <w:jc w:val="right"/>
              <w:ind w:right="268"/>
              <w:spacing w:after="0"/>
              <w:rPr>
                <w:sz w:val="20"/>
                <w:szCs w:val="20"/>
                <w:color w:val="auto"/>
              </w:rPr>
            </w:pPr>
            <w:r>
              <w:rPr>
                <w:rFonts w:ascii="Arial" w:cs="Arial" w:eastAsia="Arial" w:hAnsi="Arial"/>
                <w:sz w:val="18"/>
                <w:szCs w:val="18"/>
                <w:color w:val="auto"/>
              </w:rPr>
              <w:t>73%</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Cost of revenue increased by $5.7 million, or 39%, for fiscal 2016, compared to fiscal 2015. The increase in cost of revenue was driven by expanded use of our cloud platform by existing and new customers, which resulted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 increased data center costs. It was also due to an increase in employee-related costs of $1.2 million, which was driven by a 32% increase in headcount in our customer support and cloud operations organizations from July 31, 2015 to July 31, 2016. The increase in cost of revenue was also attributable to a $1.6 million increase in depreciation and amortization expense, a $1.7 million increase in data center colocation expense related to operating our cloud platform, and a $0.9 million increase in third-party consulting expenses.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Gross margin increased from 73% during fiscal 2015 to 75% during fiscal 2016. The increase in gross margin was driven by an increase in revenue and was also due in part to the increased efficiency of our technology, infrastructure and data centers enabled by technological improvements, even as our customers expanded their use of our cloud platform.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8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60" w:type="dxa"/>
            <w:vAlign w:val="bottom"/>
            <w:gridSpan w:val="2"/>
          </w:tcPr>
          <w:p>
            <w:pPr>
              <w:ind w:left="7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$ 32,191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$ 56,702</w:t>
            </w: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$ 24,511</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Sales and marketing expenses increased by $24.5 million, or 76%, for fiscal 2016, compared to fiscal 2015. The increase was primarily driven by $17.2 million in increased employee-related costs, including increases of $1.0 million for stock-based compensation expense and $2.7 million in sales commissions that were recognized as expenses. The increase was primarily attributable to a 39% increase in headcount in our sales and marketing organization from July 31, 2015 to July 31, 2016. The remainder of the increase was primarily due to increased expenses of $3.0 million in travel and entertainment and $3.8 million for conferences, events, advertising and overhead costs.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6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 Ended July 31,</w:t>
            </w:r>
          </w:p>
        </w:tc>
        <w:tc>
          <w:tcPr>
            <w:tcW w:w="100" w:type="dxa"/>
            <w:vAlign w:val="bottom"/>
          </w:tcPr>
          <w:p>
            <w:pPr>
              <w:spacing w:after="0"/>
              <w:rPr>
                <w:sz w:val="14"/>
                <w:szCs w:val="14"/>
                <w:color w:val="auto"/>
              </w:rPr>
            </w:pPr>
          </w:p>
        </w:tc>
        <w:tc>
          <w:tcPr>
            <w:tcW w:w="1160" w:type="dxa"/>
            <w:vAlign w:val="bottom"/>
          </w:tcPr>
          <w:p>
            <w:pPr>
              <w:ind w:left="52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$ 15,034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$ 20,940</w:t>
            </w: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$ 5,906</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Research and development expenses increased by $5.9 million, or 39%, for fiscal 2016, compared to fiscal 2015, as we continued to develop and enhance the functionality of our cloud platform. The increase was primarily driven by an increase of $3.9 million for employee-related costs as our headcount increased by 23% from July 31, 2015 to July 31, 2016. The remainder of the increase was primarily due to increased expenses of $0.4 million for third-party technology services, and $0.8 million for overhead costs, partially offset by a $0.7 million decrease in expenses from fiscal 2015 to fiscal 2016 as a result of higher capitalized internal-use software development costs.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July 31,</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gridSpan w:val="2"/>
          </w:tcPr>
          <w:p>
            <w:pPr>
              <w:ind w:left="8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$ 4,469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$ 9,399</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$ 4,930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General and administrative expenses increased by $4.9 million, or 110%, for fiscal 2016, compared to fiscal 2015. The increase was primarily driven by an increase in employee-related costs of $3.7 million, including an increase of $0.6 million for stock-based compensation expense. The remainder of the increase was primarily due to increased expenses of $1.1 million for third-party accounting, consulting and legal expenses.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ind w:left="8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  (181)</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  (127)</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$ 54</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Other income (expense), net increased by $0.1 million, or 30%, for fiscal 2016, compared to fiscal 2015. The increase was primarily driven by fluctuations in foreign currency transaction gains and losses, increased interest income generated from outstanding notes receivable extended to certain current and former employees who early exercised their stock options and, to a lesser extent, from income on our investments in money market funds.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8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 Ended July 31,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Change</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ind w:left="6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3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468</w:t>
            </w: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Provision for income taxes increased by $0.2 million, or 101%, for fiscal 2016, compared to fiscal 2015, primarily related to income taxes in foreign tax jurisdictions in relation to income from foreign operations.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121"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The following table sets forth our unaudited quarterly statements of operations data for each of the quarters indicated. The unaudited quarterly statements of operations data set forth below have been prepared on the same basis as our audited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 full year or any other period. The following quarterly financial data should be read in conjunction with our consolidated financial statements and the related notes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96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January 31,</w:t>
            </w:r>
          </w:p>
        </w:tc>
        <w:tc>
          <w:tcPr>
            <w:tcW w:w="78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7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9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October 31,</w:t>
            </w:r>
          </w:p>
        </w:tc>
        <w:tc>
          <w:tcPr>
            <w:tcW w:w="9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January 31,</w:t>
            </w:r>
          </w:p>
        </w:tc>
        <w:tc>
          <w:tcPr>
            <w:tcW w:w="78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7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July 31,</w:t>
            </w:r>
          </w:p>
        </w:tc>
        <w:tc>
          <w:tcPr>
            <w:tcW w:w="94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October 31,</w:t>
            </w:r>
          </w:p>
        </w:tc>
        <w:tc>
          <w:tcPr>
            <w:tcW w:w="84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18,876</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20,748</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23,569</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26,782</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29,427</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32,964</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36,544</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39,861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Cost of revenue</w:t>
            </w: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80"/>
              <w:spacing w:after="0" w:line="149" w:lineRule="exact"/>
              <w:rPr>
                <w:sz w:val="20"/>
                <w:szCs w:val="20"/>
                <w:color w:val="auto"/>
              </w:rPr>
            </w:pPr>
            <w:r>
              <w:rPr>
                <w:rFonts w:ascii="Arial" w:cs="Arial" w:eastAsia="Arial" w:hAnsi="Arial"/>
                <w:sz w:val="14"/>
                <w:szCs w:val="14"/>
                <w:color w:val="auto"/>
                <w:w w:val="95"/>
              </w:rPr>
              <w:t>Research and development</w:t>
            </w:r>
            <w:r>
              <w:rPr>
                <w:rFonts w:ascii="Arial" w:cs="Arial" w:eastAsia="Arial" w:hAnsi="Arial"/>
                <w:sz w:val="12"/>
                <w:szCs w:val="12"/>
                <w:color w:val="auto"/>
                <w:w w:val="95"/>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7,778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7"/>
              </w:rPr>
              <w:t>General and administrative</w:t>
            </w:r>
            <w:r>
              <w:rPr>
                <w:rFonts w:ascii="Arial" w:cs="Arial" w:eastAsia="Arial" w:hAnsi="Arial"/>
                <w:sz w:val="12"/>
                <w:szCs w:val="12"/>
                <w:color w:val="auto"/>
                <w:w w:val="97"/>
              </w:rPr>
              <w:t>(1)</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(13,054)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80"/>
              <w:spacing w:after="0" w:line="149" w:lineRule="exact"/>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(12,943)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(6,815)</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(6,127)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(6,159)</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(5,241)</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(9,388)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(13,269)</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153"/>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3"/>
                <w:szCs w:val="13"/>
                <w:b w:val="1"/>
                <w:bCs w:val="1"/>
                <w:color w:val="auto"/>
                <w:w w:val="93"/>
              </w:rPr>
              <w:t>Three Months Ended</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2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October 31,</w:t>
            </w:r>
          </w:p>
        </w:tc>
        <w:tc>
          <w:tcPr>
            <w:tcW w:w="92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3"/>
              </w:rPr>
              <w:t>January 31,</w:t>
            </w:r>
          </w:p>
        </w:tc>
        <w:tc>
          <w:tcPr>
            <w:tcW w:w="78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rPr>
              <w:t>April 30,</w:t>
            </w:r>
          </w:p>
        </w:tc>
        <w:tc>
          <w:tcPr>
            <w:tcW w:w="280" w:type="dxa"/>
            <w:vAlign w:val="bottom"/>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5"/>
              </w:rPr>
              <w:t>July 31,</w:t>
            </w:r>
          </w:p>
        </w:tc>
        <w:tc>
          <w:tcPr>
            <w:tcW w:w="92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3"/>
              </w:rPr>
              <w:t>October 31,</w:t>
            </w:r>
          </w:p>
        </w:tc>
        <w:tc>
          <w:tcPr>
            <w:tcW w:w="94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6"/>
              </w:rPr>
              <w:t>January 31,</w:t>
            </w:r>
          </w:p>
        </w:tc>
        <w:tc>
          <w:tcPr>
            <w:tcW w:w="76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7"/>
              </w:rPr>
              <w:t>April 30,</w:t>
            </w:r>
          </w:p>
        </w:tc>
        <w:tc>
          <w:tcPr>
            <w:tcW w:w="72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5"/>
              </w:rPr>
              <w:t>July 31,</w:t>
            </w:r>
          </w:p>
        </w:tc>
        <w:tc>
          <w:tcPr>
            <w:tcW w:w="92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3"/>
              </w:rPr>
              <w:t>October 31,</w:t>
            </w:r>
          </w:p>
        </w:tc>
        <w:tc>
          <w:tcPr>
            <w:tcW w:w="940" w:type="dxa"/>
            <w:vAlign w:val="bottom"/>
            <w:gridSpan w:val="3"/>
          </w:tcPr>
          <w:p>
            <w:pPr>
              <w:ind w:left="280"/>
              <w:spacing w:after="0" w:line="110" w:lineRule="exact"/>
              <w:rPr>
                <w:sz w:val="20"/>
                <w:szCs w:val="20"/>
                <w:color w:val="auto"/>
              </w:rPr>
            </w:pPr>
            <w:r>
              <w:rPr>
                <w:rFonts w:ascii="Arial" w:cs="Arial" w:eastAsia="Arial" w:hAnsi="Arial"/>
                <w:sz w:val="12"/>
                <w:szCs w:val="12"/>
                <w:b w:val="1"/>
                <w:bCs w:val="1"/>
                <w:color w:val="auto"/>
                <w:w w:val="96"/>
              </w:rPr>
              <w:t>January 31,</w:t>
            </w:r>
          </w:p>
        </w:tc>
        <w:tc>
          <w:tcPr>
            <w:tcW w:w="40" w:type="dxa"/>
            <w:vAlign w:val="bottom"/>
          </w:tcPr>
          <w:p>
            <w:pPr>
              <w:spacing w:after="0"/>
              <w:rPr>
                <w:sz w:val="9"/>
                <w:szCs w:val="9"/>
                <w:color w:val="auto"/>
              </w:rPr>
            </w:pPr>
          </w:p>
        </w:tc>
      </w:tr>
      <w:tr>
        <w:trPr>
          <w:trHeight w:val="153"/>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2015</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9"/>
              </w:rPr>
              <w:t>2016</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2016</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w w:val="96"/>
              </w:rPr>
              <w:t>2016</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6"/>
              </w:rPr>
              <w:t>2017</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9"/>
              </w:rPr>
              <w:t>2017</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2017</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2017</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3"/>
                <w:szCs w:val="13"/>
                <w:color w:val="auto"/>
              </w:rPr>
            </w:pPr>
          </w:p>
        </w:tc>
      </w:tr>
      <w:tr>
        <w:trPr>
          <w:trHeight w:val="129"/>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right"/>
              <w:ind w:right="353"/>
              <w:spacing w:after="0" w:line="129" w:lineRule="exact"/>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40" w:type="dxa"/>
            <w:vAlign w:val="bottom"/>
            <w:shd w:val="clear" w:color="auto" w:fill="CCEEFF"/>
          </w:tcPr>
          <w:p>
            <w:pPr>
              <w:spacing w:after="0"/>
              <w:rPr>
                <w:sz w:val="12"/>
                <w:szCs w:val="12"/>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40" w:type="dxa"/>
            <w:vAlign w:val="bottom"/>
          </w:tcPr>
          <w:p>
            <w:pPr>
              <w:spacing w:after="0"/>
              <w:rPr>
                <w:sz w:val="12"/>
                <w:szCs w:val="12"/>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40" w:type="dxa"/>
            <w:vAlign w:val="bottom"/>
            <w:shd w:val="clear" w:color="auto" w:fill="CCEEFF"/>
          </w:tcPr>
          <w:p>
            <w:pPr>
              <w:spacing w:after="0"/>
              <w:rPr>
                <w:sz w:val="12"/>
                <w:szCs w:val="12"/>
                <w:color w:val="auto"/>
              </w:rPr>
            </w:pPr>
          </w:p>
        </w:tc>
      </w:tr>
      <w:tr>
        <w:trPr>
          <w:trHeight w:val="156"/>
        </w:trPr>
        <w:tc>
          <w:tcPr>
            <w:tcW w:w="22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407</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341</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441</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w:t>
            </w:r>
          </w:p>
        </w:tc>
        <w:tc>
          <w:tcPr>
            <w:tcW w:w="40" w:type="dxa"/>
            <w:vAlign w:val="bottom"/>
          </w:tcPr>
          <w:p>
            <w:pPr>
              <w:spacing w:after="0"/>
              <w:rPr>
                <w:sz w:val="13"/>
                <w:szCs w:val="13"/>
                <w:color w:val="auto"/>
              </w:rPr>
            </w:pPr>
          </w:p>
        </w:tc>
      </w:tr>
      <w:tr>
        <w:trPr>
          <w:trHeight w:val="138"/>
        </w:trPr>
        <w:tc>
          <w:tcPr>
            <w:tcW w:w="220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w w:val="94"/>
              </w:rPr>
              <w:t>Total stock-based compensation</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22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expense</w:t>
            </w:r>
          </w:p>
        </w:tc>
        <w:tc>
          <w:tcPr>
            <w:tcW w:w="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669</w:t>
            </w:r>
          </w:p>
        </w:tc>
        <w:tc>
          <w:tcPr>
            <w:tcW w:w="4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691</w:t>
            </w:r>
          </w:p>
        </w:tc>
        <w:tc>
          <w:tcPr>
            <w:tcW w:w="3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995</w:t>
            </w:r>
          </w:p>
        </w:tc>
        <w:tc>
          <w:tcPr>
            <w:tcW w:w="3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1,262</w:t>
            </w:r>
          </w:p>
        </w:tc>
        <w:tc>
          <w:tcPr>
            <w:tcW w:w="4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1,024</w:t>
            </w:r>
          </w:p>
        </w:tc>
        <w:tc>
          <w:tcPr>
            <w:tcW w:w="4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5,726</w:t>
            </w:r>
          </w:p>
        </w:tc>
        <w:tc>
          <w:tcPr>
            <w:tcW w:w="3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1,586</w:t>
            </w:r>
          </w:p>
        </w:tc>
        <w:tc>
          <w:tcPr>
            <w:tcW w:w="3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1,583</w:t>
            </w:r>
          </w:p>
        </w:tc>
        <w:tc>
          <w:tcPr>
            <w:tcW w:w="4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1,733</w:t>
            </w:r>
          </w:p>
        </w:tc>
        <w:tc>
          <w:tcPr>
            <w:tcW w:w="4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2,064</w:t>
            </w:r>
          </w:p>
        </w:tc>
        <w:tc>
          <w:tcPr>
            <w:tcW w:w="40" w:type="dxa"/>
            <w:vAlign w:val="bottom"/>
            <w:shd w:val="clear" w:color="auto" w:fill="CCEEFF"/>
          </w:tcPr>
          <w:p>
            <w:pPr>
              <w:spacing w:after="0"/>
              <w:rPr>
                <w:sz w:val="13"/>
                <w:szCs w:val="13"/>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Percentage of Revenue Data:</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October 31,</w:t>
            </w:r>
          </w:p>
        </w:tc>
        <w:tc>
          <w:tcPr>
            <w:tcW w:w="9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January 31,</w:t>
            </w:r>
          </w:p>
        </w:tc>
        <w:tc>
          <w:tcPr>
            <w:tcW w:w="78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9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9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January 31,</w:t>
            </w:r>
          </w:p>
        </w:tc>
        <w:tc>
          <w:tcPr>
            <w:tcW w:w="78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9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Gross margin</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4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2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Arial" w:cs="Arial" w:eastAsia="Arial" w:hAnsi="Arial"/>
                <w:sz w:val="14"/>
                <w:szCs w:val="14"/>
                <w:color w:val="auto"/>
              </w:rPr>
              <w:t>Provision for income taxes</w:t>
            </w:r>
          </w:p>
        </w:tc>
        <w:tc>
          <w:tcPr>
            <w:tcW w:w="2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jc w:val="both"/>
        <w:ind w:left="200" w:right="20" w:firstLine="441"/>
        <w:spacing w:after="0" w:line="290" w:lineRule="auto"/>
        <w:rPr>
          <w:sz w:val="20"/>
          <w:szCs w:val="20"/>
          <w:color w:val="auto"/>
        </w:rPr>
      </w:pPr>
      <w:r>
        <w:rPr>
          <w:rFonts w:ascii="Arial" w:cs="Arial" w:eastAsia="Arial" w:hAnsi="Arial"/>
          <w:sz w:val="16"/>
          <w:szCs w:val="16"/>
          <w:color w:val="auto"/>
        </w:rPr>
        <w:t>Revenue increased sequentially in each of the quarters presented primarily due to our addition of new customers, as well as an increase in users and sales of additional subscriptions to existing customers. We generally experience seasonality in terms of when we receive orders from our customers. We typically receive a higher percentage of orders from new customers, as well as renewal orders from existing customers, in our second and fourth fiscal quarters. However, because we recognize revenue ratably over the term of our subscription contracts, a substantial portion of the revenue that we report in each period is attributable to the recognition of deferred revenue relating to orders that we received during previous periods. Consequently, increases or decreases in new sales or renewals in any one period may not be immediately reflected in our revenue for that period and may negatively affect our revenue in future periods. Accordingly, the effect of downturns in sales and market acceptance of our cloud platform, and potential changes in our rate of renewals, may not be fully reflected in our results of operations until future periods.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Cost of revenue increased sequentially in each of the quarters presented, primarily driven by expanded use of our cloud platform by existing and new customers, which resulted in increased data center costs. Such increases were also due to an expansion in our customer support and cloud operations organizations to support our growth.</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The overall increase in gross margin over the course of the periods presented was enabled by an increase in revenue and was due in part to the increased efficiency of our technology, infrastructure and data centers through technological improvements, even as our customers expanded their use of our cloud platform. The sequential decrease in gross margin in the quarter ended April 30, 2016 was primarily due to additional investments in our customer support and cloud operations organizations. The sequential decrease in gross margin in the quarter ended July 31, 2017 was primarily due to certain one-time bandwidth charges.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Operating expenses generally have increased sequentially in every fiscal quarter primarily due to increases in headcount and other related expenses to support our growth. We intend to continue to make significant investments in our sales and marketing organization, and sales and marketing expenses increased as we expanded our sales team to acquire new customers to drive growth in our revenue. We also intend to invest in research and development efforts to add new features to and enhance the functionality of our existing cloud platform, and to ensure the reliability, availability and scalability of our solutions. The increase in research and development expenses, and therefore net loss, in the quarter ended January 31, 2017 was primarily due to an increase of $4.4 million in stock-based compensation expense from a one-time secondary stock purchase transaction that was executed among certain of our employees and certain of our affiliated stockholders, including entities controlled by Jay Chaudhry, our president, chief executive officer and chairman of the board of directors, and Lane Bess, a member of our board of directors. Additionally, the increase in general and administrative expenses, and therefore net loss, in the fiscal quarters ended July 31, 2017, October 31, 2017 and January 31, 2018 was primarily due to ongoing legal matters and related accruals and also due to costs incurred for preparing to be a public company. We anticipate that in future fiscal quarters, the majority of our research and development expenses will result from employee-related costs and from technology tools used by our engineers in research and development activities. General and administrative expenses increased in recent fiscal quarters due to costs related to ongoing legal matters and related accruals and preparing to be a public company, a trend that we expect to continue for the foreseeable future.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To date, we have financed our operations principally through private placements of our equity securities, as well as payments received from customers using our cloud platform and services. As of January 31, 2018, we had cash and cash equivalents of $71.6 million. Our cash and cash equivalents primarily consist of highly liquid investments in money market funds, including overnight investments. We have generated significant operating losses from our operations as reflected in our accumulated deficit of $180.4 million as of January 31, 2018 and negative cash flows from operations. We expect to continue to incur operating losses and generate negative cash flows from operations for the foreseeable future due to the investments we intend to make as described above, and as a result we may require additional capital resources to execute strategic initiatives to grow our business.</w:t>
      </w:r>
    </w:p>
    <w:p>
      <w:pPr>
        <w:spacing w:after="0" w:line="189"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We believe that our existing cash and cash equivalents will be sufficient to fund our operating and capital needs for at least the next 12 months. Our assessment of the period of time through which our financial resources will be adequate to support our operations is a forward-looking statement and involves risks and uncertainties. Our actual results could vary as a result of, and our future capital requirements, both near-term and long-term, will depend on, many factors, including our growth rate, the timing and extent of spending to support our research and development efforts, the expansion of sales and marketing and international operating activities, the timing of new introductions of solutions or features, and the continuing market acceptance of our services.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3"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We typically invoice our customers annually in advance, and to a lesser extent quarterly in advance, monthly in advance or multi-year in advance. Therefore, a substantial source of our cash is from such prepayments, which are included on our consolidated balance sheets as a contract liability. Deferred revenue consists of the unearned portion of billed fees for our subscriptions, which is subsequently recognized as revenue in accordance with our revenue recognition policy. As of January 31, 2018, we had deferred revenue of $119.3 million, of which $107.9 million was recorded as a current liability and is expected to be recorded as revenue in the next 12 months, provided all other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revenue recognition criteria have been met. Subscriptions that are invoiced annually in advance or multi-year in advance contribute significantly to our short-term and long-term deferred revenue in comparison to our invoices issued quarterly in advance or monthly in advance. Accordingly, we cannot predict the mix of invoicing schedules in any given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Year Ended July 31,</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Six Months Ended January 31,</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5"/>
              </w:rPr>
              <w:t>(11,916)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(2,554)</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(595)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(6,647)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(8,342)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(4,413)</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(7,995)</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8"/>
              </w:rPr>
              <w:t>85,615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27,563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1,381</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(2,946)</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200" w:right="20" w:firstLine="441"/>
        <w:spacing w:after="0" w:line="271" w:lineRule="auto"/>
        <w:rPr>
          <w:sz w:val="20"/>
          <w:szCs w:val="20"/>
          <w:color w:val="auto"/>
        </w:rPr>
      </w:pPr>
      <w:r>
        <w:rPr>
          <w:rFonts w:ascii="Arial" w:cs="Arial" w:eastAsia="Arial" w:hAnsi="Arial"/>
          <w:sz w:val="17"/>
          <w:szCs w:val="17"/>
          <w:color w:val="auto"/>
        </w:rPr>
        <w:t>Net cash used in operating activities during the six months ended January 31, 2018 was $5.5 million, which resulted from a net loss of $17.9 million, adjusted for non-cash charges of $13.5 million and net cash outflow of $1.1 million from changes in operating assets and liabilities. Non-cash charges primarily consisted of $3.9 million for depreciation and amortization expense, $5.9 million for amortization of deferred contract acquisition costs and $3.8 million for stock-based compensation expense. The net cash outflow from changes in operating assets and liabilities was primarily the result of an $8.5 million increase in accounts receivable due to higher billings and timing of collections from our customers, a $11.2 million increase in deferred contract acquisition costs as our sales commission payments increased due to addition of new customers and expansion of our existing customer subscriptions, a $1.1 million increase in prepaid expenses and other assets and a $3.0 million net decrease in accounts payable, accrued expenses and other liabilities and accrued compensation, offset by a $22.6 million increase in deferred revenue.</w:t>
      </w:r>
    </w:p>
    <w:p>
      <w:pPr>
        <w:spacing w:after="0" w:line="179" w:lineRule="exact"/>
        <w:rPr>
          <w:sz w:val="20"/>
          <w:szCs w:val="20"/>
          <w:color w:val="auto"/>
        </w:rPr>
      </w:pPr>
    </w:p>
    <w:p>
      <w:pPr>
        <w:jc w:val="both"/>
        <w:ind w:left="200" w:right="20" w:firstLine="441"/>
        <w:spacing w:after="0" w:line="290" w:lineRule="auto"/>
        <w:rPr>
          <w:sz w:val="20"/>
          <w:szCs w:val="20"/>
          <w:color w:val="auto"/>
        </w:rPr>
      </w:pPr>
      <w:r>
        <w:rPr>
          <w:rFonts w:ascii="Arial" w:cs="Arial" w:eastAsia="Arial" w:hAnsi="Arial"/>
          <w:sz w:val="16"/>
          <w:szCs w:val="16"/>
          <w:color w:val="auto"/>
        </w:rPr>
        <w:t>Net cash used in operating activities during the six months ended January 31, 2017 was $2.6 million, which resulted from a net loss of $14.6 million, adjusted for non-cash charges of $13.8 million and net cash outflow of $1.7 million from changes in operating assets and liabilities. Non-cash charges primarily consisted of $3.3 million for depreciation and amortization expense, $3.8 million for amortization of deferred contract acquisition costs and $6.8 million for stock-based compensation expense. The net cash outflow from changes in operating assets and liabilities was primarily the result of a $7.2 million increase in accounts receivable due to higher billings and timing of collections from our customers, a $7.4 million increase in deferred contract acquisition costs as our sales commission payments increased due to addition of new customers and expansion of our existing customer subscriptions and a $1.5 million increase in prepaid expenses and other assets, offset by a $13.2 million increase in deferred revenue and a $1.2 million net increase in accounts payable, accrued expenses and other liabilities and accrued compensation.</w:t>
      </w:r>
    </w:p>
    <w:p>
      <w:pPr>
        <w:spacing w:after="0" w:line="166" w:lineRule="exact"/>
        <w:rPr>
          <w:sz w:val="20"/>
          <w:szCs w:val="20"/>
          <w:color w:val="auto"/>
        </w:rPr>
      </w:pPr>
    </w:p>
    <w:p>
      <w:pPr>
        <w:jc w:val="both"/>
        <w:ind w:left="200" w:right="20" w:firstLine="441"/>
        <w:spacing w:after="0" w:line="270" w:lineRule="auto"/>
        <w:rPr>
          <w:sz w:val="20"/>
          <w:szCs w:val="20"/>
          <w:color w:val="auto"/>
        </w:rPr>
      </w:pPr>
      <w:r>
        <w:rPr>
          <w:rFonts w:ascii="Arial" w:cs="Arial" w:eastAsia="Arial" w:hAnsi="Arial"/>
          <w:sz w:val="17"/>
          <w:szCs w:val="17"/>
          <w:color w:val="auto"/>
        </w:rPr>
        <w:t>Net cash used in operating activities during fiscal 2017 was $6.0 million, which resulted from a net loss of $35.5 million, adjusted for non-cash charges of $25.1 million and net cash inflow of $4.3 million from changes in operating assets and liabilities. Non-cash charges primarily consisted of $6.8 million for depreciation and amortization expense, $8.5 million for amortization of deferred contract acquisition costs and $9.9 million for stock-based compensation expense. The net cash inflow from changes in operating assets and liabilities was primarily the result of a $30.7 million increase in deferred revenue from advance invoicing in accordance with our subscription contracts and an aggregate of $10.2 million increase in prepaid expenses, accounts payable, accrued expenses and other liabilities and accrued compensation. The cash inflow was partially offset by a $22.0 million cash outflow from increased deferred contract acquisition costs as our sales commission payments increased due to the addition of new customers and expansion of our existing customer subscriptions, and a $14.6 million increase in accounts receivable due to increased billings from our growing customer base which resulted in an overall increased accounts receivable balance.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Net cash used in operating activities during fiscal 2016 was $11.9 million, which resulted from a net loss of $27.4 million, adjusted for non-cash charges of $13.9 million, and net cash inflow of $1.6 million from changes in operating assets and liabilities. Non-cash charges primarily consisted of $4.9 million for depreciation and amortization expense, $5.5 million for amortization of deferred contract acquisition costs and $3.6 million for stock-based compensation expense. The net cash inflow from changes in operating assets and liabilities was primarily the result of a $16.1 million increase in deferred revenue from advance invoicing in accordance with our subscription contracts and an aggregate $5.2 million increase in accounts payable, accrued compensation and accrued expenses and other liabilities. The cash inflows were partially offset by cash outflows resulting from a $13.5 million increase in deferred contract acquisition costs as our sales commission payments increased due to addition of new customers and expansion of our existing customer subscriptions, and a $6.2 million increase in accounts receivable due to increased billings from our growing customer base which resulted in an overall increased accounts receivable balance.</w:t>
      </w:r>
    </w:p>
    <w:p>
      <w:pPr>
        <w:spacing w:after="0" w:line="182"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Net cash used in operating activities during fiscal 2015 was $3.3 million, which resulted from a net loss of $12.8 million, adjusted for non-cash charges of $8.3 million, and net cash inflow of $1.2 million from changes in operating assets and liabilities. Non-cash charges primarily consisted of $2.9 million for depreciation and amortization expense, $4.0 million for amortization of deferred contract acquisition costs and $1.6 million for stock-based compensation expense. The net cash inflow from changes in operating assets and liabilities was primarily the result of a $13.3 million increase in deferred revenue from advance invoicing in accordance with our subscription contracts, and an aggregate $1.3 million increase in accounts payable, accrued compensation and accrued expenses and other liabilities. The cash inflows were partially offset by cash outflows resulting from a $6.9 million increase in deferred contract acquisition costs as our sales commission payments increased due to addition of new customers and expansion of our existing customer subscriptions, a $1.7 million increase in prepaid expenses and other assets and a $4.7 million increase in accounts receivables due to lower collections.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Net cash used in investing activities during the six months ended January 31, 2017 and 2018 of $4.4 million and $8.0 million, respectively, resulted primarily from capital expenditures for our cloud platform.</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Net cash used in investing activities during fiscal 2016 and 2017 of $6.6 million and $8.3 million, respectively, resulted primarily from capital expenditures for our cloud platform.</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Net cash used in investing activities during fiscal 2015 of $0.6 million resulted primarily from $6.7 million in capital expenditures for our cloud platform, partially offset by a $6.1 million sale of short-term investments.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Net cash used in financing activities of $2.9 million during the six months ended January 31, 2018 was primarily due to $3.1 million in repurchases of common stock related to early exercised stock options and $2.9 million in payments of deferred offering costs related to this offering, partially offset by $0.9 million in proceeds from early exercised stock options and $2.2 million in proceeds from the exercise of stock options.</w:t>
      </w:r>
    </w:p>
    <w:p>
      <w:pPr>
        <w:spacing w:after="0" w:line="14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Net cash provided by financing activities of $1.4 million during the six months ended January 31, 2017 was primarily due to $1.0 million in proceeds from the exercise of stock options and $0.4 million in proceeds from repayments of notes receivable for the exercise of stock options.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Net cash provided by financing activities of $9.5 million during fiscal 2017 was primarily due to $3.0 million in proceeds from the exercise of stock options, $4.7 million in proceeds from the early exercise of stock options and $1.9 million in proceeds from repayments of notes receivable for the exercise of stock options.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Net cash provided by financing activities of $27.6 million during fiscal 2016 was primarily due to $25.0 million of proceeds from the issuance of preferred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Net cash provided by financing activities of $85.6 million during fiscal 2015 was primarily due to $84.7 million of proceeds from the issuance of preferred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January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Payment Due by Period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Less Than</w:t>
            </w:r>
          </w:p>
        </w:tc>
        <w:tc>
          <w:tcPr>
            <w:tcW w:w="480" w:type="dxa"/>
            <w:vAlign w:val="bottom"/>
          </w:tcPr>
          <w:p>
            <w:pPr>
              <w:spacing w:after="0"/>
              <w:rPr>
                <w:sz w:val="10"/>
                <w:szCs w:val="10"/>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9"/>
              </w:rPr>
              <w:t>3-5 Years</w:t>
            </w:r>
          </w:p>
        </w:tc>
        <w:tc>
          <w:tcPr>
            <w:tcW w:w="11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1 Year</w:t>
            </w:r>
          </w:p>
        </w:tc>
        <w:tc>
          <w:tcPr>
            <w:tcW w:w="4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Non-cancelable purchase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Data center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27,475</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15,869</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10,759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contractual commitment amounts in the table above are associated with agreements that are enforceable and legally binding. Obligations under contracts that we can cancel without a significant penalty are not included in the table above. Purchase orders issued in the ordinary course of business are not included in the table above, as our purchase orders represent authorizations to purchase rather than binding agreements.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of January 31, 2018,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our business.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20" w:firstLine="441"/>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money market funds, including overnight investments. As of January 31, 2018, we had cash and cash equivalents of $71.6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vast majority of our sales contracts are denominated in U.S. dollars, with a small number of contracts denominated in foreign currencies. A portion of our operating expenses are incurred outside the United States, denominated in foreign currencies and subject to fluctuations due to changes in foreign currency exchange rates, particularly changes in the British Pound, Indian Rupee and Euro. Additionally, fluctuations in foreign currency</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 xml:space="preserve">We elected to early adopt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effective August 1, 2017, using the full retrospective transition method. Under this method, we are presenting the consolidated financial statements for fiscal 2015, 2016 and 2017, as if ASC 606 had been effective for those periods.</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be entitled to receive in exchange for these services. To achieve the core principle of this new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consider the terms and conditions of the contracts and our customary business practices in identifying our contracts under ASC 606. We determine we have a contract with a customer when the contract is approved, we can identify each party’s rights regarding the services to be transferred, we can identify the payment terms for the services, we have determined the customer to have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is separately identifiable from other promises in the contract. Our performance obligations consist of (i) our subscription and support services and (ii) professional and other services.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or SSP.</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Recognize revenue when or as we satisfy a performance obligation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a customer. Revenue is recognized when control of the services is transferred to our customers, in an amount that reflects the consideration that we expect to receive in exchange for those services. We generate all our revenue from contracts with customers.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Subscription and Support Revenue</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generate revenue primarily from sales of subscriptions to access our cloud platform, together with related support services to our customers. Arrangements with customers do not provide the customer with the right to take possession of our software operating our cloud platform at any time. Instead, customers are granted continuous access to our cloud platform over the contractual period. A time-elapsed output method is used to measure progress because we transfer control evenly over the contractual period. Accordingly, the fixed consideration related to subscription and support revenue is generally recognized on a straight-line basis over the contract term beginning on the date that our service is made available to the customer.</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typical subscription and support term is one to three years. Most of our contracts are non-cancelable over the contractual term. Customers typically have the right to terminate their contracts for cause if we fail to perform in accordance with the contractual terms. Some of our customers have the option to purchase additional subscription and support services at a stated price. These options generally do not provide a material right as they are priced at our SSP.</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Professional and Other Services Revenue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Professional and other services revenue consists of fees associated with providing deployment advisory services that educate and assist our customers on the best use of our solutions, as well as advise customers on best practices as they deploy our solution. These services are distinct from subscription and support services. Professional services do not result in significant customization of the subscription service. Revenue from professional services provided on a time and materials basis is recognized as the services are performed. Total professional and other services revenue has historically been insignificant.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Most of our contracts with customers contain multiple promised services consisting of (i) our subscription and support services and (ii) professional and other services that are distinct and accounted for separately. The transaction price is allocated to the separate performance obligations on a relative SSP basis. We determine SSP based on our overall pricing objectives, taking into consideration the type of subscription and support services and professional and other services, the geographical region of the customer and the number of users.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our services do not meet certain service level commitments, our customers are entitled to receive service credits, and in certain cases, refunds, each representing a form of variable consideration. We have not historically experienced any significant incidents affecting the defined levels of reliability and performance as required by our subscription contracts. Accordingly, any estimated refunds related to these agreements in the consolidated financial statements were not material during the periods presented.</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provide rebates and other credits within our contracts with certain customers which are estimated based on the most likely amounts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Contract liabilities consist of deferred revenue and include payments received in advance of performance under the contract. Such amounts are recognized as revenue over the contractual period.</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receive payments from customers based upon contractual billing schedules; accounts receivable are recorded when the right to consideration becomes unconditional. Payment terms on invoiced amounts are typically 30 days. Contract assets include amounts related to our contractual right to consideration for both completed and partially completed performance obligations that may not have been invoiced and such amounts have been insignificant to 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capitalize sales commissions and associated payroll taxes paid to internal sales personnel that are incremental to the acquisition of channel partner and direct customer contracts. These costs are recorded as deferred contract acquisition costs on the consolidated balance sheets. We determine whether costs should be deferred based on our sales compensation plans, if the commissions are in fact incremental and would not have occurred absent the customer contract.</w:t>
      </w:r>
    </w:p>
    <w:p>
      <w:pPr>
        <w:spacing w:after="0" w:line="18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Sales commissions for renewal of a contract are not considered commensurate with the commissions paid for the acquisition of the initial contract given the substantive difference in commission rates in proportion to their respective contract values. Commissions paid upon the initial acquisition of a contract are amortized over an estimated period of benefit of five years while commissions paid for renewal contracts are amortized over the contractual term of the renewals. Amortization is recognized on a straight-line basis commensurate with the pattern of revenue recognition. We determine the period of benefit for commissions paid for the acquisition of the initial contract by taking into consideration the expected subscription term and expected renewals of our customer contracts, the duration of our relationships with customers, customer retention data, our technology development life cycle and other factors. Management exercises judgment to determine the period of benefit to amortize contract acquisition costs by considering factors such as expected renewals of customer contracts, duration of customer relationships and our technology development life cycle. Although we believe that the historical assumptions and estimates we have made are reasonable and appropriate, different assumptions and estimates could materially impact our reported financial results. Amortization of deferred contract acquisition costs is included in sales and marketing expense in the consolidated statements of operations. We periodically review these deferred costs to determine whether events or changes in circumstances have occurred that could impact the period of benefit of these deferred contract acquisition costs.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Stock-based compensation expense related to stock awards is recognized based on the fair value of the awards granted. The fair value of each option award is estimated on the grant date using the Black-Scholes option pricing model and a single option award approach. Stock-based compensation expense is recognized over the requisite service period of the awards, which is generally four years.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 xml:space="preserve">During fiscal 2015, 2016 and 2017, we recognized stock-based compensation expense, net of estimated forfeitures. We used historical data to estimate pre-vesting forfeitures and recorded stock-based compensation expense only for those grants that were expected to vest. On August 1, 2017, we adopted Accounting Standard Update No. 2016-09, </w:t>
      </w: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 xml:space="preserve"> (“ASU 2016-09”), which simplifies several aspects of the accounting for employee share-based payment transactions. In accordance with ASU 2016-09, we have elected to account for forfeitures as they occur instead of estimating the number of awards expected to be forfeited and adjusting the estimate when it is no longer probable that the employee will fulfill the service condition. Adoption of this provision during our first quarter of fiscal 2018 resulted in a cumulative-effect adjustment to accumulated deficit of $0.4 million, net of tax, as of the date of adoption.</w:t>
      </w:r>
    </w:p>
    <w:p>
      <w:pPr>
        <w:spacing w:after="0" w:line="16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Additionally, upon adoption of ASU 2016-09, on a modified retrospective basis, the previously unrecognized excess tax benefits of $0.9 million as of July 31, 2017 were recorded as an increase of U.S. federal and state deferred tax assets, which was substantially offset by our valuation allowance. Prospectively, all excess tax benefits and deficiencies will be recognized in the income statement as a component of our income tax expense or benefit. Further, we will present excess tax benefits as an operating activity in the consolidated statements of cash flows on a prospective basis. For the six months ended January 31, 2018, the net excess tax benefits related to equity awards was not material.</w:t>
      </w:r>
    </w:p>
    <w:p>
      <w:pPr>
        <w:spacing w:after="0" w:line="173"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We also assess the impact of recording stock-based compensation expense when certain of our affiliated stockholders purchase shares from our employees in excess of fair value of such shares. We recognize any such excess value as stock-based compensation expense in our consolidated statements of operations. During fiscal 2017, we recorded $4.4 million in stock-based compensation expense from a one-time secondary stock purchase transaction that was executed among certain of our employees and certain of our affiliated stockholders, including entities controlled by Jay Chaudhry, our president, chief executive officer and chairman of the board of directors, and Lane Bess, a member of our board of directors. Stock-based compensation expense related to non-employee stock options was immaterial to our consolidated statements of operations for the periods presented.</w:t>
      </w:r>
    </w:p>
    <w:p>
      <w:pPr>
        <w:spacing w:after="0" w:line="16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use of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6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Because our common stock is not yet publicly traded, we must estimate the fair value of common stock,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“Common Stock Valuations” below.</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stock-based awards are expected to be outstanding.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were determined based on the vesting terms, exercise terms and contractual lives of the options. The expected term was estimated using the simplified method allowed under SEC guidance.</w:t>
      </w:r>
    </w:p>
    <w:p>
      <w:pPr>
        <w:spacing w:after="0" w:line="86" w:lineRule="exact"/>
        <w:rPr>
          <w:rFonts w:ascii="Arial" w:cs="Arial" w:eastAsia="Arial" w:hAnsi="Arial"/>
          <w:sz w:val="18"/>
          <w:szCs w:val="18"/>
          <w:color w:val="auto"/>
        </w:rPr>
      </w:pPr>
    </w:p>
    <w:p>
      <w:pPr>
        <w:jc w:val="both"/>
        <w:ind w:left="1060" w:hanging="424"/>
        <w:spacing w:after="0" w:line="25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Since we do not have a trading history of our common stock, the expected volatility is determined based on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our comparable companies. Comparable companies consist of public companies in our industry, which are similar in size, stage of life cycle and financial leverage. We intend to continue to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right="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used in the Black-Scholes option pricing model on the implied yield available on</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zero-coupon issues with a remaining term equivalent to that of the options for each expected term.</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no history of paying any dividends, we used an expected dividend yield of zero.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assumptions used in the Black-Scholes option pricing model to determine the fair value of our stock options: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Six Months Ended January 31,</w:t>
            </w: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38.8%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w:t>
            </w:r>
          </w:p>
        </w:tc>
        <w:tc>
          <w:tcPr>
            <w:tcW w:w="740" w:type="dxa"/>
            <w:vAlign w:val="bottom"/>
          </w:tcPr>
          <w:p>
            <w:pPr>
              <w:ind w:left="20"/>
              <w:spacing w:after="0"/>
              <w:rPr>
                <w:sz w:val="20"/>
                <w:szCs w:val="20"/>
                <w:color w:val="auto"/>
              </w:rPr>
            </w:pPr>
            <w:r>
              <w:rPr>
                <w:rFonts w:ascii="Arial" w:cs="Arial" w:eastAsia="Arial" w:hAnsi="Arial"/>
                <w:sz w:val="18"/>
                <w:szCs w:val="18"/>
                <w:color w:val="auto"/>
              </w:rPr>
              <w:t>- 45.2%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740" w:type="dxa"/>
            <w:vAlign w:val="bottom"/>
          </w:tcPr>
          <w:p>
            <w:pPr>
              <w:ind w:left="20"/>
              <w:spacing w:after="0"/>
              <w:rPr>
                <w:sz w:val="20"/>
                <w:szCs w:val="20"/>
                <w:color w:val="auto"/>
              </w:rPr>
            </w:pPr>
            <w:r>
              <w:rPr>
                <w:rFonts w:ascii="Arial" w:cs="Arial" w:eastAsia="Arial" w:hAnsi="Arial"/>
                <w:sz w:val="18"/>
                <w:szCs w:val="18"/>
                <w:color w:val="auto"/>
              </w:rPr>
              <w:t>- 43.3%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43.3%</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40.4%-41.5%</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 - 1.7%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1.7%-2.6%</w:t>
            </w: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2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 xml:space="preserve">The fair value of the common stock underlying our stock options was determined by our board of directors, after considering contemporaneous third-party valuations and input from management. The valuations of our common stock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64"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valuation firms;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actual and expected operating and financial 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hiring of key personnel and the experience of our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services;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illiquidity of stock-based awards involving securities in a private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secondary stock transactions, including a one-time secondary stock purchase transaction that was executed among certain of our employees and certain of our affiliated stockholders, including entities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controlled by Jay Chaudhry, our president, chief executive officer and chairman of our board of directors, and Lane Bess, a member of our board of directors; and</w:t>
      </w:r>
    </w:p>
    <w:p>
      <w:pPr>
        <w:spacing w:after="0" w:line="76"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and global capital markets conditions.</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valuations performed by unrelated third-party specialists were just one factor used by our board of directors to assist with the valuation of the common stock.</w:t>
      </w:r>
    </w:p>
    <w:p>
      <w:pPr>
        <w:spacing w:after="0" w:line="17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7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The resulting equity value was then allocated to each class of stock using an Option Pricing Model, or OPM, and Probability Weighted Expected Return Method, or PWERM. The OPM treats common stock and convertible preferred stock as call options on an enterprise value, with exercise prices based on the liquidation preference of our convertible preferred stock. The common stock is modeled as a call option with a claim on the enterprise at an exercise price equal to the remaining value immediately after our convertible preferred stock is liquidated.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or IPO, as well as non-IPO market based outcomes. Determining the fair value of the enterprise using the PWERM requires us to develop assumptions and estimates for both the probability of an IPO liquidity event and non-IPO outcomes, as well as the values we expect those outcomes could yield. We apply significant judgment in developing these assumptions and estimates, primarily based upon the enterprise value we determined using the market approach, our knowledge of the business and our reasonable expectations of discrete outcomes occurring. After the equity value is determined and allocated to the various classes of shares, a discount for lack of marketability, or DLOM, is applied to arrive at the fair value of common stock.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7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assessments of the fair value of common stock for grant dates between the dates of the valuations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This determination included an evaluation of whether the subsequent valuation indicated that any significant change in valuation had occurred between the previous valuation and the grant date.</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Upon completion of this offering, our common stock will be publicly traded and will therefore be subject to potentially significant fluctuations in the market price. Increases and decreases in the market price of our common stock will also increase and decrease the fair value of our stock-based awards granted in future periods.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are subject to federal, state and local taxes in the United States as well as in other tax jurisdictions or countries in which we conduct business. Earnings generated by our non-U.S. activities are related to applicable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transfer pricing requirements under local country income tax laws. We account for uncertain tax positions based on those positions taken or expected to be taken in a tax return. We determine if the amount of available support indicates that it is more likely than not that the tax position will be sustained on audit, including resolution of any related appeals or litigation processes. We then measure the tax benefit as the largest amount that is more than 50% likely to be realized upon settlement.</w:t>
      </w:r>
    </w:p>
    <w:p>
      <w:pPr>
        <w:spacing w:after="0" w:line="79"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have a full valuation allowance for our net deferred tax assets generated from our U.S. operations. We will continue to assess the need for such valuation allowance on our deferred tax assets by evaluating both positive and negative evidence that may exist. Any adjustment to the deferred tax asset valuation allowance would be recorded in the periods in which the adjustment is determined to be required.</w:t>
      </w:r>
    </w:p>
    <w:p>
      <w:pPr>
        <w:spacing w:after="0" w:line="5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On December 22, 2017, the U.S. government enacted the Tax Act, which makes significant changes to the U.S. tax code. The Tax Act contains several key tax provisions that affect us, including, but not limited to, reducing the U.S. federal corporate tax rate from 34% to 21% for tax years beginning after December 31, 2017, imposing a one-time repatriation tax on deemed repatriated earnings and changing rules related to uses and limitations of net operating loss carryforwards created in tax years beginning after December 31, 2017. On December 22, 2017, the Securities and Exchange Commission issued Staff Accounting Bulletin No. 118, Income Tax Accounting Implications of the Tax Cuts and Jobs Act, or SAB 118, which provides guidance on accounting for the Tax Act’s impact and allows registrants to record provisional amounts during a measurement period not to extend beyond one year of the enactment date.</w:t>
      </w:r>
    </w:p>
    <w:p>
      <w:pPr>
        <w:spacing w:after="0" w:line="8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have not completed our accounting assessment for the effects of the Tax Act; however, based on our initial assessment, we have determined that the Tax Act did not have a material impact on our consolidated financial statements in our fiscal quarter ending January 31, 2018, the period in which the legislation was enacted. We currently maintain a full valuation allowance recorded against our U.S. federal deferred tax assets and we anticipate incurring a loss in fiscal 2018. As such, the remeasurement of the deferred tax assets and related valuation allowance is not expected to have a material impact to the financial statements in fiscal 2018, other than disclosures in our year-end financial statements. Because of our full valuation allowance, there is no tax expense associated with the one-time transition tax. We expect to complete our assessment within the measurement period in accordance with SAB 118.</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Refer to Note 2 to our consolidated financial statements included elsewhere in this prospectus for more information regarding recently issued accounting pronouncements.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Mission Statement</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mission is to empower organizations to realize the full potential of the cloud and mobility by securely connecting users to applications from any device, anywhere.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Zscaler was incorporated in 2007, during the early stages of cloud adoption and mobility, based on a vision that the internet would become the new corporate network as the cloud becomes the new data center. We predicted that with rapid cloud adoption and increasing workforce mobility, traditional perimeter security approaches would provide inadequate protection for users and data and an increasingly poor user experience. We pioneered a security cloud that represents a fundamental shift in the architectural design and approach to network security.</w:t>
      </w:r>
    </w:p>
    <w:p>
      <w:pPr>
        <w:spacing w:after="0" w:line="17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Enterprise applications are rapidly moving to the cloud to achieve greater IT agility, a faster pace of innovation and lower costs. Organizations are increasingly relying on internet destinations for a range of business activities, adopting new external SaaS applications for critical business functions and moving their internally managed applications to the public cloud, or IaaS. Enterprise users now expect to be able to seamlessly access applications and data, wherever they are hosted, from any device, anywhere in the world. We believe these trends are indicative of the broader digital transformation agenda, as businesses increasingly succeed or fail based on their IT outcomes.</w:t>
      </w:r>
    </w:p>
    <w:p>
      <w:pPr>
        <w:spacing w:after="0" w:line="188"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We believe that securing the on-premises corporate network to protect users and data is becoming increasingly irrelevant in a cloud and mobile-first world where organizations depend on the internet, a network they do not control and cannot secure, to access critical applications that power their businesses. We pioneered a new approach to security that connects the right user to the right application, regardless of network. Our cloud platform, which delivers security as a service, eliminates the need for traditional on-premises security appliances that are difficult to maintain and require compromises between security, cost and user experience. Our cloud platform incorporates the security functionality needed to enable users to safely utilize authorized applications and services based on an organization’s policies. Our solution is a purpose-built, multi-tenant, distributed cloud security platform that secures access for users and devices to applications and services, regardless of location.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Zscaler offers two principal cloud services:</w:t>
      </w:r>
    </w:p>
    <w:p>
      <w:pPr>
        <w:spacing w:after="0" w:line="131" w:lineRule="exact"/>
        <w:rPr>
          <w:sz w:val="20"/>
          <w:szCs w:val="20"/>
          <w:color w:val="auto"/>
        </w:rPr>
      </w:pPr>
    </w:p>
    <w:p>
      <w:pPr>
        <w:jc w:val="both"/>
        <w:ind w:left="1060" w:hanging="424"/>
        <w:spacing w:after="0" w:line="302"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Zscaler Internet Access securely connects users to externally managed applications, including SaaS applications and internet destinations, regardless of device or location. Our ZIA solution sits between users and the internet and is designed to ensure malware does not reach the user and valuable corporate data does not leak out. Our ZIA solution enforces access based on granular access control policies, inspects unencrypted and encrypted internet traffic inline for malware and advanced threats and prevents data leakage.</w:t>
      </w:r>
    </w:p>
    <w:p>
      <w:pPr>
        <w:spacing w:after="0" w:line="59" w:lineRule="exact"/>
        <w:rPr>
          <w:rFonts w:ascii="Arial" w:cs="Arial" w:eastAsia="Arial" w:hAnsi="Arial"/>
          <w:sz w:val="16"/>
          <w:szCs w:val="16"/>
          <w:color w:val="auto"/>
        </w:rPr>
      </w:pPr>
    </w:p>
    <w:p>
      <w:pPr>
        <w:jc w:val="both"/>
        <w:ind w:left="1060" w:hanging="424"/>
        <w:spacing w:after="0" w:line="25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Zscaler Private Access offers authorized users secure and fast access to internally managed applications hosted in enterprise data centers or the public cloud. Our ZPA solution’s highly innovative architecture does not expose the identity or location of these applications and provides only the necessary and appropriate levels of access. While traditional remote access solutions, such as VPNs, connect a user to the corporate network, our ZPA solution connects a specific user to a specific application, without bringing the user on the network, resulting in better security.</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Before our platform, the corporate data center served as the central hub of IT security, with a physical network perimeter used to separate corporate users, devices and applications from the internet. Today, the network perimeter consists of appliances that have become fundamentally less effective as applications, data,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users and devices rapidly move off the corporate network, making the notion of a corporate perimeter obsolete. In a world where more companies are shifting their most critical IT assets to the cloud, cloud-first security is required. Our architecture is vastly different from the traditional “hub-and-spoke” corporate perimeter, where traffic from branch offices is routed to centralized data centers for security scanning and policy enforcement before reaching its destination. In contrast, our security cloud sits between an organization’s users and devices, and the internet, inspecting traffic. Our solutions enable customers to set policies that follow users, so a consistent level of protection is applied no matter where users are located or how they are connected to the internet. We provide all of this security at scale, processing almost 40 billion internet requests per day during our peak period over the past six months. Our platform eliminates the need for organizations to buy and manage a variety of appliances that need to be maintained by a large number of highly skilled security personnel, who are expensive and in increasingly short supply.</w:t>
      </w:r>
    </w:p>
    <w:p>
      <w:pPr>
        <w:spacing w:after="0" w:line="179"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multi-tenant architecture is distributed across over 100 data centers globally, which allows us to secure users across 185 countries. Each day, we block over 100 million threats and perform over 120,000 unique security updates. Our customers benefit from the network effect of our growing cloud because once a new threat is detected, it can be blocked for users across our entire customer base within minutes.</w:t>
      </w:r>
    </w:p>
    <w:p>
      <w:pPr>
        <w:spacing w:after="0" w:line="166"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customers protect their users by routing their internet traffic through our cloud platform. Some of the largest enterprises and government agencies in the world rely on our solutions to help them accelerate their move to the cloud. We have over 2,800 customers across all major geographies, with an emphasis on larger organizations, and we currently count over 200 of the Forbes Global 2000 as customers. Our customers span every major industry, including airlines and transportation, conglomerates, consumer goods and retail, financial services, healthcare, manufacturing, media and communications, public sector and education, technology and telecommunications services.</w:t>
      </w:r>
    </w:p>
    <w:p>
      <w:pPr>
        <w:spacing w:after="0" w:line="173"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Although we have a channel sales model, we use a joint sales approach in which our sales force develops relationships directly with our customers and engages at senior levels within IT organizations. We amplify our sales presence and effectiveness by leveraging our network of global telecommunications service provider, system integrator and value-added reseller partners. Many of these channel partners engage at the C-level to discuss strategic network transformation and cloud migration projects, and we work with these channel partners to deliver security solutions to their most important enterprise customers. Our service provider partners include BT Telecommunications plc, Deutsche Telekom AG, Orange S.A. and Verizon Communications Inc. Our systems integrator partners include, Deloitte LLP and HCL America, Inc. We work with high-touch value-added resellers to broaden our reach to mid-market customers. Our channel partner relationships provide us with significant leverage in sales and marketing and help us pursue our market opportunity.</w:t>
      </w:r>
    </w:p>
    <w:p>
      <w:pPr>
        <w:spacing w:after="0" w:line="192"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have experienced significant growth, with revenue increasing from $53.7 million in fiscal 2015 to $80.3 million in fiscal 2016 to $125.7 million in fiscal 2017, representing year-over-year revenue growth of 50% and 57%, respectively. Our revenue increased from $56.2 million for the six months ended January 31, 2017 to $84.8 million for the six months ended January 31, 2018, representing a period-over-period revenue growth of 51%. Our net loss increased from $12.8 million in fiscal 2015 to $27.4 million in fiscal 2016 to $35.5 million in fiscal 2017. Our net loss also increased from $14.6 million for the six months ended January 31, 2017 to $17.9 million for the six months ended January 31, 2018. We expect we will continue to incur net losses for the foreseeable future.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Traditional security approaches focused on establishing a perimeter around the corporate network</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For over 30 years, IT security focused on protecting an organization by establishing a perimeter to secure the corporate network. This approach was based on the premise that all enterprise users, data and applications resided on the corporate network. To meet the requirements of this approach, organizations:</w:t>
      </w:r>
    </w:p>
    <w:p>
      <w:pPr>
        <w:spacing w:after="0" w:line="87" w:lineRule="exact"/>
        <w:rPr>
          <w:sz w:val="20"/>
          <w:szCs w:val="20"/>
          <w:color w:val="auto"/>
        </w:rPr>
      </w:pPr>
    </w:p>
    <w:p>
      <w:pPr>
        <w:jc w:val="both"/>
        <w:ind w:left="1060" w:hanging="424"/>
        <w:spacing w:after="0" w:line="25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Deployed a “castle-and-moat” security approach where the corporate network was the “castle” that was surrounded by a “moat” of security appliances. </w:t>
      </w:r>
      <w:r>
        <w:rPr>
          <w:rFonts w:ascii="Arial" w:cs="Arial" w:eastAsia="Arial" w:hAnsi="Arial"/>
          <w:sz w:val="18"/>
          <w:szCs w:val="18"/>
          <w:color w:val="auto"/>
        </w:rPr>
        <w:t>To allow traffic in and out of the “castle,” organizations created internet gateways that provide a drawbridge across the</w:t>
      </w:r>
      <w:r>
        <w:rPr>
          <w:rFonts w:ascii="Arial" w:cs="Arial" w:eastAsia="Arial" w:hAnsi="Arial"/>
          <w:sz w:val="18"/>
          <w:szCs w:val="18"/>
          <w:i w:val="1"/>
          <w:iCs w:val="1"/>
          <w:color w:val="auto"/>
        </w:rPr>
        <w:t xml:space="preserve"> </w:t>
      </w:r>
      <w:r>
        <w:rPr>
          <w:rFonts w:ascii="Arial" w:cs="Arial" w:eastAsia="Arial" w:hAnsi="Arial"/>
          <w:sz w:val="18"/>
          <w:szCs w:val="18"/>
          <w:color w:val="auto"/>
        </w:rPr>
        <w:t>“moat.” These gateways initially consisted of a network firewall to establish a physical perimeter separating the internet from users, data and applications. As internet traffic increased and cyberattacks became more sophisticated, the “moat” was expanded to include new appliances to form an outbound gateway to enable users to access the internet. This gateway, or DMZ, was comprised of URL filtering, anti-virus, data loss prevention and sandbox appliances. In addition to outbound internet gateways, organizations introduced inbound gateways to bring remote users into the corporate network. Inbound gateways generally consist of load balancers, DDoS protection, firewalls and VPN concentrators.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Internet Gateways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legacy approach, internet and VPN traffic must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pass through a DMZ consisting of multiple appliances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160020</wp:posOffset>
            </wp:positionV>
            <wp:extent cx="4459605" cy="1329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5960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060" w:hanging="424"/>
        <w:spacing w:after="0" w:line="271"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Built a “hub-and-spoke” network architecture that required traffic from branch offices to be routed to centralized data centers. </w:t>
      </w:r>
      <w:r>
        <w:rPr>
          <w:rFonts w:ascii="Arial" w:cs="Arial" w:eastAsia="Arial" w:hAnsi="Arial"/>
          <w:sz w:val="17"/>
          <w:szCs w:val="17"/>
          <w:color w:val="auto"/>
        </w:rPr>
        <w:t>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purchasing and maintaining security appliances, many organizations built only a small number of internet gateways (“hubs”) and routed traffic from branch offices across wide area network links (“spokes”) through these gateways to apply security checks and access controls. The procurement of MPLS services which are used to transmit this traffic between branches and centralized data centers represents a large portion of enterprise IT budgets. A significant portion of this spend is related to the need to apply security scanning and policy enforcement at a central corporate data center after aggregating inbound and outbound internet traffic from multiple branch locations. To provide access to mobile and remote users, organizations also deployed VPNs, which added a new ephemeral type of “spoke,” further increasing the sprawl and complexity of the “hub-and-spoke” network.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Cloud and mobility offer opportunities while also introducing new challenges for enterprises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Organizations are undergoing a massive shift in their IT strategies. The adoption of cloud applications and infrastructure, explosion of internet traffic volumes and shift to mobile-first computing enhance business agility and have become a strategic imperative for CIOs. According to a McKinsey</w:t>
      </w:r>
    </w:p>
    <w:p>
      <w:pPr>
        <w:jc w:val="both"/>
        <w:ind w:left="200" w:firstLine="4"/>
        <w:spacing w:after="0" w:line="255" w:lineRule="auto"/>
        <w:tabs>
          <w:tab w:leader="none" w:pos="3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Company survey, large enterprise adoption of the public cloud as the primary environment for at least one workload type will jump from 10% in 2015 to 51% in 2018. Organizations are embracing these trends to empower business users, increase speed of deployment, create new customer experiences, reengineer business processes and find new opportunities for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growth. At the same time, it is difficult for enterprises to embrace these trends with the traditional “castle-and-moat” security architecture because it introduces several key IT challenges:</w:t>
      </w:r>
    </w:p>
    <w:p>
      <w:pPr>
        <w:spacing w:after="0" w:line="76" w:lineRule="exact"/>
        <w:rPr>
          <w:sz w:val="20"/>
          <w:szCs w:val="20"/>
          <w:color w:val="auto"/>
        </w:rPr>
      </w:pPr>
    </w:p>
    <w:p>
      <w:pPr>
        <w:jc w:val="both"/>
        <w:ind w:left="1060" w:hanging="424"/>
        <w:spacing w:after="0" w:line="27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Growing use of the cloud and the internet creates gaps in security coverage. </w:t>
      </w:r>
      <w:r>
        <w:rPr>
          <w:rFonts w:ascii="Arial" w:cs="Arial" w:eastAsia="Arial" w:hAnsi="Arial"/>
          <w:sz w:val="17"/>
          <w:szCs w:val="17"/>
          <w:color w:val="auto"/>
        </w:rPr>
        <w:t>Enterprise applications are increasingly moving from being</w:t>
      </w:r>
      <w:r>
        <w:rPr>
          <w:rFonts w:ascii="Arial" w:cs="Arial" w:eastAsia="Arial" w:hAnsi="Arial"/>
          <w:sz w:val="17"/>
          <w:szCs w:val="17"/>
          <w:i w:val="1"/>
          <w:iCs w:val="1"/>
          <w:color w:val="auto"/>
        </w:rPr>
        <w:t xml:space="preserve"> </w:t>
      </w:r>
      <w:r>
        <w:rPr>
          <w:rFonts w:ascii="Arial" w:cs="Arial" w:eastAsia="Arial" w:hAnsi="Arial"/>
          <w:sz w:val="17"/>
          <w:szCs w:val="17"/>
          <w:color w:val="auto"/>
        </w:rPr>
        <w:t>hosted in on-premises data centers within the corporate network to SaaS applications hosted in the public cloud, such as Microsoft Azure, Amazon Web Services and Google Cloud Platform. The growing use of the public cloud can significantly increase business risk, as security policies that are consistently applied within the traditional corporate network either cannot be enforced or are easily circumvented in a cloud environment. Employees may directly connect to the internet or cloud applications from a personal or corporate device outside of the corporate network, bypassing traditional network security appliances and exposing the user to potential cyberattacks. Infected users can then introduce viruses and malware onto the corporate network when they return to the workplace or connect to the network remotely. Additionally, users can access cloud applications without approval and in violation of corporate security policies, further increasing the surface area for potential attacks. According to an NTT Communications survey of decision makers, 77% of respondents have used a third-party cloud application without the approval or knowledge of their IT departments.</w:t>
      </w:r>
    </w:p>
    <w:p>
      <w:pPr>
        <w:spacing w:after="0" w:line="83" w:lineRule="exact"/>
        <w:rPr>
          <w:rFonts w:ascii="Arial" w:cs="Arial" w:eastAsia="Arial" w:hAnsi="Arial"/>
          <w:sz w:val="17"/>
          <w:szCs w:val="17"/>
          <w:color w:val="auto"/>
        </w:rPr>
      </w:pPr>
    </w:p>
    <w:p>
      <w:pPr>
        <w:jc w:val="both"/>
        <w:ind w:left="1060" w:hanging="424"/>
        <w:spacing w:after="0" w:line="293"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Microsoft Office 365 strains network capacity and data center infrastructure. </w:t>
      </w:r>
      <w:r>
        <w:rPr>
          <w:rFonts w:ascii="Arial" w:cs="Arial" w:eastAsia="Arial" w:hAnsi="Arial"/>
          <w:sz w:val="16"/>
          <w:szCs w:val="16"/>
          <w:color w:val="auto"/>
        </w:rPr>
        <w:t>Unlike other SaaS applications that are used intermittently or</w:t>
      </w:r>
      <w:r>
        <w:rPr>
          <w:rFonts w:ascii="Arial" w:cs="Arial" w:eastAsia="Arial" w:hAnsi="Arial"/>
          <w:sz w:val="16"/>
          <w:szCs w:val="16"/>
          <w:i w:val="1"/>
          <w:iCs w:val="1"/>
          <w:color w:val="auto"/>
        </w:rPr>
        <w:t xml:space="preserve"> </w:t>
      </w:r>
      <w:r>
        <w:rPr>
          <w:rFonts w:ascii="Arial" w:cs="Arial" w:eastAsia="Arial" w:hAnsi="Arial"/>
          <w:sz w:val="16"/>
          <w:szCs w:val="16"/>
          <w:color w:val="auto"/>
        </w:rPr>
        <w:t>by specific departments, Microsoft Office 365 moves many of an organization’s most heavily used applications, such as Exchange and SharePoint, to the cloud. As companies continue to adopt cloud office solutions, such as Microsoft Office 365, the increase in associated internet traffic can potentially overwhelm the existing network and security infrastructure. Pervasive, enterprise-wide cloud applications such as Microsoft Office 365 change network usage by adding up to eight or more persistent internet connections per user, and increasing an organization’s internet traffic by up to 28% for Outlook alone, based on case studies and support documentation published by Microsoft.</w:t>
      </w:r>
    </w:p>
    <w:p>
      <w:pPr>
        <w:spacing w:after="0" w:line="70" w:lineRule="exact"/>
        <w:rPr>
          <w:rFonts w:ascii="Arial" w:cs="Arial" w:eastAsia="Arial" w:hAnsi="Arial"/>
          <w:sz w:val="16"/>
          <w:szCs w:val="16"/>
          <w:color w:val="auto"/>
        </w:rPr>
      </w:pPr>
    </w:p>
    <w:p>
      <w:pPr>
        <w:jc w:val="both"/>
        <w:ind w:left="1060" w:hanging="424"/>
        <w:spacing w:after="0" w:line="25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Workforce mobility makes every user a potential source of security vulnerability. </w:t>
      </w:r>
      <w:r>
        <w:rPr>
          <w:rFonts w:ascii="Arial" w:cs="Arial" w:eastAsia="Arial" w:hAnsi="Arial"/>
          <w:sz w:val="18"/>
          <w:szCs w:val="18"/>
          <w:color w:val="auto"/>
        </w:rPr>
        <w:t>The shift towards an increasingly mobile workforce has</w:t>
      </w:r>
      <w:r>
        <w:rPr>
          <w:rFonts w:ascii="Arial" w:cs="Arial" w:eastAsia="Arial" w:hAnsi="Arial"/>
          <w:sz w:val="18"/>
          <w:szCs w:val="18"/>
          <w:i w:val="1"/>
          <w:iCs w:val="1"/>
          <w:color w:val="auto"/>
        </w:rPr>
        <w:t xml:space="preserve"> </w:t>
      </w:r>
      <w:r>
        <w:rPr>
          <w:rFonts w:ascii="Arial" w:cs="Arial" w:eastAsia="Arial" w:hAnsi="Arial"/>
          <w:sz w:val="18"/>
          <w:szCs w:val="18"/>
          <w:color w:val="auto"/>
        </w:rPr>
        <w:t>caused employees to demand easy and fast access to the internet and on-premises and cloud applications, regardless of device or location. To permit access for their mobile employees, organizations have typically relied on VPNs, which grant the user access to the corporate network instead of just the application that is requested. This creates increased points of vulnerability, because a single compromised VPN user can expose the entire corporate network.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These challenges are exacerbated by an increasingly severe cyber threatscape</w:t>
      </w:r>
    </w:p>
    <w:p>
      <w:pPr>
        <w:spacing w:after="0" w:line="117"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Today’s sophisticated hackers, motivated by financial, criminal and terrorist objectives, are exploiting the gaps left by existing network security approaches with increasingly sophisticated and evolving threats. The growing dependence on the internet has increased exposure to malicious or compromised websites that lure users to unsuspectingly download malware and botnets. According to Mozilla Firefox, over 60% of browser-based internet traffic is encrypted using Secure Socket Layer, or SSL. In addition, according to research derived from ThreatLabZ, our security research arm, the use of SSL encryption is increasing rapidly and has become one of the most effective tactics used by hackers to avoid detection by existing appliances and bypass the defenses of an overwhelmed network security infrastructure. According to the Computer Crime and Intellectual Property Section of the DOJ, more than 4,000 ransomware attacks have occurred every day since the beginning of 2016, a 300% increase over 2015, and we expect this number to continue to rise. As a result, organizations are more exposed than ever to today’s hackers and cyberattacks.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traditional perimeter security approach is the principal reason enterprises struggle to realize the true benefits of cloud and mobility</w:t>
      </w:r>
    </w:p>
    <w:p>
      <w:pPr>
        <w:spacing w:after="0" w:line="12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When users are mobile, working remotely or in branch offices, and the applications they use are in the cloud, routing traffic back across a “hub-and-spoke” network to the data center for access and security controls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provides a poor user experience. To deliver a fast user experience, traffic needs to be routed directly to the internet. Routing traffic directly to the internet, while maintaining access and security controls, may require deployment of hundreds, if not thousands, of internet gateways, which would be prohibitively expensive to purchase, deploy and manage. Even if organizations made these investments, this would create a false sense of security as traditional appliances were designed to protect the on-premises network and are limited in their ability to detect and prevent the increasing number and diversity of sophisticated threats in the cloud.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traditional perimeter security approach has the following limitations:</w:t>
      </w:r>
    </w:p>
    <w:p>
      <w:pPr>
        <w:spacing w:after="0" w:line="131" w:lineRule="exact"/>
        <w:rPr>
          <w:sz w:val="20"/>
          <w:szCs w:val="20"/>
          <w:color w:val="auto"/>
        </w:rPr>
      </w:pPr>
    </w:p>
    <w:p>
      <w:pPr>
        <w:ind w:left="1060" w:hanging="424"/>
        <w:spacing w:after="0" w:line="308"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Poor user experience: </w:t>
      </w:r>
      <w:r>
        <w:rPr>
          <w:rFonts w:ascii="Arial" w:cs="Arial" w:eastAsia="Arial" w:hAnsi="Arial"/>
          <w:sz w:val="17"/>
          <w:szCs w:val="17"/>
          <w:color w:val="auto"/>
        </w:rPr>
        <w:t>Backhauling traffic through traditional dedicated Wide Area Network, or WAN, techniques, such as MPLS or leased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lines and the serial processing of traffic by network security appliances introduces latency that results in a poor user experience.</w:t>
      </w:r>
    </w:p>
    <w:p>
      <w:pPr>
        <w:spacing w:after="0" w:line="51" w:lineRule="exact"/>
        <w:rPr>
          <w:rFonts w:ascii="Arial" w:cs="Arial" w:eastAsia="Arial" w:hAnsi="Arial"/>
          <w:sz w:val="17"/>
          <w:szCs w:val="17"/>
          <w:color w:val="auto"/>
        </w:rPr>
      </w:pPr>
    </w:p>
    <w:p>
      <w:pPr>
        <w:jc w:val="both"/>
        <w:ind w:left="1060" w:hanging="424"/>
        <w:spacing w:after="0" w:line="255"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tradeoffs: </w:t>
      </w:r>
      <w:r>
        <w:rPr>
          <w:rFonts w:ascii="Arial" w:cs="Arial" w:eastAsia="Arial" w:hAnsi="Arial"/>
          <w:sz w:val="18"/>
          <w:szCs w:val="18"/>
          <w:color w:val="auto"/>
        </w:rPr>
        <w:t>The traditional stack of security appliances in a data center or branch office is limited by its processing power,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forces organizations to make compromises between the number of appliances they can afford and the level of inspection they can perform. As the majority of internet traffic is now encrypted, this tradeoff is increasingly risky as organizations often do not have or do not utilize SSL decryption on their appliances and are therefore blind to a large proportion of their traffic. In addition, security appliances come from a heterogeneous array of vendors and are not designed to share threat information, leading to a severe limitation in the level of threat detection and prevention.</w:t>
      </w:r>
    </w:p>
    <w:p>
      <w:pPr>
        <w:spacing w:after="0" w:line="98"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w:t>
      </w:r>
      <w:r>
        <w:rPr>
          <w:rFonts w:ascii="Arial" w:cs="Arial" w:eastAsia="Arial" w:hAnsi="Arial"/>
          <w:sz w:val="18"/>
          <w:szCs w:val="18"/>
          <w:color w:val="auto"/>
        </w:rPr>
        <w:t>Routing traffic over a dedicated WAN to a centralized gateway is expensive to purchase, maintain and manage. In addition, appliances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significant capital expenditures for both initial purchases and ongoing refresh cycles.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Complexity: </w:t>
      </w:r>
      <w:r>
        <w:rPr>
          <w:rFonts w:ascii="Arial" w:cs="Arial" w:eastAsia="Arial" w:hAnsi="Arial"/>
          <w:sz w:val="18"/>
          <w:szCs w:val="18"/>
          <w:color w:val="auto"/>
        </w:rPr>
        <w:t>Deploying, integrating and maintaining numerous gateways, each of which is a collection of heterogeneous network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appliances, each with separate management and reporting systems, is resource intensive and complex to manage. This complexity leads to reduced reliability of the networking and security infrastructure.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new approach to security is needed</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The adoption of cloud and mobility requires a new approach to secure users and data regardless of the network. The “castle-and-moat” security approach was effective when users, applications and devices resided on the corporate network, and the organization could be protected by securing the corporate network. However, as enterprise applications move to the cloud, users move off the corporate network and new threat types emerge, the stacks of security appliances protecting the corporate network increasingly lose relevance and effectiveness. In a cloud-enabled and mobile-first world, security must be pervasive across the internet and capable of protecting users who directly access the cloud without connecting to a specific corporate network. Similarly, instead of the “castle-and-moat” approach where security is only applied if the user is on the network, security needs to be abstracted from the on-premises corporate network such that policies securely connect the right user to the right application regardless of device, location or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132080</wp:posOffset>
            </wp:positionV>
            <wp:extent cx="5188585" cy="2229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858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Further, a security platform that provides comprehensive security and also allows organizations to fully benefit from the cloud and mobility trends must provide the following:</w:t>
      </w:r>
    </w:p>
    <w:p>
      <w:pPr>
        <w:spacing w:after="0" w:line="76" w:lineRule="exact"/>
        <w:rPr>
          <w:sz w:val="20"/>
          <w:szCs w:val="20"/>
          <w:color w:val="auto"/>
        </w:rPr>
      </w:pPr>
    </w:p>
    <w:p>
      <w:pPr>
        <w:ind w:left="1060" w:hanging="424"/>
        <w:spacing w:after="0" w:line="30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Secure access for all applications and data. </w:t>
      </w:r>
      <w:r>
        <w:rPr>
          <w:rFonts w:ascii="Arial" w:cs="Arial" w:eastAsia="Arial" w:hAnsi="Arial"/>
          <w:sz w:val="17"/>
          <w:szCs w:val="17"/>
          <w:color w:val="auto"/>
        </w:rPr>
        <w:t>Organizations need to be able to provide seamless access to internet destinations, SaaS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and internally managed line-of-business applications hosted in corporate data centers or in the public cloud.</w:t>
      </w:r>
    </w:p>
    <w:p>
      <w:pPr>
        <w:spacing w:after="0" w:line="51" w:lineRule="exact"/>
        <w:rPr>
          <w:rFonts w:ascii="Arial" w:cs="Arial" w:eastAsia="Arial" w:hAnsi="Arial"/>
          <w:sz w:val="17"/>
          <w:szCs w:val="17"/>
          <w:color w:val="auto"/>
        </w:rPr>
      </w:pPr>
    </w:p>
    <w:p>
      <w:pPr>
        <w:jc w:val="both"/>
        <w:ind w:left="10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Protection for all users on all devices, regardless of location. </w:t>
      </w:r>
      <w:r>
        <w:rPr>
          <w:rFonts w:ascii="Arial" w:cs="Arial" w:eastAsia="Arial" w:hAnsi="Arial"/>
          <w:sz w:val="18"/>
          <w:szCs w:val="18"/>
          <w:color w:val="auto"/>
        </w:rPr>
        <w:t>Organizations must be able to support the changing ways in which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An effective solution must support all users accessing the internet using corporate and personally owned devices, anywhere in the world, while applying consistent policies.</w:t>
      </w:r>
    </w:p>
    <w:p>
      <w:pPr>
        <w:spacing w:after="0" w:line="86" w:lineRule="exact"/>
        <w:rPr>
          <w:rFonts w:ascii="Arial" w:cs="Arial" w:eastAsia="Arial" w:hAnsi="Arial"/>
          <w:sz w:val="18"/>
          <w:szCs w:val="18"/>
          <w:color w:val="auto"/>
        </w:rPr>
      </w:pPr>
    </w:p>
    <w:p>
      <w:pPr>
        <w:ind w:left="1060" w:right="20" w:hanging="424"/>
        <w:spacing w:after="0" w:line="30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security without tradeoffs between security, performance and budget. </w:t>
      </w:r>
      <w:r>
        <w:rPr>
          <w:rFonts w:ascii="Arial" w:cs="Arial" w:eastAsia="Arial" w:hAnsi="Arial"/>
          <w:sz w:val="17"/>
          <w:szCs w:val="17"/>
          <w:color w:val="auto"/>
        </w:rPr>
        <w:t>A comprehensive security platform needs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across all ports and protocols and for all content, without compromising on performance, accessibility or budget.</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Unbounded scale to support growing internet traffic. </w:t>
      </w:r>
      <w:r>
        <w:rPr>
          <w:rFonts w:ascii="Arial" w:cs="Arial" w:eastAsia="Arial" w:hAnsi="Arial"/>
          <w:sz w:val="18"/>
          <w:szCs w:val="18"/>
          <w:color w:val="auto"/>
        </w:rPr>
        <w:t>An effective security solution needs to be able to scale with an organization’s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demands and provide globally consistent security.</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Extensible platform to adapt to changing technical and business requirements. </w:t>
      </w:r>
      <w:r>
        <w:rPr>
          <w:rFonts w:ascii="Arial" w:cs="Arial" w:eastAsia="Arial" w:hAnsi="Arial"/>
          <w:sz w:val="18"/>
          <w:szCs w:val="18"/>
          <w:color w:val="auto"/>
        </w:rPr>
        <w:t>Security innovations need to accelerate to combat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of increasingly sophisticated cyberattacks, and an effective security platform must be able to quickly adapt to a changing threat landscape and security needs by rapidly adopting new technologies and techniques.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34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Elimination of certain network security costs and ease of management. </w:t>
      </w:r>
      <w:r>
        <w:rPr>
          <w:rFonts w:ascii="Arial" w:cs="Arial" w:eastAsia="Arial" w:hAnsi="Arial"/>
          <w:sz w:val="16"/>
          <w:szCs w:val="16"/>
          <w:color w:val="auto"/>
        </w:rPr>
        <w:t>A true security solution for the cloud must also have the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a cloud platform. The solution should eliminate certain network security costs with little to no ongoing maintenance.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security cloud, which is distributed across more than 100 data centers around the world, helps organizations accelerate their IT transformation to the cloud. This enables the secure migration of applications from the corporate data center to the cloud and from a legacy “hub-and-spoke” network to a modern direct-to-cloud architecture. Our approach applies policies set by an organization to securely connect the right user to the right application, regardless of the network. Unlike traditional “hub-and-spoke” architectures, where traffic is backhauled over dedicated WANs to centralized gateways, our solution allows traffic to be routed locally and securely to the internet over broadband and cellular connections. We offer two principal cloud services:</w:t>
      </w:r>
    </w:p>
    <w:p>
      <w:pPr>
        <w:spacing w:after="0" w:line="99" w:lineRule="exact"/>
        <w:rPr>
          <w:sz w:val="20"/>
          <w:szCs w:val="20"/>
          <w:color w:val="auto"/>
        </w:rPr>
      </w:pPr>
    </w:p>
    <w:p>
      <w:pPr>
        <w:jc w:val="both"/>
        <w:ind w:left="1060" w:hanging="424"/>
        <w:spacing w:after="0" w:line="279"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ZIA solution securely connects users to externally managed applications, including SaaS applications and internet destinations, regardless of device, location or network. Our ZIA solution sits between users and the internet and is designed to ensure malware does not reach the user and valuable corporate data does not leak out. Our ZIA solution enforces access based on granular access control policies, inspects unencrypted and encrypted internet traffic inline for malware and advanced threats and prevents data leakage.</w:t>
      </w:r>
    </w:p>
    <w:p>
      <w:pPr>
        <w:spacing w:after="0" w:line="76" w:lineRule="exact"/>
        <w:rPr>
          <w:rFonts w:ascii="Arial" w:cs="Arial" w:eastAsia="Arial" w:hAnsi="Arial"/>
          <w:sz w:val="17"/>
          <w:szCs w:val="17"/>
          <w:color w:val="auto"/>
        </w:rPr>
      </w:pPr>
    </w:p>
    <w:p>
      <w:pPr>
        <w:jc w:val="both"/>
        <w:ind w:left="1060" w:hanging="424"/>
        <w:spacing w:after="0" w:line="25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ZPA solution offers authorized users secure and fast access to internally managed applications hosted in enterprise data centers or the public cloud. Our ZPA solution’s highly innovative architecture does not expose the identity or location of these applications and provides only the necessary and appropriate levels of access. While traditional remote access solutions, such as VPNs, connect a user to the corporate network, our ZPA solution connects a specific user to a specific application, without bringing the user on the network, resulting in better security.</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Fast, Secure Access to the Internet and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324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858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benefits:</w:t>
      </w:r>
    </w:p>
    <w:p>
      <w:pPr>
        <w:spacing w:after="0" w:line="131" w:lineRule="exact"/>
        <w:rPr>
          <w:sz w:val="20"/>
          <w:szCs w:val="20"/>
          <w:color w:val="auto"/>
        </w:rPr>
      </w:pPr>
    </w:p>
    <w:p>
      <w:pPr>
        <w:ind w:left="106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user experience. </w:t>
      </w:r>
      <w:r>
        <w:rPr>
          <w:rFonts w:ascii="Arial" w:cs="Arial" w:eastAsia="Arial" w:hAnsi="Arial"/>
          <w:sz w:val="18"/>
          <w:szCs w:val="18"/>
          <w:color w:val="auto"/>
        </w:rPr>
        <w:t>With our direct-to-cloud architecture, users connect to the nearest Zscaler data center, taking the shortest path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or internet destination, resulting in a fast user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experience. Our integrated ZIA solution scans and inspects packets, performing multiple threat prevention techniques in a single pass, as opposed to serial processing performed by existing network security appliances, which introduces incremental latency. We have also established direct network connections within data centers with many of the top internet providers, SaaS companies and service providers to accelerate application performance through our cloud. Our ZPA solution dynamically selects the optimal path to provide fast and seamless access to internally-managed applications without the overhead of VPNs.</w:t>
      </w:r>
    </w:p>
    <w:p>
      <w:pPr>
        <w:spacing w:after="0" w:line="94" w:lineRule="exact"/>
        <w:rPr>
          <w:sz w:val="20"/>
          <w:szCs w:val="20"/>
          <w:color w:val="auto"/>
        </w:rPr>
      </w:pPr>
    </w:p>
    <w:p>
      <w:pPr>
        <w:jc w:val="both"/>
        <w:ind w:left="1060" w:hanging="424"/>
        <w:spacing w:after="0" w:line="289"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Improves security and reduces business risk. </w:t>
      </w:r>
      <w:r>
        <w:rPr>
          <w:rFonts w:ascii="Arial" w:cs="Arial" w:eastAsia="Arial" w:hAnsi="Arial"/>
          <w:sz w:val="16"/>
          <w:szCs w:val="16"/>
          <w:color w:val="auto"/>
        </w:rPr>
        <w:t>Our cloud platform was designed so that policies set by an organization follow the user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identical protection whether they connect from the corporate office, hotel or coffee shop when accessing the internet, SaaS and internally-managed applications hosted in the data center or public cloud. Our ZIA solution was designed to provide full inline inspection of internet traffic, including full SSL inspection, and performs real-time threat correlation using multiple techniques for better threat prevention. The scale of our global cloud provides us with a network effect that delivers insight into advanced and zero-day threats as they emerge. Unlike traditional remote access technologies, such as VPNs, our ZPA solution decouples the application from the network and connects each application to each authorized user based on granular policies. By employing secure outbound connections and never exposing the location of the application, our ZPA solution significantly reduces the attack surface and shuts down a commonly exploited vulnerability. All of this results in superior security for organizations as they embrace the cloud and mobility.</w:t>
      </w:r>
    </w:p>
    <w:p>
      <w:pPr>
        <w:spacing w:after="0" w:line="72" w:lineRule="exact"/>
        <w:rPr>
          <w:rFonts w:ascii="Arial" w:cs="Arial" w:eastAsia="Arial" w:hAnsi="Arial"/>
          <w:sz w:val="16"/>
          <w:szCs w:val="16"/>
          <w:color w:val="auto"/>
        </w:rPr>
      </w:pPr>
    </w:p>
    <w:p>
      <w:pPr>
        <w:jc w:val="both"/>
        <w:ind w:left="1060" w:hanging="424"/>
        <w:spacing w:after="0" w:line="270"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Eliminates certain network security costs. </w:t>
      </w:r>
      <w:r>
        <w:rPr>
          <w:rFonts w:ascii="Arial" w:cs="Arial" w:eastAsia="Arial" w:hAnsi="Arial"/>
          <w:sz w:val="17"/>
          <w:szCs w:val="17"/>
          <w:color w:val="auto"/>
        </w:rPr>
        <w:t>Our solutions result in significant cost savings for our customers when compared to appliance-based architectures, and they also provide our customers with significant network infrastructure cost savings. With our integrated security platform and the ability of our platform to enable traffic to be locally routed to the internet, our solutions eliminate the cost of buying and managing multiple network security appliances and MPLS backhaul costs over a WAN for our customers. Our subscription model results in costs shifting from capital expenditures to operating expenditures, which reduces upfront outlays, and allows our customers to scale their security requirements as their needs grow. Furthermore, we centrally manage and maintain the full security solution portfolio for our customers, reducing their need to hire and retain increasingly scarce and expensive security personnel. Lastly, we offer pricing calculated on a per user basis instead of based on traffic volume, which is the common approach to legacy appliance pricing. Therefore, even during times of peak internet traffic our pricing remains constant for our customers.</w:t>
      </w:r>
    </w:p>
    <w:p>
      <w:pPr>
        <w:spacing w:after="0" w:line="87" w:lineRule="exact"/>
        <w:rPr>
          <w:rFonts w:ascii="Arial" w:cs="Arial" w:eastAsia="Arial" w:hAnsi="Arial"/>
          <w:sz w:val="17"/>
          <w:szCs w:val="17"/>
          <w:color w:val="auto"/>
        </w:rPr>
      </w:pPr>
    </w:p>
    <w:p>
      <w:pPr>
        <w:jc w:val="both"/>
        <w:ind w:left="1060" w:hanging="424"/>
        <w:spacing w:after="0" w:line="259"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Simplicity. </w:t>
      </w:r>
      <w:r>
        <w:rPr>
          <w:rFonts w:ascii="Arial" w:cs="Arial" w:eastAsia="Arial" w:hAnsi="Arial"/>
          <w:sz w:val="18"/>
          <w:szCs w:val="18"/>
          <w:color w:val="auto"/>
        </w:rPr>
        <w:t>Our solution delivers the functions of a traditional internet gateway as a cloud service. This significantly reduces the complexity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personnel required as compared to managing a traditional appliance-based security approach. Getting started with our platform is as simple as forwarding traffic to our security cloud, and once it is deployed, we help simplify the entire enterprise network topology by minimizing the need for “hub-and-spoke” networks and related hardware infrastructure.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competitive strengths include:</w:t>
      </w:r>
    </w:p>
    <w:p>
      <w:pPr>
        <w:spacing w:after="0" w:line="131" w:lineRule="exact"/>
        <w:rPr>
          <w:sz w:val="20"/>
          <w:szCs w:val="20"/>
          <w:color w:val="auto"/>
        </w:rPr>
      </w:pPr>
    </w:p>
    <w:p>
      <w:pPr>
        <w:jc w:val="both"/>
        <w:ind w:left="1060" w:hanging="424"/>
        <w:spacing w:after="0" w:line="25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platform purpose-built for the cloud and designed for rapid innovation. </w:t>
      </w:r>
      <w:r>
        <w:rPr>
          <w:rFonts w:ascii="Arial" w:cs="Arial" w:eastAsia="Arial" w:hAnsi="Arial"/>
          <w:sz w:val="18"/>
          <w:szCs w:val="18"/>
          <w:color w:val="auto"/>
        </w:rPr>
        <w:t>In order to achieve the performance and scalability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to deliver a highly reliable and available service that sits in the data path of our customers, we developed many core technologies, including a proprietary TCP/IP stack, which are protected by over 100 issued and pending patents. Our highly differentiated multi-tenant distributed cloud security platform enables the rapid development and delivery of new offerings. In the past few years, we introduced several cloud services, including Cloud Sandbox, Cloud Firewall, Bandwidth Control and ZPA, which are disrupting major product categories. Furthermore, the architecture of our platform and the scale of our global operations create an opportunity for us to open up our cloud security platform to third party developers and applications, further extending our platform’s functionality and increasing the value of the platform.</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86"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Pioneer and market leader for cloud security with an established brand. </w:t>
      </w:r>
      <w:r>
        <w:rPr>
          <w:rFonts w:ascii="Arial" w:cs="Arial" w:eastAsia="Arial" w:hAnsi="Arial"/>
          <w:sz w:val="17"/>
          <w:szCs w:val="17"/>
          <w:color w:val="auto"/>
        </w:rPr>
        <w:t>We are a globally recognized leader in cloud security. In 2015,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recognized by Forrester as a leader in “The Forrester Wave</w:t>
      </w:r>
      <w:r>
        <w:rPr>
          <w:rFonts w:ascii="Arial" w:cs="Arial" w:eastAsia="Arial" w:hAnsi="Arial"/>
          <w:sz w:val="14"/>
          <w:szCs w:val="14"/>
          <w:color w:val="auto"/>
        </w:rPr>
        <w:t>TM</w:t>
      </w:r>
      <w:r>
        <w:rPr>
          <w:rFonts w:ascii="Arial" w:cs="Arial" w:eastAsia="Arial" w:hAnsi="Arial"/>
          <w:sz w:val="17"/>
          <w:szCs w:val="17"/>
          <w:color w:val="auto"/>
        </w:rPr>
        <w:t>: SaaS Web Content Security, Q2 2015” report. We were also awarded Best Cloud Computing Security Solution by SC Magazine in 2016, and we have won numerous other industry awards.</w:t>
      </w:r>
    </w:p>
    <w:p>
      <w:pPr>
        <w:spacing w:after="0" w:line="70" w:lineRule="exact"/>
        <w:rPr>
          <w:rFonts w:ascii="Arial" w:cs="Arial" w:eastAsia="Arial" w:hAnsi="Arial"/>
          <w:sz w:val="17"/>
          <w:szCs w:val="17"/>
          <w:color w:val="auto"/>
        </w:rPr>
      </w:pPr>
    </w:p>
    <w:p>
      <w:pPr>
        <w:jc w:val="both"/>
        <w:ind w:left="1060" w:hanging="424"/>
        <w:spacing w:after="0" w:line="270"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operational excellence as a mission critical cloud service. </w:t>
      </w:r>
      <w:r>
        <w:rPr>
          <w:rFonts w:ascii="Arial" w:cs="Arial" w:eastAsia="Arial" w:hAnsi="Arial"/>
          <w:sz w:val="17"/>
          <w:szCs w:val="17"/>
          <w:color w:val="auto"/>
        </w:rPr>
        <w:t>We built the Zscaler platform over nine years and with over 600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development effort. We have accumulated deep insights in designing and operating a highly available, scalable and resilient cloud infrastructure. Operating a service like ours requires years of experience running a globally distributed cloud that takes traffic from users across 185 countries and connects them to internet and cloud destinations with high availability and fast response times. To do so requires significant learning across network architecture and design, optimization of internet peering, event monitoring, continuous updates without interruption and enabling true elasticity of performance across rapidly changing customer workloads. Since 2014, our platform has received ISO 27001 certification, and we are in the process of becoming Federal Risk and Authorization Management Program, or FedRAMP, certified to serve the U.S. government as a Cloud Service Partner. As a purpose-built cloud platform, we continuously push security updates at a rate that cannot be matched by traditional security appliance architecture.</w:t>
      </w:r>
    </w:p>
    <w:p>
      <w:pPr>
        <w:spacing w:after="0" w:line="87" w:lineRule="exact"/>
        <w:rPr>
          <w:rFonts w:ascii="Arial" w:cs="Arial" w:eastAsia="Arial" w:hAnsi="Arial"/>
          <w:sz w:val="17"/>
          <w:szCs w:val="17"/>
          <w:color w:val="auto"/>
        </w:rPr>
      </w:pPr>
    </w:p>
    <w:p>
      <w:pPr>
        <w:jc w:val="both"/>
        <w:ind w:left="1060" w:hanging="424"/>
        <w:spacing w:after="0" w:line="287"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go-to-market strategy driving C-level engagement. </w:t>
      </w:r>
      <w:r>
        <w:rPr>
          <w:rFonts w:ascii="Arial" w:cs="Arial" w:eastAsia="Arial" w:hAnsi="Arial"/>
          <w:sz w:val="16"/>
          <w:szCs w:val="16"/>
          <w:color w:val="auto"/>
        </w:rPr>
        <w:t>We believe we have a differentiated go-to-market strategy that delivers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level of engagement with senior leaders within the IT organization. Although we have a channel sales model, we use a joint sales approach in which our sales force develops relationships directly with our customers, and together with our network of global telecommunications service provider, system integrator and value-added reseller partners, works on account penetration, account coordination, sales and overall market strategy. We have established and continue to develop long-standing relationships with global telecommunications service provider partners, including BT Telecommunications plc, Deutsche Telekom AG, Orange S.A. and Verizon Communications Inc. In addition, we have and are expanding our relationships with system integrators, including, Deloitte LLP and HCL America, Inc. Each relationship entails significant technical interoperability and rigorous performance testing of our cloud infrastructure, education and training of our channel partners’ marketing and sales professionals, support integration and alignment of pricing strategies. These channel partners are engaging at the C-level to discuss strategic network transformation and cloud migration projects, and we work with these channel partners to deliver security solutions to their most important enterprise customers. We have spent many years building these deeply entrenched relationships, and we expect to generate increasing sales leverage from this investment.</w:t>
      </w:r>
    </w:p>
    <w:p>
      <w:pPr>
        <w:spacing w:after="0" w:line="74" w:lineRule="exact"/>
        <w:rPr>
          <w:rFonts w:ascii="Arial" w:cs="Arial" w:eastAsia="Arial" w:hAnsi="Arial"/>
          <w:sz w:val="16"/>
          <w:szCs w:val="16"/>
          <w:color w:val="auto"/>
        </w:rPr>
      </w:pPr>
    </w:p>
    <w:p>
      <w:pPr>
        <w:jc w:val="both"/>
        <w:ind w:left="1060" w:hanging="424"/>
        <w:spacing w:after="0" w:line="291"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management team and deep security expertise. </w:t>
      </w:r>
      <w:r>
        <w:rPr>
          <w:rFonts w:ascii="Arial" w:cs="Arial" w:eastAsia="Arial" w:hAnsi="Arial"/>
          <w:sz w:val="16"/>
          <w:szCs w:val="16"/>
          <w:color w:val="auto"/>
        </w:rPr>
        <w:t>Our management team has extensive cloud, network and security domain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with a proven track record of growing and running businesses at scale. Our president, chief executive officer and chairman of our board of directors, Jay Chaudhry, is a security industry pioneer and an accomplished entrepreneur, having founded and built several companies. In addition, we have invested significantly to establish ThreatLabZ, which provides deep insight and leading-edge research into emerging security threats. We believe our ThreatLabZ team, coupled with their access to the broad data set from our global cloud operations, differentiates us from our competitors because we can leverage an aggregate view of the almost 40 billion internet requests, per day during our peak period over the past six months, to identify new and emerging threats as they occur and deliver protection faster.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As applications are moving to the cloud, the corporate network is transforming from a “hub-and-spoke” to a direct-to-cloud architecture. This in turn is driving security transformation from a 30-year-old “castle-and-moat” approach to an approach that securely connects the right users to the right application regardless of the network. This creates a large opportunity to deliver cloud security services that replace traditional on-premises network</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security appliances and software. Our solution provides functionality that obviates the need for outbound and inbound internet gateways. The outbound internet gateway often includes URL filtering, anti-virus, content filtering, branch firewalls, advanced threat protection with sandboxing and data loss prevention appliances. Inbound gateways typically include global load balancers, DDoS prevention, external firewalls, VPN concentrators and internal firewalls appliances. Based on our analysis using IDC data, $17.7 billion annually is spent on disparate security appliances to perform the functions we offer in our platform.</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Beyond these immediate market opportunities, we expect our total addressable market to increase substantially as a result of higher per user per year monetization rates as we deliver additional services. We also have the opportunity to expand our platform to deliver needed services for smart and connected IoT devices.</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to providing better security and user experience, we offer our customers the opportunity to reduce their overall networking complexity and cost. As organizations rearchitect their traditional “hub-and-spoke” corporate networks to adopt our direct-to-cloud architecture, the reduced need for supporting networking infrastructure and bandwidth such as MPLS, edge routers, ATM switches, ethernet edge routers and WAN optimization increases the return on investment of our solution.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growing use of the internet and the increasing adoption of the cloud are driving network and application transformation. As a provider of a fully integrated, multi-tenant cloud security solution, we enable our customers to accelerate this secure transformation to the cloud and believe we are uniquely positioned to maximize value as they undertake these transitions. Key elements of our strategy include:</w:t>
      </w:r>
    </w:p>
    <w:p>
      <w:pPr>
        <w:spacing w:after="0" w:line="87" w:lineRule="exact"/>
        <w:rPr>
          <w:sz w:val="20"/>
          <w:szCs w:val="20"/>
          <w:color w:val="auto"/>
        </w:rPr>
      </w:pPr>
    </w:p>
    <w:p>
      <w:pPr>
        <w:jc w:val="both"/>
        <w:ind w:left="1060" w:hanging="424"/>
        <w:spacing w:after="0" w:line="27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win new customers. </w:t>
      </w:r>
      <w:r>
        <w:rPr>
          <w:rFonts w:ascii="Arial" w:cs="Arial" w:eastAsia="Arial" w:hAnsi="Arial"/>
          <w:sz w:val="17"/>
          <w:szCs w:val="17"/>
          <w:color w:val="auto"/>
        </w:rPr>
        <w:t>We believe we have a significant opportunity to expand our customer base, both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internationally. As of July 31, 2017, we had more than 2,800 customers, including more than 200 of the Forbes Global 2000. We have invested significantly in our sales and marketing organization to execute against this opportunity. For example, we identify organizations moving to mission critical SaaS applications like Microsoft Office 365, which often triggers the purchases of new security infrastructure, and offer our solution to secure these new environments. Our recent roll-out of our ZPA solution expands our portfolio of solutions, creates new use cases and makes us appealing to new IT buying centers. Based on early data points from our initial ZPA wins, we believe we will accelerate customer acquisition as a result of a shorter sales cycle.</w:t>
      </w:r>
    </w:p>
    <w:p>
      <w:pPr>
        <w:spacing w:after="0" w:line="83" w:lineRule="exact"/>
        <w:rPr>
          <w:rFonts w:ascii="Arial" w:cs="Arial" w:eastAsia="Arial" w:hAnsi="Arial"/>
          <w:sz w:val="17"/>
          <w:szCs w:val="17"/>
          <w:color w:val="auto"/>
        </w:rPr>
      </w:pPr>
    </w:p>
    <w:p>
      <w:pPr>
        <w:jc w:val="both"/>
        <w:ind w:left="1060" w:hanging="424"/>
        <w:spacing w:after="0" w:line="270"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in existing customers. </w:t>
      </w:r>
      <w:r>
        <w:rPr>
          <w:rFonts w:ascii="Arial" w:cs="Arial" w:eastAsia="Arial" w:hAnsi="Arial"/>
          <w:sz w:val="17"/>
          <w:szCs w:val="17"/>
          <w:color w:val="auto"/>
        </w:rPr>
        <w:t>We plan to leverage a land-and-expand approach with our existing customers to add users to subscriptions,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upgrade to subscription bundles that contain more functionality or purchase additional a la carte services. As of January 31, 2018, our dollar based net retention rate was 122% for the trailing twelve months. We primarily offer three main bundles for Zscaler Internet Access: Professional, Business and Secure Transformation. We also introduced our ZPA solution in 2016 and have begun to capitalize on the opportunity to sell our ZPA solution into our ZIA customer base. We primarily offer three main suites for Zscaler Private Access: Professional, Business and Enterprise. A customer who initially purchases our ZIA Professional Bundle provides us an opportunity for future expansions. The list price of our ZIA Business Bundle is approximately 1.6 times the list price of ZIA Professional Bundle, and the list price of our ZIA Secure Transformation Bundle is approximately 2.9 times the list price of ZIA Professional Bundle. In addition, the aggregate list price of our full-featured ZIA bundle and ZPA suite, the ZIA Secure Transformation Bundle and ZPA Enterprise Suite, is more than six times the list price of a standalone ZIA Professional Bundle.</w:t>
      </w:r>
    </w:p>
    <w:p>
      <w:pPr>
        <w:spacing w:after="0" w:line="83" w:lineRule="exact"/>
        <w:rPr>
          <w:rFonts w:ascii="Arial" w:cs="Arial" w:eastAsia="Arial" w:hAnsi="Arial"/>
          <w:sz w:val="17"/>
          <w:szCs w:val="17"/>
          <w:color w:val="auto"/>
        </w:rPr>
      </w:pPr>
    </w:p>
    <w:p>
      <w:pPr>
        <w:jc w:val="both"/>
        <w:ind w:left="1060" w:hanging="424"/>
        <w:spacing w:after="0" w:line="279"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channel partners to participate in cloud transformation initiatives. </w:t>
      </w:r>
      <w:r>
        <w:rPr>
          <w:rFonts w:ascii="Arial" w:cs="Arial" w:eastAsia="Arial" w:hAnsi="Arial"/>
          <w:sz w:val="17"/>
          <w:szCs w:val="17"/>
          <w:color w:val="auto"/>
        </w:rPr>
        <w:t>We have invested in establishing long-standing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global telecommunications services provider and system integrator partners, such as BT Telecommunications plc, Deutsche Telekom AG, Orange S.A. and Verizon Communications Inc. In addition, we are expanding our relationships with system integrators, including, Deloitte LLP and HCL America, Inc. As a result of this investment, multiple of these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partners include our offerings in their portfolios, introduce our solutions to C-level decision makers and incorporate our cloud platform in their high-profile strategic projects. We expect to pursue additional relationships with global system integrators and regional telecommunications service providers. We will continue to broaden and invest in our channel partner relationships to increase the awareness and availability of our solutions.</w:t>
      </w:r>
    </w:p>
    <w:p>
      <w:pPr>
        <w:spacing w:after="0" w:line="92" w:lineRule="exact"/>
        <w:rPr>
          <w:sz w:val="20"/>
          <w:szCs w:val="20"/>
          <w:color w:val="auto"/>
        </w:rPr>
      </w:pPr>
    </w:p>
    <w:p>
      <w:pPr>
        <w:jc w:val="both"/>
        <w:ind w:left="1060" w:hanging="424"/>
        <w:spacing w:after="0" w:line="276"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Expansion and innovation of services. </w:t>
      </w:r>
      <w:r>
        <w:rPr>
          <w:rFonts w:ascii="Arial" w:cs="Arial" w:eastAsia="Arial" w:hAnsi="Arial"/>
          <w:sz w:val="17"/>
          <w:szCs w:val="17"/>
          <w:color w:val="auto"/>
        </w:rPr>
        <w:t>We invest in research and development to continue to innovate. In addition to improving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refining our existing offerings, our research and development team is focused on developing new and innovative solutions to today’s evolving and increasingly sophisticated cybersecurity threats. ThreatLabZ, our team of security experts and threat researchers, continually analyzes the global threatscape to generate ideas for development and work diligently to combat threats across our cloud platform. We continue to develop new and differentiated solutions to add to our existing portfolio of solutions.</w:t>
      </w:r>
    </w:p>
    <w:p>
      <w:pPr>
        <w:spacing w:after="0" w:line="77" w:lineRule="exact"/>
        <w:rPr>
          <w:rFonts w:ascii="Arial" w:cs="Arial" w:eastAsia="Arial" w:hAnsi="Arial"/>
          <w:sz w:val="17"/>
          <w:szCs w:val="17"/>
          <w:color w:val="auto"/>
        </w:rPr>
      </w:pPr>
    </w:p>
    <w:p>
      <w:pPr>
        <w:jc w:val="both"/>
        <w:ind w:left="1060" w:hanging="424"/>
        <w:spacing w:after="0" w:line="25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 into additional market segments. </w:t>
      </w:r>
      <w:r>
        <w:rPr>
          <w:rFonts w:ascii="Arial" w:cs="Arial" w:eastAsia="Arial" w:hAnsi="Arial"/>
          <w:sz w:val="18"/>
          <w:szCs w:val="18"/>
          <w:color w:val="auto"/>
        </w:rPr>
        <w:t>We are targeting the expansion of our immediate addressable market, emphasizing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in the near- to medium-term as well as additional international markets such as Japan and the Asia Pacific region. We are in the process of becoming FedRAMP certified to serve the U.S. government as a Cloud Service Partner, which we believe will provide new revenue in a significantly underpenetrated market. In the long term, we believe we also have a large opportunity to expand our market reach among small and medium size businesses.</w:t>
      </w:r>
    </w:p>
    <w:p>
      <w:pPr>
        <w:spacing w:after="0" w:line="93"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platform to third-party developers. </w:t>
      </w:r>
      <w:r>
        <w:rPr>
          <w:rFonts w:ascii="Arial" w:cs="Arial" w:eastAsia="Arial" w:hAnsi="Arial"/>
          <w:sz w:val="18"/>
          <w:szCs w:val="18"/>
          <w:color w:val="auto"/>
        </w:rPr>
        <w:t>We intend to open our cloud security platform to third-party developers and vendors to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functionality and solutions that may target specific use cases, verticals and niche requirements. We expect that in the long-term, this strategy will provide new avenues for growth, further solidifying our leadership in cloud security.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Solutions and Platform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purpose-built cloud security platform offers two principal services built natively in the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2075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Zscaler Internet Access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Our ZIA solution was designed to securely connect users to externally managed applications, including SaaS applications and internet destinations regardless of device, location or network. Our ZIA solution provides inline inspection and firewall access controls across all ports and protocols to protect organizations and users from external threats as well as protecting an organization’s data from leaking out. Policies follow the user to provide identical protection on any device, regardless of location; any policy changes are enforced for users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worldwide. Our cloud security platform provides full inline content inspection of webpages to assess and correlate the risk of webpage objects, continuously discovering and blocking sophisticated threats.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ZIA solution includes broad functionality, which we categorize by three areas: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Access Control</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access control functionality of our ZIA solution enforces access and usage policies to externally managed applications, including SaaS application and internet destinations. This provides functionality that has traditionally been provided by stand-alone point products.</w:t>
      </w:r>
    </w:p>
    <w:p>
      <w:pPr>
        <w:spacing w:after="0" w:line="72" w:lineRule="exact"/>
        <w:rPr>
          <w:sz w:val="20"/>
          <w:szCs w:val="20"/>
          <w:color w:val="auto"/>
        </w:rPr>
      </w:pPr>
    </w:p>
    <w:p>
      <w:pPr>
        <w:ind w:left="1060" w:hanging="424"/>
        <w:spacing w:after="0" w:line="282"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Cloud Firewall: </w:t>
      </w:r>
      <w:r>
        <w:rPr>
          <w:rFonts w:ascii="Arial" w:cs="Arial" w:eastAsia="Arial" w:hAnsi="Arial"/>
          <w:sz w:val="18"/>
          <w:szCs w:val="18"/>
          <w:color w:val="auto"/>
        </w:rPr>
        <w:t>Our cloud firewall was designed to protect users by inspecting internet traffic on all ports and protocols, and it offers user</w:t>
      </w:r>
      <w:r>
        <w:rPr>
          <w:rFonts w:ascii="Arial" w:cs="Arial" w:eastAsia="Arial" w:hAnsi="Arial"/>
          <w:sz w:val="18"/>
          <w:szCs w:val="18"/>
          <w:b w:val="1"/>
          <w:bCs w:val="1"/>
          <w:color w:val="auto"/>
        </w:rPr>
        <w:t xml:space="preserve"> </w:t>
      </w:r>
      <w:r>
        <w:rPr>
          <w:rFonts w:ascii="Arial" w:cs="Arial" w:eastAsia="Arial" w:hAnsi="Arial"/>
          <w:sz w:val="18"/>
          <w:szCs w:val="18"/>
          <w:color w:val="auto"/>
        </w:rPr>
        <w:t>level policies, application identification with deep packet inspection and intrusion prevention.</w:t>
      </w:r>
    </w:p>
    <w:p>
      <w:pPr>
        <w:spacing w:after="0" w:line="67" w:lineRule="exact"/>
        <w:rPr>
          <w:rFonts w:ascii="Arial" w:cs="Arial" w:eastAsia="Arial" w:hAnsi="Arial"/>
          <w:sz w:val="18"/>
          <w:szCs w:val="18"/>
          <w:color w:val="auto"/>
        </w:rPr>
      </w:pPr>
    </w:p>
    <w:p>
      <w:pPr>
        <w:ind w:left="1060" w:hanging="424"/>
        <w:spacing w:after="0" w:line="282"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URL Filtering: </w:t>
      </w:r>
      <w:r>
        <w:rPr>
          <w:rFonts w:ascii="Arial" w:cs="Arial" w:eastAsia="Arial" w:hAnsi="Arial"/>
          <w:sz w:val="18"/>
          <w:szCs w:val="18"/>
          <w:color w:val="auto"/>
        </w:rPr>
        <w:t>Our URL filtering capability enables customers to enforce acceptable usage policies and protects organizations from users</w:t>
      </w:r>
      <w:r>
        <w:rPr>
          <w:rFonts w:ascii="Arial" w:cs="Arial" w:eastAsia="Arial" w:hAnsi="Arial"/>
          <w:sz w:val="18"/>
          <w:szCs w:val="18"/>
          <w:b w:val="1"/>
          <w:bCs w:val="1"/>
          <w:color w:val="auto"/>
        </w:rPr>
        <w:t xml:space="preserve"> </w:t>
      </w:r>
      <w:r>
        <w:rPr>
          <w:rFonts w:ascii="Arial" w:cs="Arial" w:eastAsia="Arial" w:hAnsi="Arial"/>
          <w:sz w:val="18"/>
          <w:szCs w:val="18"/>
          <w:color w:val="auto"/>
        </w:rPr>
        <w:t>visiting unauthorized websites or illegally downloading content that can increase liability and impact their brand.</w:t>
      </w:r>
    </w:p>
    <w:p>
      <w:pPr>
        <w:spacing w:after="0" w:line="67" w:lineRule="exact"/>
        <w:rPr>
          <w:rFonts w:ascii="Arial" w:cs="Arial" w:eastAsia="Arial" w:hAnsi="Arial"/>
          <w:sz w:val="18"/>
          <w:szCs w:val="18"/>
          <w:color w:val="auto"/>
        </w:rPr>
      </w:pPr>
    </w:p>
    <w:p>
      <w:pPr>
        <w:jc w:val="both"/>
        <w:ind w:left="1060" w:hanging="424"/>
        <w:spacing w:after="0" w:line="266"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Bandwidth Control: </w:t>
      </w:r>
      <w:r>
        <w:rPr>
          <w:rFonts w:ascii="Arial" w:cs="Arial" w:eastAsia="Arial" w:hAnsi="Arial"/>
          <w:sz w:val="18"/>
          <w:szCs w:val="18"/>
          <w:color w:val="auto"/>
        </w:rPr>
        <w:t>Our bandwidth control and traffic shaping capabilities ensure that business critical applications are prioritized over</w:t>
      </w:r>
      <w:r>
        <w:rPr>
          <w:rFonts w:ascii="Arial" w:cs="Arial" w:eastAsia="Arial" w:hAnsi="Arial"/>
          <w:sz w:val="18"/>
          <w:szCs w:val="18"/>
          <w:b w:val="1"/>
          <w:bCs w:val="1"/>
          <w:color w:val="auto"/>
        </w:rPr>
        <w:t xml:space="preserve"> </w:t>
      </w:r>
      <w:r>
        <w:rPr>
          <w:rFonts w:ascii="Arial" w:cs="Arial" w:eastAsia="Arial" w:hAnsi="Arial"/>
          <w:sz w:val="18"/>
          <w:szCs w:val="18"/>
          <w:color w:val="auto"/>
        </w:rPr>
        <w:t>non-business critical applications, improving productivity and user experience. By enforcing quality of service in the cloud, our platform can optimize “last-mile” utilization of a customer’s network, providing significant value.</w:t>
      </w:r>
    </w:p>
    <w:p>
      <w:pPr>
        <w:spacing w:after="0" w:line="81"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DNS Filtering: </w:t>
      </w:r>
      <w:r>
        <w:rPr>
          <w:rFonts w:ascii="Arial" w:cs="Arial" w:eastAsia="Arial" w:hAnsi="Arial"/>
          <w:sz w:val="18"/>
          <w:szCs w:val="18"/>
          <w:color w:val="auto"/>
        </w:rPr>
        <w:t>Our DNS filtering solution provides a local DNS resolver and enforces acceptable use policies.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Threat Prevention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second area of functionality, threat prevention, protects users from threats using a range of approaches and techniques. Our robust threat prevention capabilities provide multiple layers of protection to prevent cyberattacks. We provide functionality that has been traditionally been offered by disparate, stand-alone products.</w:t>
      </w:r>
    </w:p>
    <w:p>
      <w:pPr>
        <w:spacing w:after="0" w:line="83" w:lineRule="exact"/>
        <w:rPr>
          <w:sz w:val="20"/>
          <w:szCs w:val="20"/>
          <w:color w:val="auto"/>
        </w:rPr>
      </w:pPr>
    </w:p>
    <w:p>
      <w:pPr>
        <w:jc w:val="both"/>
        <w:ind w:left="1060" w:hanging="424"/>
        <w:spacing w:after="0" w:line="261"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Advanced Threat Protection: </w:t>
      </w:r>
      <w:r>
        <w:rPr>
          <w:rFonts w:ascii="Arial" w:cs="Arial" w:eastAsia="Arial" w:hAnsi="Arial"/>
          <w:sz w:val="18"/>
          <w:szCs w:val="18"/>
          <w:color w:val="auto"/>
        </w:rPr>
        <w:t>Our advanced protection solution delivers real-time protection from malicious internet content like browser</w:t>
      </w:r>
      <w:r>
        <w:rPr>
          <w:rFonts w:ascii="Arial" w:cs="Arial" w:eastAsia="Arial" w:hAnsi="Arial"/>
          <w:sz w:val="18"/>
          <w:szCs w:val="18"/>
          <w:b w:val="1"/>
          <w:bCs w:val="1"/>
          <w:color w:val="auto"/>
        </w:rPr>
        <w:t xml:space="preserve"> </w:t>
      </w:r>
      <w:r>
        <w:rPr>
          <w:rFonts w:ascii="Arial" w:cs="Arial" w:eastAsia="Arial" w:hAnsi="Arial"/>
          <w:sz w:val="18"/>
          <w:szCs w:val="18"/>
          <w:color w:val="auto"/>
        </w:rPr>
        <w:t>exploits, scripts, zero-pixel iFrames, malware and botnet callbacks. Over 120,000 unique security updates are performed every day to the Zscaler cloud to keep users protected. Once we detect a new threat to a user, we block it for all users. We call this the “cloud security effect.” Advanced threat protection features include:</w:t>
      </w:r>
    </w:p>
    <w:p>
      <w:pPr>
        <w:spacing w:after="0" w:line="89"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Botnet Protection</w:t>
      </w:r>
      <w:r>
        <w:rPr>
          <w:rFonts w:ascii="Arial" w:cs="Arial" w:eastAsia="Arial" w:hAnsi="Arial"/>
          <w:sz w:val="18"/>
          <w:szCs w:val="18"/>
          <w:color w:val="auto"/>
        </w:rPr>
        <w:t>: protection against botnets that could be secretly installed on user devices to perform malicious tasks at the instruction of command and control servers.</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Malicious Active Content Protection</w:t>
      </w:r>
      <w:r>
        <w:rPr>
          <w:rFonts w:ascii="Arial" w:cs="Arial" w:eastAsia="Arial" w:hAnsi="Arial"/>
          <w:sz w:val="18"/>
          <w:szCs w:val="18"/>
          <w:color w:val="auto"/>
        </w:rPr>
        <w:t>: protection against websites that attempt to download dangerous content to a user’s web browser.</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Fraud Protection</w:t>
      </w:r>
      <w:r>
        <w:rPr>
          <w:rFonts w:ascii="Arial" w:cs="Arial" w:eastAsia="Arial" w:hAnsi="Arial"/>
          <w:sz w:val="18"/>
          <w:szCs w:val="18"/>
          <w:color w:val="auto"/>
        </w:rPr>
        <w:t>: protection against phishing sites that mimic legitimate sites, such as banking and ecommerce sites, in order to steal confidential information.</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Cross-Site Scripting (XSS) Protection</w:t>
      </w:r>
      <w:r>
        <w:rPr>
          <w:rFonts w:ascii="Arial" w:cs="Arial" w:eastAsia="Arial" w:hAnsi="Arial"/>
          <w:sz w:val="18"/>
          <w:szCs w:val="18"/>
          <w:color w:val="auto"/>
        </w:rPr>
        <w:t>: protection against XSS, in which malicious code injected into websites is downloaded to a user’s web browser from compromised web servers.</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Suspicious Destinations Protection</w:t>
      </w:r>
      <w:r>
        <w:rPr>
          <w:rFonts w:ascii="Arial" w:cs="Arial" w:eastAsia="Arial" w:hAnsi="Arial"/>
          <w:sz w:val="18"/>
          <w:szCs w:val="18"/>
          <w:color w:val="auto"/>
        </w:rPr>
        <w:t>: block requests to any country based on ISO3166 mapping of countries to their IP address space. Websites are blocked based on the location of the web server.</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Unauthorized Communication Protection</w:t>
      </w:r>
      <w:r>
        <w:rPr>
          <w:rFonts w:ascii="Arial" w:cs="Arial" w:eastAsia="Arial" w:hAnsi="Arial"/>
          <w:sz w:val="18"/>
          <w:szCs w:val="18"/>
          <w:color w:val="auto"/>
        </w:rPr>
        <w:t>: protection against communications like Internet Relay Chat (IRC) tunneling applications and “anonymizer” sites that are used to bypass firewall access and proxy security controls.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620" w:hanging="538"/>
        <w:spacing w:after="0" w:line="277" w:lineRule="auto"/>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P2P Anonymizer Protection</w:t>
      </w:r>
      <w:r>
        <w:rPr>
          <w:rFonts w:ascii="Arial" w:cs="Arial" w:eastAsia="Arial" w:hAnsi="Arial"/>
          <w:sz w:val="18"/>
          <w:szCs w:val="18"/>
          <w:color w:val="auto"/>
        </w:rPr>
        <w:t>: block anonymizing applications such as Tor, an application that enables users to bypass policies controlling what websites they may visit or internet resources they may access.</w:t>
      </w:r>
    </w:p>
    <w:p>
      <w:pPr>
        <w:spacing w:after="0" w:line="71" w:lineRule="exact"/>
        <w:rPr>
          <w:rFonts w:ascii="Arial" w:cs="Arial" w:eastAsia="Arial" w:hAnsi="Arial"/>
          <w:sz w:val="18"/>
          <w:szCs w:val="18"/>
          <w:color w:val="auto"/>
        </w:rPr>
      </w:pPr>
    </w:p>
    <w:p>
      <w:pPr>
        <w:jc w:val="both"/>
        <w:ind w:left="1060" w:hanging="424"/>
        <w:spacing w:after="0" w:line="258"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Cloud Sandbox: </w:t>
      </w:r>
      <w:r>
        <w:rPr>
          <w:rFonts w:ascii="Arial" w:cs="Arial" w:eastAsia="Arial" w:hAnsi="Arial"/>
          <w:sz w:val="18"/>
          <w:szCs w:val="18"/>
          <w:color w:val="auto"/>
        </w:rPr>
        <w:t>Our cloud sandbox enables enterprises to block zero-day exploits and advanced persistent threats, or APTs, by analyzing</w:t>
      </w:r>
      <w:r>
        <w:rPr>
          <w:rFonts w:ascii="Arial" w:cs="Arial" w:eastAsia="Arial" w:hAnsi="Arial"/>
          <w:sz w:val="18"/>
          <w:szCs w:val="18"/>
          <w:b w:val="1"/>
          <w:bCs w:val="1"/>
          <w:color w:val="auto"/>
        </w:rPr>
        <w:t xml:space="preserve"> </w:t>
      </w:r>
      <w:r>
        <w:rPr>
          <w:rFonts w:ascii="Arial" w:cs="Arial" w:eastAsia="Arial" w:hAnsi="Arial"/>
          <w:sz w:val="18"/>
          <w:szCs w:val="18"/>
          <w:color w:val="auto"/>
        </w:rPr>
        <w:t>unknown files for malicious behavior, and it can scale to every user regardless of location. Our sandbox was designed and built to be multi-tenant and allows customers to determine which traffic should be sent to the cloud sandbox. As an integrated cloud security platform, customers can set policies by users and destinations to prevent patient-zero scenarios by holding, detonating and analyzing suspicious files in the sandbox before being sent to the user.</w:t>
      </w:r>
    </w:p>
    <w:p>
      <w:pPr>
        <w:spacing w:after="0" w:line="89" w:lineRule="exact"/>
        <w:rPr>
          <w:rFonts w:ascii="Arial" w:cs="Arial" w:eastAsia="Arial" w:hAnsi="Arial"/>
          <w:sz w:val="18"/>
          <w:szCs w:val="18"/>
          <w:color w:val="auto"/>
        </w:rPr>
      </w:pPr>
    </w:p>
    <w:p>
      <w:pPr>
        <w:ind w:left="1060" w:hanging="424"/>
        <w:spacing w:after="0" w:line="282"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Anti-Virus: </w:t>
      </w:r>
      <w:r>
        <w:rPr>
          <w:rFonts w:ascii="Arial" w:cs="Arial" w:eastAsia="Arial" w:hAnsi="Arial"/>
          <w:sz w:val="18"/>
          <w:szCs w:val="18"/>
          <w:color w:val="auto"/>
        </w:rPr>
        <w:t>Our anti-virus technology uses a signature database of files and objects on the internet known to be unsafe and runs traffic</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multiple anti-virus engines in a single pass.</w:t>
      </w:r>
    </w:p>
    <w:p>
      <w:pPr>
        <w:spacing w:after="0" w:line="67" w:lineRule="exact"/>
        <w:rPr>
          <w:rFonts w:ascii="Arial" w:cs="Arial" w:eastAsia="Arial" w:hAnsi="Arial"/>
          <w:sz w:val="18"/>
          <w:szCs w:val="18"/>
          <w:color w:val="auto"/>
        </w:rPr>
      </w:pPr>
    </w:p>
    <w:p>
      <w:pPr>
        <w:ind w:left="1060" w:hanging="424"/>
        <w:spacing w:after="0" w:line="282"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DNS Security: </w:t>
      </w:r>
      <w:r>
        <w:rPr>
          <w:rFonts w:ascii="Arial" w:cs="Arial" w:eastAsia="Arial" w:hAnsi="Arial"/>
          <w:sz w:val="18"/>
          <w:szCs w:val="18"/>
          <w:color w:val="auto"/>
        </w:rPr>
        <w:t>Our DNS security blocks access to known malicious sites, including command and control sites, and routes suspicious</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to our threat detection engines for content inspection.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Data Protection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third area of functionality, data protection, prevents unauthorized sharing or exfiltration of confidential information, reducing our customers’ business and compliance risk.</w:t>
      </w:r>
    </w:p>
    <w:p>
      <w:pPr>
        <w:spacing w:after="0" w:line="72" w:lineRule="exact"/>
        <w:rPr>
          <w:sz w:val="20"/>
          <w:szCs w:val="20"/>
          <w:color w:val="auto"/>
        </w:rPr>
      </w:pPr>
    </w:p>
    <w:p>
      <w:pPr>
        <w:jc w:val="both"/>
        <w:ind w:left="1060" w:hanging="424"/>
        <w:spacing w:after="0" w:line="266"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Data Loss Protection: </w:t>
      </w:r>
      <w:r>
        <w:rPr>
          <w:rFonts w:ascii="Arial" w:cs="Arial" w:eastAsia="Arial" w:hAnsi="Arial"/>
          <w:sz w:val="18"/>
          <w:szCs w:val="18"/>
          <w:color w:val="auto"/>
        </w:rPr>
        <w:t>Our data loss protection enables enterprises to use standard or custom dictionaries using efficient pattern-matching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algorithms to easily scale to all users and traffic, including compressed or encrypted traffic, to prevent, monitor or block unauthorized or sensitive data exfiltration.</w:t>
      </w:r>
    </w:p>
    <w:p>
      <w:pPr>
        <w:spacing w:after="0" w:line="81" w:lineRule="exact"/>
        <w:rPr>
          <w:rFonts w:ascii="Arial" w:cs="Arial" w:eastAsia="Arial" w:hAnsi="Arial"/>
          <w:sz w:val="18"/>
          <w:szCs w:val="18"/>
          <w:color w:val="auto"/>
        </w:rPr>
      </w:pPr>
    </w:p>
    <w:p>
      <w:pPr>
        <w:jc w:val="both"/>
        <w:ind w:left="1060" w:hanging="424"/>
        <w:spacing w:after="0" w:line="256"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Cloud Application Control: </w:t>
      </w:r>
      <w:r>
        <w:rPr>
          <w:rFonts w:ascii="Arial" w:cs="Arial" w:eastAsia="Arial" w:hAnsi="Arial"/>
          <w:sz w:val="18"/>
          <w:szCs w:val="18"/>
          <w:color w:val="auto"/>
        </w:rPr>
        <w:t>Our cloud application control allows enterprises to discover and granularly control user access to known and</w:t>
      </w:r>
      <w:r>
        <w:rPr>
          <w:rFonts w:ascii="Arial" w:cs="Arial" w:eastAsia="Arial" w:hAnsi="Arial"/>
          <w:sz w:val="18"/>
          <w:szCs w:val="18"/>
          <w:b w:val="1"/>
          <w:bCs w:val="1"/>
          <w:color w:val="auto"/>
        </w:rPr>
        <w:t xml:space="preserve"> </w:t>
      </w:r>
      <w:r>
        <w:rPr>
          <w:rFonts w:ascii="Arial" w:cs="Arial" w:eastAsia="Arial" w:hAnsi="Arial"/>
          <w:sz w:val="18"/>
          <w:szCs w:val="18"/>
          <w:color w:val="auto"/>
        </w:rPr>
        <w:t>unknown cloud applications. By doing SSL interception at scale, we provide malware protection, data loss prevention and similar Cloud Access Security Broker, or CASB, functions that can be performed inline, for specific sanctioned applications. Business policies can be defined with granular access control for specified cloud applications, such as the ability to upload or download files or post comments or videos based on different user or group identity. We partner with specific CASB vendors to extend their policy controls and visibility of out-of-band cloud applications.</w:t>
      </w:r>
    </w:p>
    <w:p>
      <w:pPr>
        <w:spacing w:after="0" w:line="93" w:lineRule="exact"/>
        <w:rPr>
          <w:rFonts w:ascii="Arial" w:cs="Arial" w:eastAsia="Arial" w:hAnsi="Arial"/>
          <w:sz w:val="18"/>
          <w:szCs w:val="18"/>
          <w:color w:val="auto"/>
        </w:rPr>
      </w:pPr>
    </w:p>
    <w:p>
      <w:pPr>
        <w:ind w:left="1060" w:hanging="424"/>
        <w:spacing w:after="0" w:line="282"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File Type Controls: </w:t>
      </w:r>
      <w:r>
        <w:rPr>
          <w:rFonts w:ascii="Arial" w:cs="Arial" w:eastAsia="Arial" w:hAnsi="Arial"/>
          <w:sz w:val="18"/>
          <w:szCs w:val="18"/>
          <w:color w:val="auto"/>
        </w:rPr>
        <w:t>Our file type control allows policies to be defined that control which file types are allowed to be downloaded and</w:t>
      </w:r>
      <w:r>
        <w:rPr>
          <w:rFonts w:ascii="Arial" w:cs="Arial" w:eastAsia="Arial" w:hAnsi="Arial"/>
          <w:sz w:val="18"/>
          <w:szCs w:val="18"/>
          <w:b w:val="1"/>
          <w:bCs w:val="1"/>
          <w:color w:val="auto"/>
        </w:rPr>
        <w:t xml:space="preserve"> </w:t>
      </w:r>
      <w:r>
        <w:rPr>
          <w:rFonts w:ascii="Arial" w:cs="Arial" w:eastAsia="Arial" w:hAnsi="Arial"/>
          <w:sz w:val="18"/>
          <w:szCs w:val="18"/>
          <w:color w:val="auto"/>
        </w:rPr>
        <w:t>uploaded based on application, user, location and destination.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Zscaler Private Access</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Our ZPA solution was designed to provide secure access to internally managed applications, either hosted internally in data centers, private or public clouds. Our ZPA solution was designed around four key tenants that fundamentally change the way users access internal applications:</w:t>
      </w:r>
    </w:p>
    <w:p>
      <w:pPr>
        <w:spacing w:after="0" w:line="52"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connect users to applications without bringing users on the network;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never expose applications to the internet;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segment access to applications without relying on traditional approach of network segmentation;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remote access over the internet without VPNs.</w:t>
      </w:r>
    </w:p>
    <w:p>
      <w:pPr>
        <w:spacing w:after="0" w:line="22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ZPA solution enforces a global policy engine that manages access to internally managed applications regardless of location. If access is granted to a user, our ZPA solution connects the user’s device only to the authorized application without exposing the identity or location of the application. Hence applications are not exposed to the internet, further limiting threat exposure. This results in reduced cost and complexity, while offering better security and an improved user experience.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ZPA functionality falls in three major areas:</w:t>
      </w:r>
    </w:p>
    <w:p>
      <w:pPr>
        <w:spacing w:after="0" w:line="127" w:lineRule="exact"/>
        <w:rPr>
          <w:sz w:val="20"/>
          <w:szCs w:val="20"/>
          <w:color w:val="auto"/>
        </w:rPr>
      </w:pPr>
    </w:p>
    <w:p>
      <w:pPr>
        <w:jc w:val="both"/>
        <w:ind w:left="1060" w:hanging="424"/>
        <w:spacing w:after="0" w:line="303"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Secure Application Access: </w:t>
      </w:r>
      <w:r>
        <w:rPr>
          <w:rFonts w:ascii="Arial" w:cs="Arial" w:eastAsia="Arial" w:hAnsi="Arial"/>
          <w:sz w:val="16"/>
          <w:szCs w:val="16"/>
          <w:color w:val="auto"/>
        </w:rPr>
        <w:t>Our ZPA solution delivers seamless connectivity to internally managed applications and assets whether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in the cloud, enterprise data center, or both. Administrators can set global policies from a single console, enabling policy-driven access that is agnostic to the network the users are on. By creating seamless access to applications regardless of a user’s network, our ZPA solution subsumes the need for traditional remote access VPNs, SSL VPNs, reverse proxies and other similar products.</w:t>
      </w:r>
    </w:p>
    <w:p>
      <w:pPr>
        <w:spacing w:after="0" w:line="56" w:lineRule="exact"/>
        <w:rPr>
          <w:rFonts w:ascii="Arial" w:cs="Arial" w:eastAsia="Arial" w:hAnsi="Arial"/>
          <w:sz w:val="16"/>
          <w:szCs w:val="16"/>
          <w:color w:val="auto"/>
        </w:rPr>
      </w:pPr>
    </w:p>
    <w:p>
      <w:pPr>
        <w:jc w:val="both"/>
        <w:ind w:left="1060" w:hanging="424"/>
        <w:spacing w:after="0" w:line="290"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Application Segmentation: </w:t>
      </w:r>
      <w:r>
        <w:rPr>
          <w:rFonts w:ascii="Arial" w:cs="Arial" w:eastAsia="Arial" w:hAnsi="Arial"/>
          <w:sz w:val="16"/>
          <w:szCs w:val="16"/>
          <w:color w:val="auto"/>
        </w:rPr>
        <w:t>This fundamentally new architecture provides capabilities that enable user and application level segmentation,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a vast improvement over traditional network segmentation. As each user-to-application connection is segmented with microtunnels, each of which is a temporary session between a specific user and a specific application, lateral movement across the network is prevented which significantly reduces security risk. Similar to CASB application discovery reports for internet applications, our ZPA solution provides granular discovery of internally managed applications to aid the creation of segmentation policies. Because our ZPA solution sits on the application layer and is name or domain-based, organizations can quickly and easily identify the internally-managed applications that are running and then easily provision appropriate policies. Microtunnels subsume the need for internal firewalls, which are required for protecting against lateral malware propagation from machine to machine, and traditional network access control functionality since users are granted access only to applications for which they have permission and are not granted full access to the network.</w:t>
      </w:r>
    </w:p>
    <w:p>
      <w:pPr>
        <w:spacing w:after="0" w:line="65" w:lineRule="exact"/>
        <w:rPr>
          <w:rFonts w:ascii="Arial" w:cs="Arial" w:eastAsia="Arial" w:hAnsi="Arial"/>
          <w:sz w:val="16"/>
          <w:szCs w:val="16"/>
          <w:color w:val="auto"/>
        </w:rPr>
      </w:pPr>
    </w:p>
    <w:p>
      <w:pPr>
        <w:jc w:val="both"/>
        <w:ind w:left="1060" w:hanging="424"/>
        <w:spacing w:after="0" w:line="256"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Application Protection: </w:t>
      </w:r>
      <w:r>
        <w:rPr>
          <w:rFonts w:ascii="Arial" w:cs="Arial" w:eastAsia="Arial" w:hAnsi="Arial"/>
          <w:sz w:val="18"/>
          <w:szCs w:val="18"/>
          <w:color w:val="auto"/>
        </w:rPr>
        <w:t>Our ZPA solution initiates and connects together outbound-only links between authenticated users and internally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applications using microtunnels. Access is provided to users without bringing them onto the corporate network and without exposing applications to the internet. Internally managed applications are not discoverable or identifiable. With no inbound connections and no public IP addresses, there is no inbound attack surface and therefore no threat of DDoS attacks. With our innovative approach, we subsume the need for a next-generation firewall. Similarly, by completely removing the need for an exposed IP address or DNS to the internet, we subsume the functionality of DDoS migration systems.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use cases for our ZPA solution includes:</w:t>
      </w:r>
    </w:p>
    <w:p>
      <w:pPr>
        <w:spacing w:after="0" w:line="131"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VPN replacement;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providing non-employees with secure access to internal applications;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direct-to-cloud access to internally managed applications hosted in public cloud environments, such as Microsoft Azure, Amazon Web Services and Google Cloud Platform;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access to applications following a merger or acquisition by providing named users with access to named applications, without the need to merge networks.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 and Architecture</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Zscaler is driven by technology and innovation. We built a highly scalable, multi-tenant, globally distributed cloud capable of providing inline inspection that offers a full range of enterprise network security services. We designed a purpose-built three-tier architecture starting with our core operating system and adding layers of security and networking innovations over time. Our cloud platform is protected by more than 100 issued and pending patents.</w:t>
      </w:r>
    </w:p>
    <w:p>
      <w:pPr>
        <w:spacing w:after="0" w:line="18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Proprietary multi-tenant global cloud architecture: </w:t>
      </w:r>
      <w:r>
        <w:rPr>
          <w:rFonts w:ascii="Arial" w:cs="Arial" w:eastAsia="Arial" w:hAnsi="Arial"/>
          <w:sz w:val="18"/>
          <w:szCs w:val="18"/>
          <w:color w:val="auto"/>
        </w:rPr>
        <w:t>We developed a highly scalable and fast, proprietary security cloud that provides policy-based access to internet, SaaS and internally managed applications. Our cloud is distributed across more than 100 data centers on five continents. The platform is designed to be resilient, redundant and high-performing. Over the past six months, our platform processed peak daily volume of almost 40 billion requests from users across 185 countries.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platform is built as software modules that run on standard x86 platforms without any dependency on custom hardware. The platform modules are split into the control plane (Zscaler Central Authority), the enforcement plane (Zscaler Enforcement Nodes) and the logging and statistics plane (Zscaler Nanolog Servers)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141605</wp:posOffset>
            </wp:positionV>
            <wp:extent cx="3507740" cy="2195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077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Zscaler Proprietary Multi-Tenant Global Cloud Architecture</w:t>
      </w:r>
    </w:p>
    <w:p>
      <w:pPr>
        <w:spacing w:after="0" w:line="131" w:lineRule="exact"/>
        <w:rPr>
          <w:sz w:val="20"/>
          <w:szCs w:val="20"/>
          <w:color w:val="auto"/>
        </w:rPr>
      </w:pPr>
    </w:p>
    <w:p>
      <w:pPr>
        <w:jc w:val="both"/>
        <w:ind w:left="1060" w:hanging="424"/>
        <w:spacing w:after="0" w:line="289"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Zscaler Central Authority: </w:t>
      </w:r>
      <w:r>
        <w:rPr>
          <w:rFonts w:ascii="Arial" w:cs="Arial" w:eastAsia="Arial" w:hAnsi="Arial"/>
          <w:sz w:val="17"/>
          <w:szCs w:val="17"/>
          <w:color w:val="auto"/>
        </w:rPr>
        <w:t>The Zscaler Central Authority monitors our entire security cloud and provides a central location for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database updates, policy and configuration settings and threat intelligence. The collection of Zscaler Central Authority instances together act like the brain of the cloud, and they are geographically distributed for redundancy and performance.</w:t>
      </w:r>
    </w:p>
    <w:p>
      <w:pPr>
        <w:spacing w:after="0" w:line="63" w:lineRule="exact"/>
        <w:rPr>
          <w:rFonts w:ascii="Arial" w:cs="Arial" w:eastAsia="Arial" w:hAnsi="Arial"/>
          <w:sz w:val="17"/>
          <w:szCs w:val="17"/>
          <w:color w:val="auto"/>
        </w:rPr>
      </w:pPr>
    </w:p>
    <w:p>
      <w:pPr>
        <w:jc w:val="both"/>
        <w:ind w:left="1060" w:hanging="424"/>
        <w:spacing w:after="0" w:line="256"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Zscaler Enforcement Nodes: </w:t>
      </w:r>
      <w:r>
        <w:rPr>
          <w:rFonts w:ascii="Arial" w:cs="Arial" w:eastAsia="Arial" w:hAnsi="Arial"/>
          <w:sz w:val="18"/>
          <w:szCs w:val="18"/>
          <w:color w:val="auto"/>
        </w:rPr>
        <w:t>Customer traffic gets directed to the nearest Zscaler Enforcement Node, where security,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policies served by the Zscaler Central Authority are enforced. The Zscaler Enforcement Node also incorporates our differentiated authentication and policy distribution mechanism that enables any user to connect to any Zscaler Enforcement Node at any time to ensure full policy enforcement. The Zscaler Enforcement Node utilizes a full proxy architecture and is built to ensure data is not written to disk to maintain the highest level of data security. Data is scanned in RAM only and then erased. Logs are continuously created in memory and forwarded to our logging module.</w:t>
      </w:r>
    </w:p>
    <w:p>
      <w:pPr>
        <w:spacing w:after="0" w:line="93" w:lineRule="exact"/>
        <w:rPr>
          <w:rFonts w:ascii="Arial" w:cs="Arial" w:eastAsia="Arial" w:hAnsi="Arial"/>
          <w:sz w:val="18"/>
          <w:szCs w:val="18"/>
          <w:color w:val="auto"/>
        </w:rPr>
      </w:pPr>
    </w:p>
    <w:p>
      <w:pPr>
        <w:jc w:val="both"/>
        <w:ind w:left="1060" w:hanging="424"/>
        <w:spacing w:after="0" w:line="255"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Zscaler Nanolog Servers: </w:t>
      </w:r>
      <w:r>
        <w:rPr>
          <w:rFonts w:ascii="Arial" w:cs="Arial" w:eastAsia="Arial" w:hAnsi="Arial"/>
          <w:sz w:val="18"/>
          <w:szCs w:val="18"/>
          <w:color w:val="auto"/>
        </w:rPr>
        <w:t>Our Nanolog technology is built into the Zscaler Enforcement Node to perform lossless compression of logs,</w:t>
      </w:r>
      <w:r>
        <w:rPr>
          <w:rFonts w:ascii="Arial" w:cs="Arial" w:eastAsia="Arial" w:hAnsi="Arial"/>
          <w:sz w:val="18"/>
          <w:szCs w:val="18"/>
          <w:b w:val="1"/>
          <w:bCs w:val="1"/>
          <w:color w:val="auto"/>
        </w:rPr>
        <w:t xml:space="preserve"> </w:t>
      </w:r>
      <w:r>
        <w:rPr>
          <w:rFonts w:ascii="Arial" w:cs="Arial" w:eastAsia="Arial" w:hAnsi="Arial"/>
          <w:sz w:val="18"/>
          <w:szCs w:val="18"/>
          <w:color w:val="auto"/>
        </w:rPr>
        <w:t>enabling our platform to collect over 30 terabytes of unique raw log data every day. Logs are transmitted to our Nanolog Servers over secure connections and multicast to multiple servers for redundancy. Our dashboards provide visibility into our customer’s traffic to enable troubleshooting, policy changes and other administrative actions. Our analytics capabilities allow customers to interactively mine billions of transaction logs to generate reports that provide insight on network utilization and traffic. We do not rely on batch reporting; we continuously update our dashboards and reporting and can stream logs to a third-party Security Information and Event Management, or SIEM, service as they arrive. Regardless of where users are located, customers can choose to have logs stored in the United States, the European Union or Switzerland.</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Patented core technologies: </w:t>
      </w:r>
      <w:r>
        <w:rPr>
          <w:rFonts w:ascii="Arial" w:cs="Arial" w:eastAsia="Arial" w:hAnsi="Arial"/>
          <w:sz w:val="18"/>
          <w:szCs w:val="18"/>
          <w:color w:val="auto"/>
        </w:rPr>
        <w:t>Our core technologies, protected by more than 100 issued and pending patents, include several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differentiated approaches to difficult technical challenges facing any platform operating at our scale.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Full Inline Inspection and Correlation of Threat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05730" cy="3713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0573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We process almost 40 billion requests per day during peak periods over the past six months.</w:t>
      </w: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Single-Pass, Inline Multi-Action Architecture for Better Security</w:t>
      </w:r>
    </w:p>
    <w:p>
      <w:pPr>
        <w:spacing w:after="0" w:line="131" w:lineRule="exact"/>
        <w:rPr>
          <w:sz w:val="20"/>
          <w:szCs w:val="20"/>
          <w:color w:val="auto"/>
        </w:rPr>
      </w:pPr>
    </w:p>
    <w:p>
      <w:pPr>
        <w:jc w:val="both"/>
        <w:ind w:left="1060" w:hanging="424"/>
        <w:spacing w:after="0" w:line="289"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ByteScan™ Technology: </w:t>
      </w:r>
      <w:r>
        <w:rPr>
          <w:rFonts w:ascii="Arial" w:cs="Arial" w:eastAsia="Arial" w:hAnsi="Arial"/>
          <w:sz w:val="17"/>
          <w:szCs w:val="17"/>
          <w:color w:val="auto"/>
        </w:rPr>
        <w:t>ByteScan provides fast content scanning for detection of malicious sites and content, zero-day attacks and data</w:t>
      </w:r>
      <w:r>
        <w:rPr>
          <w:rFonts w:ascii="Arial" w:cs="Arial" w:eastAsia="Arial" w:hAnsi="Arial"/>
          <w:sz w:val="17"/>
          <w:szCs w:val="17"/>
          <w:b w:val="1"/>
          <w:bCs w:val="1"/>
          <w:color w:val="auto"/>
        </w:rPr>
        <w:t xml:space="preserve"> </w:t>
      </w:r>
      <w:r>
        <w:rPr>
          <w:rFonts w:ascii="Arial" w:cs="Arial" w:eastAsia="Arial" w:hAnsi="Arial"/>
          <w:sz w:val="17"/>
          <w:szCs w:val="17"/>
          <w:color w:val="auto"/>
        </w:rPr>
        <w:t>loss prevention. Our proprietary network stack enables interception of SSL traffic and can be integrated with a customer’s public key infrastructure service, which manages encryption policies. ByteScan does not rely on traditional signature analysis.</w:t>
      </w:r>
    </w:p>
    <w:p>
      <w:pPr>
        <w:spacing w:after="0" w:line="63" w:lineRule="exact"/>
        <w:rPr>
          <w:rFonts w:ascii="Arial" w:cs="Arial" w:eastAsia="Arial" w:hAnsi="Arial"/>
          <w:sz w:val="17"/>
          <w:szCs w:val="17"/>
          <w:color w:val="auto"/>
        </w:rPr>
      </w:pPr>
    </w:p>
    <w:p>
      <w:pPr>
        <w:jc w:val="both"/>
        <w:ind w:left="1060" w:hanging="424"/>
        <w:spacing w:after="0" w:line="258"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SSMA™ Technology: </w:t>
      </w:r>
      <w:r>
        <w:rPr>
          <w:rFonts w:ascii="Arial" w:cs="Arial" w:eastAsia="Arial" w:hAnsi="Arial"/>
          <w:sz w:val="18"/>
          <w:szCs w:val="18"/>
          <w:color w:val="auto"/>
        </w:rPr>
        <w:t>Our Single-Scan, Multi-Action, or SSMA, technology allows inspection engines to scan content in a single pass.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approach is starkly different from the chained model of physical or virtual appliances, whereby each security service independently processes packets, adding incremental latency at each hop. Due to our SSMA technology, our platform is able to apply policy based on a variety of security engines with minimal latency. SSMA also enables our solution to be an extensible platform to add new technologies as security intelligence and research advances.</w:t>
      </w:r>
    </w:p>
    <w:p>
      <w:pPr>
        <w:spacing w:after="0" w:line="89" w:lineRule="exact"/>
        <w:rPr>
          <w:rFonts w:ascii="Arial" w:cs="Arial" w:eastAsia="Arial" w:hAnsi="Arial"/>
          <w:sz w:val="18"/>
          <w:szCs w:val="18"/>
          <w:color w:val="auto"/>
        </w:rPr>
      </w:pPr>
    </w:p>
    <w:p>
      <w:pPr>
        <w:jc w:val="both"/>
        <w:ind w:left="1060" w:hanging="424"/>
        <w:spacing w:after="0" w:line="303"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PageRisk™ Technology: </w:t>
      </w:r>
      <w:r>
        <w:rPr>
          <w:rFonts w:ascii="Arial" w:cs="Arial" w:eastAsia="Arial" w:hAnsi="Arial"/>
          <w:sz w:val="16"/>
          <w:szCs w:val="16"/>
          <w:color w:val="auto"/>
        </w:rPr>
        <w:t>Beyond identifying known or zero-day threats, our PageRisk technology generates a Page Risk Index, which is a</w:t>
      </w:r>
      <w:r>
        <w:rPr>
          <w:rFonts w:ascii="Arial" w:cs="Arial" w:eastAsia="Arial" w:hAnsi="Arial"/>
          <w:sz w:val="16"/>
          <w:szCs w:val="16"/>
          <w:b w:val="1"/>
          <w:bCs w:val="1"/>
          <w:color w:val="auto"/>
        </w:rPr>
        <w:t xml:space="preserve"> </w:t>
      </w:r>
      <w:r>
        <w:rPr>
          <w:rFonts w:ascii="Arial" w:cs="Arial" w:eastAsia="Arial" w:hAnsi="Arial"/>
          <w:sz w:val="16"/>
          <w:szCs w:val="16"/>
          <w:color w:val="auto"/>
        </w:rPr>
        <w:t>dynamically computed risk score based on potential indicators of compromise on objects in a file or a webpage. We dynamically compute the risk of webpage objects inline, checking for threats such as injected scripts, vulnerable ActiveX objects and zero-pixel iFrames, among others, as well as domain information. This ensures that unknown malware on well-reputed sites can be identified before harming users.</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1060" w:hanging="424"/>
        <w:spacing w:after="0" w:line="261"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PolicyNow™ Technology: </w:t>
      </w:r>
      <w:r>
        <w:rPr>
          <w:rFonts w:ascii="Arial" w:cs="Arial" w:eastAsia="Arial" w:hAnsi="Arial"/>
          <w:sz w:val="18"/>
          <w:szCs w:val="18"/>
          <w:color w:val="auto"/>
        </w:rPr>
        <w:t>PolicyNow technology ensures that policies follow the user. Any user of any organization can connect to a node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geography. This provides protection regardless of the user location and also ensures global resiliency for our cloud. Even if multiple data centers lose power or become unavailable, users can connect to the next closest node, and our platform can continue to provide uninterrupted services.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Central point in dynamic cloud ecosystem</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platform is a critical integration point positioned in the data path providing secure access to the internet, cloud and internal applications. We complement and interoperate with key technology vendors across major market segments, including SD-WAN, identity and access management, device and endpoint management, as well as SIEM for reporting and analytics. Many of these vendors, like us, were developed in the cloud and together provide a foundation for a modern access and security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2804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Zscaler is a Critical Integration Partner Positioned in the Data Path</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We sell to enterprises of all sizes. As of July 31, 2017, we had over 2,800 customers, including over 200 of the Forbes Global 2000. Many of our customers include major global enterprises that send virtually all of their internet traffic through our cloud security platform. Our customers operate in a variety of industries, including airlines and transportation, conglomerates consumer goods and retail, financial services, health care, manufacturing, media and communications, public sector and education, technology and telecommunications services. Our customers include all of the top three conglomerates companies, five of the top seven beverage companies, three of the top four oil and gas operations companies, two of the top four apparel and accessories companies, two of the top three specialized chemicals companies and six of the top 12 food retail companies, as categorized by Forbes Inc. in their 2017 ranking of the Global 2000. Approximately 57% of our revenue in fiscal 2015, 56% of our revenue in fiscal 2016 and 54% of our revenue in fiscal 2017 was from customers outside the United States. No customer contributed more than 10% of revenue in fiscal 2015, fiscal 2016 or fiscal 2017.</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case studies are examples of how some of our customers have selected, deployed and benefited from our solutions.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Siemens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C-suite led digital transformation initiative</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Siemens, one of the largest global industrial manufacturing companies and a Zscaler customer since our 2015 fiscal year, is pursuing a digital transformation initiative led by Siemens IT c-suite. The underlying assumption driving the transformation initiative is that the internet will be the next Siemens corporate network, as more applications run in the internet than live on their private network and more traffic goes to the Internet than stays on their private network.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Situation</w:t>
      </w:r>
    </w:p>
    <w:p>
      <w:pPr>
        <w:spacing w:after="0" w:line="131" w:lineRule="exact"/>
        <w:rPr>
          <w:sz w:val="20"/>
          <w:szCs w:val="20"/>
          <w:color w:val="auto"/>
        </w:rPr>
      </w:pPr>
    </w:p>
    <w:p>
      <w:pPr>
        <w:ind w:left="10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High-performance access required for an increasing number of SaaS applications and workloads in Amazon Web Services, Microsoft Azure or other public/private cloud environments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Siemens needed to deliver secure access and apply policy to applications for about 350,000 internal and external employees globally.</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needed to ensure, all traffic flowing between users and applications as well as from cloud to cloud was properly secured, managed, and governed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Benefits of the Zscaler solution</w:t>
      </w:r>
    </w:p>
    <w:p>
      <w:pPr>
        <w:spacing w:after="0" w:line="131" w:lineRule="exact"/>
        <w:rPr>
          <w:sz w:val="20"/>
          <w:szCs w:val="20"/>
          <w:color w:val="auto"/>
        </w:rPr>
      </w:pPr>
    </w:p>
    <w:p>
      <w:pPr>
        <w:ind w:left="106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Internet traffic for about 350,000 Siemens internal and external employees is routed through Zscaler for security and performance optimization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going direct-to-cloud instead of backhauling traffic, Siemens expects to drive down costs by almost 60 percent overall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Siemens gains much higher resiliency with Zscaler by using their state-of-the-art cloud security gateways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Zscaler is playing a key role in Siemens digital transformation initiative, by enabling the secure migration from an on-premises, appliance-based security infrastructure towards cloud-based internet access. In the future, Siemens will explore options to also secure IoT to cloud traffic by using Zscaler.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Kelly Services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Information Officer-led cloud-first initiative</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Kelly Services, a global leader in providing workforce solutions and a Zscaler customer since our 2012 fiscal year, realized that as it embarked on a data center transformation initiative by moving applications to the cloud, it would require a network transformation from a legacy hub-and-spoke network to a modern direct-to-cloud architecture. This network transformation in turn drove the company’s cloud transformation project.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Situation</w:t>
      </w:r>
    </w:p>
    <w:p>
      <w:pPr>
        <w:spacing w:after="0" w:line="131" w:lineRule="exact"/>
        <w:rPr>
          <w:sz w:val="20"/>
          <w:szCs w:val="20"/>
          <w:color w:val="auto"/>
        </w:rPr>
      </w:pPr>
    </w:p>
    <w:p>
      <w:pPr>
        <w:ind w:left="106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Kelly Services was standardizing on Office 365, but realized the service would put a significant strain on its existing hub-and-spoke network and drive up network infrastructure costs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determined that backhauling traffic to a central data center for security and deploying security appliances in all locations would be too expensive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location had disparate network and security products, creating an inability to provide a company-wide security posture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Benefits of the Zscaler solution</w:t>
      </w:r>
    </w:p>
    <w:p>
      <w:pPr>
        <w:spacing w:after="0" w:line="131" w:lineRule="exact"/>
        <w:rPr>
          <w:sz w:val="20"/>
          <w:szCs w:val="20"/>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Routed traffic directly to the internet in hundreds of regional offices to provide fast and secure access to Office 365, cloud applications and internet destinations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Reduced expenses for MPLS services by roughly 60 percent and avoided spending $2.7 million on security appliances to enable direct connections to the internet from regional offices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Provided uniform protection, including SSL inspection, to guard against cyberattacks and delivered a company-wide security posture</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Kelly Services first deployed Zscaler cloud proxy security for over 500 locations around the world and expanded into a full cloud transformation with Zscaler Internet Access and Zscaler Private Access.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Information Security Officer-led network transformation initiative</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AutoNation, America’s largest automotive retailer and a Zscaler customer since our 2015 fiscal year, initially sought to deploy firewalls in more than 360 retail locations, but its engagement with Zscaler developed into a network transformation initiative with Zscaler Internet Access.</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the company adopted more cloud services, AutoNation found that most of its network traffic was internet bound. This shift in traffic, along with the rise in internet-borne threats, led the company to transform its network and security architecture.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Situation</w:t>
      </w:r>
    </w:p>
    <w:p>
      <w:pPr>
        <w:spacing w:after="0" w:line="131" w:lineRule="exact"/>
        <w:rPr>
          <w:sz w:val="20"/>
          <w:szCs w:val="20"/>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AutoNation needed to secure internet traffic for over 26,000 users and internet-connected diagnostic devices in more than 360 retail locations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 limited IT resources, deploying firewalls or Unified Threat Management devices in each store would be too costly, as would routing all internet traffic through the company’s centralized data center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Sought to deploy Office 365 and establish an e-commerce presence using a public cloud vendor, like Microsoft Azure or Amazon Web Services, which would need a fast and secure user experience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Benefits of the Zscaler Solution</w:t>
      </w:r>
    </w:p>
    <w:p>
      <w:pPr>
        <w:spacing w:after="0" w:line="131" w:lineRule="exact"/>
        <w:rPr>
          <w:sz w:val="20"/>
          <w:szCs w:val="20"/>
          <w:color w:val="auto"/>
        </w:rPr>
      </w:pPr>
    </w:p>
    <w:p>
      <w:pPr>
        <w:ind w:left="106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Routed traffic directly to the internet in more than 360 locations for fast and secure access to externally and internally managed cloud applications, while eliminating the cost of deploying and managing security appliances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Immediately realized security benefits with the ability to block command-and-control traffic that was not being caught by the company’s existing antivirus solution</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Simplified IT operations, eliminating the day-to-day management, patching, change control, and lifecycle management of security appliances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Today, AutoNation forwards its internet-bound traffic to the Zscaler cloud and, since its initial deployment of ZIA, has added new services such as Zscaler Cloud Sandbox. The visibility and control offered by Zscaler allows the company to make smart policy decisions that improve user experience, while enabling AutoNation to manage its risk environment.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Although we have a channel sales model, we use a joint sales approach in which our sales force develops relationships directly with our customers, and together with our channel account teams, works with our channel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partners on account penetration, account coordination, sales and overall market development. Our customer care and success teams maintain high-touch relationships with our customers to deploy and manage our cloud platform, identify, analyze and resolve performance issues and respond to security threats. We believe customer service touchpoints are opportunities to further develop our relationship with our customers and potentially generate incremental revenue through the addition of new users and services.</w:t>
      </w:r>
    </w:p>
    <w:p>
      <w:pPr>
        <w:spacing w:after="0" w:line="18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Our channel partners consist of global telecommunications service provider, system integrator and value-added reseller partners, and we leverage their relationships to expand our reach, improve procurement and accelerate customer fulfillment. Representative channel partners include:</w:t>
      </w:r>
    </w:p>
    <w:p>
      <w:pPr>
        <w:spacing w:after="0" w:line="29" w:lineRule="exact"/>
        <w:rPr>
          <w:sz w:val="20"/>
          <w:szCs w:val="20"/>
          <w:color w:val="auto"/>
        </w:rPr>
      </w:pPr>
    </w:p>
    <w:p>
      <w:pPr>
        <w:ind w:left="106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Telecommunications Service Providers: BT Telecommunications plc, Deutsche Telekom AG, Orange S.A. and Verizon Communications Inc.</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System Integrators: Deloitte LLP and HCL America, Inc.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Value-Added Resellers: CDW Logistics, Inc. and SHI International Corp.</w:t>
      </w:r>
    </w:p>
    <w:p>
      <w:pPr>
        <w:spacing w:after="0" w:line="225"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Sales through our top five channel partners and their affiliates, in aggregate, represented 40%, 46% and 47% of our revenue for fiscal 2015, 2016 and 2017, respectively, and 48% and 42% of our revenue for the six months ended January 31, 2017 and 2018, respectively. We enter into agreements with our channel partners in the ordinary course of business. The contracts typically have a one-year term and renew automatically, subject to cancellation by either party upon 90 days’ notice. These agreements contain standard commercial terms and conditions, including payment terms, billing frequency, warranties and indemnification. Our channel partners generally place purchase orders with us after receiving orders from customers. We generally maintain privity of contract with customers through end user subscription agreements.</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to continue investing in our channel partners as we provide them with education, training and programs, including supporting their independent sales of our solutions. We believe that such investment, and investments in our sales force, will lead to significant expansion in our customer base, which will materially impact our business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marketing strategy is focused on platform and brand awareness, which drives our opportunity pipeline and customer demand. This strategy is account-based, enabling us to pursue targeted marketing activities across both digital and non-digital channels. We anticipate increasing our marketing team headcount and are investing in programs designed to elevate our brand in the market and engage new enterprise accounts. We also participate in a number of cloud and security industry events. In addition, we have a deeply integrated ecosystem of channel partners, with whom we engage in joint marketing activities.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Data Center Operations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operate our services across more than 100 data centers around the world, which are built to be highly resilient, have multiple levels of redundancy and provide failover to other data centers in our network. Our data centers are co-located within top-tier internet interconnection hubs that have direct connectivity, known as peering, to major telecommunication service providers, SaaS providers, public cloud providers, internet content providers and popular internet destinations. A number of our data centers are also located with our service provider partners. Our platform has received ISO 27001 certification since 2014.</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research and development organization is responsible for the design, architecture, operation and quality of our cloud platform. In addition to improving on our features, functionality and scalability, this organization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works closely with our cloud operations team to ensure that our platform is available, reliable and stable. ThreatLabZ, our internal team of security experts, researchers and network engineers, analyzes the global threat landscape, works to eliminate threats across our cloud platform and reports on emerging security issues.</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Research and development expense was $15.0 million, $20.9 million and $33.6 million for fiscal 2015, 2016 and 2017, respectively, and $17.2 million and $18.0 million for the six months ended January 31, 2017 and 2018, respectively. Our research and development leadership team is based in San Jose, California, and we also maintain research and development centers in India and Canada. We plan to continue to dedicate significant resources to research and development.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market for security solutions is defined by changing technologies, an evolving threat landscape and complex enterprise needs. Our competitors and potential competitors include legacy on-premises appliance vendors across a number of categories:</w:t>
      </w:r>
    </w:p>
    <w:p>
      <w:pPr>
        <w:spacing w:after="0" w:line="76" w:lineRule="exact"/>
        <w:rPr>
          <w:sz w:val="20"/>
          <w:szCs w:val="20"/>
          <w:color w:val="auto"/>
        </w:rPr>
      </w:pPr>
    </w:p>
    <w:p>
      <w:pPr>
        <w:ind w:left="10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independent IT security vendors, such as Check Point Software Technologies Ltd., Fortinet, Inc., Palo Alto Networks, Inc. and Symantec Corporation, which offer a broad mix of network and endpoint security products;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large networking vendors, such as Cisco Systems, Inc. and Juniper Networks, Inc., which offer security appliances and incorporate security capabilities in their networking products;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companies such as FireEye, Inc., Forcepoint Inc. (previously, Websense, Inc.), F5 Networks, Inc. and Pulse Secure, LLC with point solutions that compete with some of the features of our cloud platform, such as proxy, firewall, sandboxing and advanced threat protection, data loss prevention, encryption, load balancing and VPN; and</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providers of IT security services that offer, or may leverage related technologies to introduce, products that compete with or are alternatives to our cloud platform.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competitive factors in the markets in which we operate include:</w:t>
      </w:r>
    </w:p>
    <w:p>
      <w:pPr>
        <w:spacing w:after="0" w:line="131" w:lineRule="exact"/>
        <w:rPr>
          <w:sz w:val="20"/>
          <w:szCs w:val="20"/>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delivering security from the cloud regardless of location of the user;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platform features, effectiveness and extensibility;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platform reliability, availability and scalability;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rapid development and delivery of new capabilities and services;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ability to integrate with other participants in the security and networking ecosystem;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price, total cost of ownership and network cost savings;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brand awareness, reputation and trust in the provider’s services;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strength of sales, marketing and channel partner relationships;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quality of customer support.</w:t>
      </w:r>
    </w:p>
    <w:p>
      <w:pPr>
        <w:spacing w:after="0" w:line="225"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We believe we are positioned favorably against our competitors based on these factors. Our cloud platform integrates many of the point products offered by our competitors and potential competitors, which is a key differentiator. However, many of our competitors have substantially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users from purchasing our services, including through selling at zero or negative margins, offering concessions, product bundling or maintaining closed technology platforms. Further, many organizations have invested substantial personnel and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financial resources to design and operate their appliance-based network security architecture, and may not be willing or ready to abandon those historical investments. As our market grows and rapidly changes, we expect it will continue to attract new companies, including smaller emerging companies, which could introduce new products and services. In addition, we may expand into new markets and encounter additional competitors in such markets.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Our success depends in part upon our ability to protect and use our core technology and intellectual property rights. We rely on a combination of patents, copyrights, trademarks, trade secret laws, contractual provisions and confidentiality procedures to protect our intellectual property rights. As of January 31, 2018, we had over 100 total issued and pending patents, including in excess of 60 issued patents, in the United States and other countries. Our issued patents expire between 2028 and 2035 and cover various aspects of our cloud platform. In addition, we have registered “Zscaler” as a trademark in the United States and other jurisdictions, and we have filed other trademark applications in the United States. We are also the registered holder of a variety of domestic and international domain names that include “Zscaler” and similar variations. In addition to the protection provided by our intellectual property rights, we enter into confidentiality and invention assignment or similar agreements with our employees, consultants and contractors. We further control the use of our proprietary technology and intellectual property rights through provisions in our subscription and license agreements. Despite our efforts to protect our trade secrets and proprietary rights through intellectual property rights, licenses and confidentiality agreements, unauthorized parties may still copy or otherwise obtain and use our software and technology. In addition to our internally developed technology, we also license software, including open source software, from third parties that we integrate into or bundle with our cloud platform.</w:t>
      </w:r>
    </w:p>
    <w:p>
      <w:pPr>
        <w:spacing w:after="0" w:line="173"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based on allegations of patent infringement or other violations of intellectual property rights. We believe that competitors will try to develop products and services that are similar to ours and that may infringe our intellectual property rights. Our competitors or other third-parties may also claim that our platform infringes their intellectual property rights. In particular, leading companies in our industry have extensive patent portfolios. From time to time, third parties, including certain of these leading companies and non-practicing entities, have in the past and may in the future assert claims of infringement, misappropriation and other violations of intellectual property rights against us or our customers or channel partners, with whom our license or other agreements may obligate us to indemnify against these claims. Successful claims of infringement by a third-party could prevent us from offering certain services or features, require us to develop alternate, non-infringing technology, which could require significant time and during which we could be unable to continue to offer our affected subscriptions or services, require us to obtain a license, which may not be available on reasonable terms or at all, or force us to pay substantial damages, royalties or other fees. As we face increasing competition and gain an increasingly higher profile, including as a result of becoming a public company, the possibility of intellectual property rights claims against us grows. We cannot assure you that we do not currently infringe, or that we will not in the future infringe, upon any third-party patents or other proprietary rights. See “Risk Factors—Claims by others that we infringe their proprietary technology or other rights, or other lawsuits asserted against us, could result in significant costs and substantially harm our business, financial condition, results of operations and prospects” for additional information.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corporate headquarters are located in San Jose, California, where we currently lease approximately 56,000 square feet of space under lease agreements that expire in 2021. We also maintain offices in Atlanta, Georgia; Austin, Texas; New York, New York; Raleigh, North Carolina; Reno, Nevada; and Reston, Virginia, as well as multiple locations internationally, including in Australia, Canada, France, Germany, India, Japan, the Netherlands, Singapore and the United Kingdom. We lease all of our facilities and do not own any real property. We expect to add facilities as we grow our employee base and expand geographically. We believe that our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facilities are adequate to meet our needs for the immediate future and that, should it be needed, suitable additional space will be available to accommodate expansion of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had approximately 950 employees worldwide as of January 31, 2018. None of our employees in the United States is represented by a labor organization or is a party to any collective bargaining arrangement.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Symantec</w:t>
      </w:r>
    </w:p>
    <w:p>
      <w:pPr>
        <w:spacing w:after="0" w:line="11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We are currently involved in legal proceedings with Symantec Corporation, or Symantec. On December 12, 2016, Symantec filed a complaint, which we refer to as Symantec Case 1, in the U.S. District Court for the District of Delaware alleging that “Zscaler’s cloud security platform” infringes U.S. Patent Nos. 6,279,113, 7,203,959, or the ’959 patent, 7,246,227, or the ’227 patent, 7,392,543, 7,735,116, or the ’116 patent, 8,181,036 and 8,661,498. The complaint seeks compensatory damages, an injunction, enhanced damages and attorney fees. We believe our technology does not infringe Symantec’s asserted patents and that Symantec’s patents are invalid. We have filed a motion to dismiss the ’959, ’227 and certain claims of the ’116 patents as invalid based on unpatentable subject matter. On August 2, 2017, the court granted our motion to transfer Symantec Case 1 from the District of Delaware to the Northern District of California. The Markman claim construction hearing for Symantec Case 1 is scheduled for June 19, 2018.</w:t>
      </w:r>
    </w:p>
    <w:p>
      <w:pPr>
        <w:spacing w:after="0" w:line="19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On April 18, 2017, Symantec filed a second complaint, which we refer to as Symantec Case 2, in the U.S. District Court for the District of Delaware alleging that “Zscaler’s cloud security platform” infringes U.S. Patent Nos. 6,285,658, or the ’658 patent, 7,360,249, 7,587,488, or the ’488 patent, 8,316,429, or the ’429 patent, 8,316,446, or the ’446 patent, 8,402,540 and 9,525,696. The complaint seeks compensatory damages, an injunction, enhanced damages and attorney fees.</w:t>
      </w:r>
    </w:p>
    <w:p>
      <w:pPr>
        <w:spacing w:after="0" w:line="18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On June 22, 2017, Symantec filed a notice of voluntary dismissal of its complaint in Symantec Case 2 along with a new complaint alleging infringement of the same patents. In the new complaint in Symantec Case 2, Symantec added Symantec Limited as a plaintiff and also alleged willful infringement of the ’429 and ’446 patents. We believe our technology does not infringe Symantec’s asserted patents and that Symantec’s patents are invalid. We have filed a motion to dismiss the ’658, ’429, ’446 and ’488 patents as invalid based on unpatentable subject matter. On July 31, 2017, the court granted our motion to transfer Symantec Case 2 from the District of Delaware to the Northern District of California. The Markman claim construction hearing for Symantec Case 2 is scheduled for March 19, 2019.</w:t>
      </w:r>
    </w:p>
    <w:p>
      <w:pPr>
        <w:spacing w:after="0" w:line="193"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We have also received letters from Symantec alleging that our “cloud security platform” infringes U.S. Patent Nos. 7,031,327, 7,496,661, 7,543,036 and 7,624,110. We believe that our technology does not infringe Symantec’s asserted patents and that these patents are invalid.</w:t>
      </w:r>
    </w:p>
    <w:p>
      <w:pPr>
        <w:spacing w:after="0" w:line="14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Should Symantec prevail with its infringement allegations, we could be required to pay substantial damages for past and future sales and/or licensing of our services, enjoined from making, using, selling or otherwise disposing of our services if a license or other right to continue selling our services is not made available to us, and required to pay substantial ongoing royalties and comply with unfavorable terms if such a license is made available to us. Any of these outcomes could result in a material adverse effect on our business. Even if we were to prevail, this litigation could be costly and time-consuming, divert the attention of our management and key personnel from our business operations, deter distributors from selling or licensing our services, and dissuade potential customers from purchasing our services, which would also materially harm our business. The expense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of litigation and the timing of this expense from period to period are difficult to estimate, subject to change and could adversely affect our results of operations. In addition, any public announcements of the results of any proceedings in Symantec Case 1 or Case 2 could be negatively perceived by industry or financial analysts and investors, and could cause our stock price to experience volatility or decline.</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not recorded a liability with respect to Symantec Case 1 or Case 2 based on our determination that a loss in either case is not probable under the applicable accounting standards.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are vigorously defending Symantec Case 1 and Case 2. Given the early stage in the litigation, we are unable to predict the likelihood of success of Symantec’s infringement claims.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Finjan</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are currently involved in legal proceedings with Finjan. On December 5, 2017, Finjan filed a complaint, in the U.S. District Court for the Northern District of California alleging that Zscaler’s “Internet Access Bundles,” “Private Access Bundle,” “Zscaler Enforcement Node,” “Secure Web Gateway,” “Cloud Firewall,” “Cloud Sandbox” and “Cloud Architecture products and services” infringe U.S. Patent Nos. 6,804,780, 7,647,633, 8,677,494 and 7,975,305. The complaint seeks compensatory damages, an injunction, enhanced damages and attorney fees.</w:t>
      </w:r>
    </w:p>
    <w:p>
      <w:pPr>
        <w:spacing w:after="0" w:line="17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Should Finjan prevail with its infringement allegations, we could be required to pay substantial damages for past and future sales and/or licensing of our services, enjoined from making, using, selling or otherwise disposing of our services if a license or other right to continue selling our services is not made available to us, and required to pay substantial ongoing royalties and comply with unfavorable terms if such a license is made available to us. Any of these outcomes could result in a material adverse effect on our business. Even if we were to prevail, this litigation could be costly and time-consuming, divert the attention of our management and key personnel from our business operations, deter distributors from selling or licensing our services, and dissuade potential customers from purchasing our services, which would also materially harm our business. The expense of litigation and the timing of this expense from period to period are difficult to estimate, subject to change and could adversely affect our results of operations. In addition, any public announcements of the results of any proceedings in this matter could be negatively perceived by industry or financial analysts and investors, and could cause our stock price to experience volatility or decline.</w:t>
      </w:r>
    </w:p>
    <w:p>
      <w:pPr>
        <w:spacing w:after="0" w:line="18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While the range of potential loss resulting from the lawsuit cannot be reasonably estimated, we have accrued a total liability of $3.2 million as of January 31, 2018 related to past negotiations with Finjan.</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intend to vigorously pursue our defenses. Given the early stage in the litigation, we are unable to predict the likelihood of success of Finjan’s infringement claims.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In addition, from time to time we are a party to various litigation matters and subject to claims that arise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Except as otherwise described above, there is no pending or threatened legal proceeding to which we are a party that, in our opinion, is likely to have a material adverse effect on our future financial results or operations; however, the results of litigation and claims are inherently unpredictable. Regardless of the outcome, litigation can have an adverse impact on us because of defense and settlement costs, diversion of management resources and other factors. The expense of litigation and the timing of this expense from period to period are difficult to estimate, subject to change and could adversely affect our results of operations.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January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Age</w:t>
            </w:r>
          </w:p>
        </w:tc>
        <w:tc>
          <w:tcPr>
            <w:tcW w:w="652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color w:val="auto"/>
              </w:rPr>
              <w:t>Jay Chaudhry</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Manoj Apte, Ph.D.</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Strategy Officer</w:t>
            </w: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color w:val="auto"/>
              </w:rPr>
              <w:t>Remo Canessa</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Schlossman</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r>
        <w:trPr>
          <w:trHeight w:val="269"/>
        </w:trPr>
        <w:tc>
          <w:tcPr>
            <w:tcW w:w="3020" w:type="dxa"/>
            <w:vAlign w:val="bottom"/>
            <w:gridSpan w:val="3"/>
          </w:tcPr>
          <w:p>
            <w:pPr>
              <w:spacing w:after="0"/>
              <w:rPr>
                <w:sz w:val="20"/>
                <w:szCs w:val="20"/>
                <w:color w:val="auto"/>
              </w:rPr>
            </w:pPr>
            <w:r>
              <w:rPr>
                <w:rFonts w:ascii="Arial" w:cs="Arial" w:eastAsia="Arial" w:hAnsi="Arial"/>
                <w:sz w:val="18"/>
                <w:szCs w:val="18"/>
                <w:color w:val="auto"/>
              </w:rPr>
              <w:t>Amit Sinha, Ph.D.</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Chief Technology Officer, Executive Vice President of Engineering and Cloud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Operations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Welch</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Lane Bess</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color w:val="auto"/>
              </w:rPr>
              <w:t>Karen Blasing</w:t>
            </w:r>
            <w:r>
              <w:rPr>
                <w:rFonts w:ascii="Arial" w:cs="Arial" w:eastAsia="Arial" w:hAnsi="Arial"/>
                <w:sz w:val="15"/>
                <w:szCs w:val="15"/>
                <w:color w:val="auto"/>
              </w:rPr>
              <w:t>(1)(2)</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Brown</w:t>
            </w:r>
            <w:r>
              <w:rPr>
                <w:rFonts w:ascii="Arial" w:cs="Arial" w:eastAsia="Arial" w:hAnsi="Arial"/>
                <w:sz w:val="15"/>
                <w:szCs w:val="15"/>
                <w:color w:val="auto"/>
              </w:rPr>
              <w:t>(1)(2)</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color w:val="auto"/>
              </w:rPr>
              <w:t>Scott Darling</w:t>
            </w:r>
            <w:r>
              <w:rPr>
                <w:rFonts w:ascii="Arial" w:cs="Arial" w:eastAsia="Arial" w:hAnsi="Arial"/>
                <w:sz w:val="15"/>
                <w:szCs w:val="15"/>
                <w:color w:val="auto"/>
              </w:rPr>
              <w:t>(3)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Giancarlo</w:t>
            </w:r>
            <w:r>
              <w:rPr>
                <w:rFonts w:ascii="Arial" w:cs="Arial" w:eastAsia="Arial" w:hAnsi="Arial"/>
                <w:sz w:val="15"/>
                <w:szCs w:val="15"/>
                <w:color w:val="auto"/>
              </w:rPr>
              <w:t>(2)(3)</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20" w:type="dxa"/>
            <w:vAlign w:val="bottom"/>
            <w:gridSpan w:val="3"/>
          </w:tcPr>
          <w:p>
            <w:pPr>
              <w:spacing w:after="0"/>
              <w:rPr>
                <w:sz w:val="20"/>
                <w:szCs w:val="20"/>
                <w:color w:val="auto"/>
              </w:rPr>
            </w:pPr>
            <w:r>
              <w:rPr>
                <w:rFonts w:ascii="Arial" w:cs="Arial" w:eastAsia="Arial" w:hAnsi="Arial"/>
                <w:sz w:val="18"/>
                <w:szCs w:val="18"/>
                <w:color w:val="auto"/>
              </w:rPr>
              <w:t>Nehal Raj</w:t>
            </w:r>
            <w:r>
              <w:rPr>
                <w:rFonts w:ascii="Arial" w:cs="Arial" w:eastAsia="Arial" w:hAnsi="Arial"/>
                <w:sz w:val="15"/>
                <w:szCs w:val="15"/>
                <w:color w:val="auto"/>
              </w:rPr>
              <w:t>(1)(3)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39</w:t>
            </w: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our audit committee.</w:t>
      </w:r>
    </w:p>
    <w:p>
      <w:pPr>
        <w:ind w:left="520" w:hanging="316"/>
        <w:spacing w:after="0" w:line="221" w:lineRule="auto"/>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our compensation committee.</w:t>
      </w:r>
    </w:p>
    <w:p>
      <w:pPr>
        <w:ind w:left="520" w:hanging="316"/>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our nominating and corporate governance committee.</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Jagtar S. (Jay) Chaudhry. </w:t>
      </w:r>
      <w:r>
        <w:rPr>
          <w:rFonts w:ascii="Arial" w:cs="Arial" w:eastAsia="Arial" w:hAnsi="Arial"/>
          <w:sz w:val="18"/>
          <w:szCs w:val="18"/>
          <w:color w:val="auto"/>
        </w:rPr>
        <w:t>Mr. Chaudhry is our co-founder and has served as our president, chief executive officer and as chairman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since September 2007. Mr. Chaudhry holds a Master of Business Administration and a Master of Science in electrical engineering and industrial engineering from the University of Cincinnati and a Bachelor of Technology in electronics engineering from the Indian Institute of Technology (Banaras Hindu University) Varanasi. Mr. Chaudhry also completed the executive management program at Harvard University. We believe Mr. Chaudhry is qualified to serve as a member of our board of directors because he is a security industry pioneer and an accomplished entrepreneur, having founded and built several companies, and based on the perspective, operational insight and expertise he has accumulated as our co-founder and our chief executive officer.</w:t>
      </w:r>
    </w:p>
    <w:p>
      <w:pPr>
        <w:spacing w:after="0" w:line="189"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b w:val="1"/>
          <w:bCs w:val="1"/>
          <w:i w:val="1"/>
          <w:iCs w:val="1"/>
          <w:color w:val="auto"/>
        </w:rPr>
        <w:t xml:space="preserve">Manoj Apte, Ph.D. </w:t>
      </w:r>
      <w:r>
        <w:rPr>
          <w:rFonts w:ascii="Arial" w:cs="Arial" w:eastAsia="Arial" w:hAnsi="Arial"/>
          <w:sz w:val="17"/>
          <w:szCs w:val="17"/>
          <w:color w:val="auto"/>
        </w:rPr>
        <w:t>Dr. Apte has served as our senior vice president and as our chief strategy officer since September 2016. Prior to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chief strategy officer, Dr. Apte served as our vice president of product management from September 2008. Dr. Apte has a Doctor of Philosophy in computer science from Mississippi State University, a Master of Science in computational engineering from Mississippi State University and a Bachelor of Technology in aerospace engineering from the Indian Institute of Technology, Bombay.</w:t>
      </w:r>
    </w:p>
    <w:p>
      <w:pPr>
        <w:spacing w:after="0" w:line="17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Remo E. Canessa. </w:t>
      </w:r>
      <w:r>
        <w:rPr>
          <w:rFonts w:ascii="Arial" w:cs="Arial" w:eastAsia="Arial" w:hAnsi="Arial"/>
          <w:sz w:val="18"/>
          <w:szCs w:val="18"/>
          <w:color w:val="auto"/>
        </w:rPr>
        <w:t>Mr. Canessa has served as our chief financial officer since February 2017. Prior to joining us, he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Illumio Inc., a private cybersecurity company, from July 2016 to February 2017. Prior to joining Illumio, from October 2004 to April 2016, Mr. Canessa served as chief financial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officer and an advisor to Infoblox Inc., a network control, network automation and domain name system security company. Mr. Canessa is a certified public accountant (inactive), and he holds a Bachelor of Arts in economics from the University of California, Berkeley and a Master of Business Administration from Santa Clara University. Mr. Canessa serves on the board of directors of Aerohive Networks, Inc., a cloud-managed mobile networking platform provider, where he is chairman of the audit committee and a member of the compensation committee.</w:t>
      </w:r>
    </w:p>
    <w:p>
      <w:pPr>
        <w:spacing w:after="0" w:line="17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Robert Schlossman. </w:t>
      </w:r>
      <w:r>
        <w:rPr>
          <w:rFonts w:ascii="Arial" w:cs="Arial" w:eastAsia="Arial" w:hAnsi="Arial"/>
          <w:sz w:val="18"/>
          <w:szCs w:val="18"/>
          <w:color w:val="auto"/>
        </w:rPr>
        <w:t>Mr. Schlossman has served as our chief legal officer since February 2016. Prior to joining us, he served as the chief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at Lucid Motors Inc., an electric car company, from May 2015 to January 2016. Prior to joining Lucid Motors, from March 2010 to August 2014, Mr. Schlossman served as the chief legal and administrative officer at Aptina Inc., a provider of imaging solutions, which was acquired by ON Semiconductor Corporation. Mr. Schlossman holds a Juris Doctor from the University of California, Berkeley School of Law, as well as a Master of Arts and Bachelor of Arts in English from Stanford University.</w:t>
      </w:r>
    </w:p>
    <w:p>
      <w:pPr>
        <w:spacing w:after="0" w:line="188"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b w:val="1"/>
          <w:bCs w:val="1"/>
          <w:i w:val="1"/>
          <w:iCs w:val="1"/>
          <w:color w:val="auto"/>
        </w:rPr>
        <w:t xml:space="preserve">Amit Sinha, Ph.D. </w:t>
      </w:r>
      <w:r>
        <w:rPr>
          <w:rFonts w:ascii="Arial" w:cs="Arial" w:eastAsia="Arial" w:hAnsi="Arial"/>
          <w:sz w:val="17"/>
          <w:szCs w:val="17"/>
          <w:color w:val="auto"/>
        </w:rPr>
        <w:t>Dr. Sinha has served as our chief technology officer since December 2010, and he has also served as our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engineering and cloud operations since October 2013. He has served as a member of our board of directors since May 2017. Dr. Sinha holds a Doctor of Philosophy and Master of Science in electrical engineering and computer science from the Massachusetts Institute of Technology, and a Bachelor of Technology in electrical engineering from the Indian Institute of Technology, Delhi. We believe Dr. Sinha is qualified to serve as a member of our board of directors because he has more than 15 years of experience as an architect and technical manager in the networking and security industries and because of the operational insight and expertise he has accumulated as our chief technology officer.</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William Welch. </w:t>
      </w:r>
      <w:r>
        <w:rPr>
          <w:rFonts w:ascii="Arial" w:cs="Arial" w:eastAsia="Arial" w:hAnsi="Arial"/>
          <w:sz w:val="18"/>
          <w:szCs w:val="18"/>
          <w:color w:val="auto"/>
        </w:rPr>
        <w:t>Mr. Welch has served as our chief operating officer since January 2017. Prior to his appointment as our chief operating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Welch served as our chief revenue officer beginning in January 2015. Prior to joining us, he served as vice president and general manager of Hewlett Packard Enterprise Company’s Americas Software division from December 2012 to December 2014. Mr. Welch holds a Bachelor of Science in finance and political science from LaSalle University.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b w:val="1"/>
          <w:bCs w:val="1"/>
          <w:i w:val="1"/>
          <w:iCs w:val="1"/>
          <w:color w:val="auto"/>
        </w:rPr>
        <w:t xml:space="preserve">Lane Bess. </w:t>
      </w:r>
      <w:r>
        <w:rPr>
          <w:rFonts w:ascii="Arial" w:cs="Arial" w:eastAsia="Arial" w:hAnsi="Arial"/>
          <w:sz w:val="16"/>
          <w:szCs w:val="16"/>
          <w:color w:val="auto"/>
        </w:rPr>
        <w:t>Mr. Bess has served as a member of our board of directors since May 2011. Mr. Bess has served as principal and founder of Bess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and Advisory, LLC, a strategic management, investment and marketing services firm, since February 2015. Prior to founding Bess Ventures and Advisory, Mr. Bess served as our chief operating officer from May 2011 to February 2015. From 2008 to 2010, Mr. Bess was chief executive officer of Palo Alto Networks, Inc. Mr. Bess holds a Bachelor of Science in managerial economics from Carnegie Mellon University and a Master of Business Administration from the University of Dayton. We believe Mr. Bess is qualified to serve as a member of our board of directors based on his extensive experience in building and leading technology businesses and the operational insight and expertise he accumulated as our chief operating officer.</w:t>
      </w:r>
    </w:p>
    <w:p>
      <w:pPr>
        <w:spacing w:after="0" w:line="165"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b w:val="1"/>
          <w:bCs w:val="1"/>
          <w:i w:val="1"/>
          <w:iCs w:val="1"/>
          <w:color w:val="auto"/>
        </w:rPr>
        <w:t xml:space="preserve">Karen Blasing. </w:t>
      </w:r>
      <w:r>
        <w:rPr>
          <w:rFonts w:ascii="Arial" w:cs="Arial" w:eastAsia="Arial" w:hAnsi="Arial"/>
          <w:sz w:val="16"/>
          <w:szCs w:val="16"/>
          <w:color w:val="auto"/>
        </w:rPr>
        <w:t>Ms. Blasing has served as a member of our board of directors since January 2017. Ms. Blasing served as the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Guidewire Software, Inc. from 2009 to March 2015. Prior to 2009, Ms. Blasing served as the chief financial officer for Force10 Networks, Inc. and as the senior vice president of finance for salesforce.com, and she also served as chief financial officer for Nuance Communications, Inc. and Counterpane Internet Security, Inc. and held senior finance roles for Informix Corporation (now IBM Informix) and Oracle Corporation. Ms. Blasing currently sits on the board of directors of Ellie Mae, Inc., a provider of on-demand software solutions and services for the residential mortgage industry in the United States. Ms. Blasing holds a Bachelor of Arts in economics and business administration from the University of Montana and a Master of Business Administration from the University of Washington. We believe Ms. Blasing is qualified to serve as a member of our board of directors based on her extensive financial leadership and management experience at numerous SaaS and enterprise software companies.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Andrew Brown. </w:t>
      </w:r>
      <w:r>
        <w:rPr>
          <w:rFonts w:ascii="Arial" w:cs="Arial" w:eastAsia="Arial" w:hAnsi="Arial"/>
          <w:sz w:val="17"/>
          <w:szCs w:val="17"/>
          <w:color w:val="auto"/>
        </w:rPr>
        <w:t>Mr. Brown has served as a member of our board of directors since October 2015. Mr. Brown has served as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Sand Hill East LLC, a strategic management, investment and marketing services firm, since February 2014. Since 2006, he has also been the chief executive officer and co-owner of Biz Tectonics LLC, a privately held consulting company. From September 2010 to October 2013, Mr. Brown served as group chief technology officer of UBS Securities LLC, an investment bank. From 2008 to 2010, Mr. Brown served as head of strategy, architecture and optimization at Bank of America Merrill Lynch, the corporate and investment banking division of Bank of America. From 2006 to 2008, Mr. Brown served as chief technology officer of infrastructure at Credit Suisse Securities (USA) LLC. Mr. Brown currently sits on the board of directors of Guidewire Software, Inc., a provider of software products for property and casualty insurers, where he serves as a member of the compensation committee. Mr. Brown holds a Bachelor of Science (Honors) in chemical physics from University College London. We believe Mr. Brown is qualified to serve as a member of our board of directors based on his extensive experience as chief technology officer of multiple Fortune 500 companies, as well as his service on the board of directors of other publicly held companies.</w:t>
      </w:r>
    </w:p>
    <w:p>
      <w:pPr>
        <w:spacing w:after="0" w:line="178"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b w:val="1"/>
          <w:bCs w:val="1"/>
          <w:i w:val="1"/>
          <w:iCs w:val="1"/>
          <w:color w:val="auto"/>
        </w:rPr>
        <w:t xml:space="preserve">Scott Darling. </w:t>
      </w:r>
      <w:r>
        <w:rPr>
          <w:rFonts w:ascii="Arial" w:cs="Arial" w:eastAsia="Arial" w:hAnsi="Arial"/>
          <w:sz w:val="16"/>
          <w:szCs w:val="16"/>
          <w:color w:val="auto"/>
        </w:rPr>
        <w:t>Mr. Darling has served as a member of our board of directors since November 2016. Mr. Darling has served as president of Dell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Capital, the corporate development and venture capital arm of Dell Technologies Inc., since September 2016. Prior to joining Dell Technologies upon its acquisition of EMC Corp., Mr. Darling was president of EMC Corporate Development and Ventures from March 2012 to September 2016, and in such role he was responsible for EMC’s business development and venture capital investment activity. Prior to joining EMC, Mr. Darling was a general partner at Frazier Technology Ventures II, L.P., which he joined in 2007, and was vice president and managing director at Intel Capital Corp., the venture capital arm of Intel Corporation, from 2000 to 2007. Mr. Darling represents Dell Technologies Capital on the board of directors of the private companies Barefoot Networks, Inc. and DocuSign Inc. Mr. Darling received a Bachelor of Arts in economics from the University of California at Santa Cruz and a Master of Business Administration from the Stanford University Graduate School of Business. We believe Mr. Darling is qualified to serve as a member of our board of directors based on his experience as a director of and as an investor in multiple technology companies.</w:t>
      </w:r>
    </w:p>
    <w:p>
      <w:pPr>
        <w:spacing w:after="0" w:line="167"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Charles Giancarlo. </w:t>
      </w:r>
      <w:r>
        <w:rPr>
          <w:rFonts w:ascii="Arial" w:cs="Arial" w:eastAsia="Arial" w:hAnsi="Arial"/>
          <w:sz w:val="17"/>
          <w:szCs w:val="17"/>
          <w:color w:val="auto"/>
        </w:rPr>
        <w:t>Mr. Giancarlo has served as a member of our board of directors since November 2016. Mr. Giancarlo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and a director of Pure Storage, Inc., an enterprise level data storage company, since August 2017. From January 2008 until October 2015, Mr. Giancarlo was a managing director and then Strategic Advisor of Silver Lake Partners, a private investment firm that focuses on technology, technology-enabled and related growth industries. From May 1993 to December 2007, Mr. Giancarlo served in numerous senior executive roles at Cisco Systems, Inc., a provider of communications and networking products and services, ultimately as the executive vice president and chief development officer from May 2004 to December 2007. Mr. Giancarlo currently serves on the boards of directors of Accenture plc, a management consulting business, Avaya, Inc., a provider of business collaboration and communications solutions, Imperva, Inc., a provider of business security solutions, Arista Networks, Inc., a manufacturer of networking products, and various private companies. He previously served on the boards of directors of ServiceNow, Inc., Netflix, Inc. and Tintri, Inc. Mr. Giancarlo holds a Bachelor of Science in electrical engineering from Brown University, a Master of Science in electrical engineering from the University of California, Berkeley and Master of Business Administration from Harvard Business School. We believe Mr. Giancarlo is qualified to serve as a member of our board of directors based on his extensive business expertise, including his prior executive level leadership, and his experience on the boards of publicly traded technology companies.</w:t>
      </w:r>
    </w:p>
    <w:p>
      <w:pPr>
        <w:spacing w:after="0" w:line="18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Nehal Raj. </w:t>
      </w:r>
      <w:r>
        <w:rPr>
          <w:rFonts w:ascii="Arial" w:cs="Arial" w:eastAsia="Arial" w:hAnsi="Arial"/>
          <w:sz w:val="18"/>
          <w:szCs w:val="18"/>
          <w:color w:val="auto"/>
        </w:rPr>
        <w:t>Mr. Raj has served as a member of our board of directors since July 2015. Mr. Raj is a Partner at TPG, a private investment firm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San Francisco, where he leads investments in the technology sector for both TPG Capital and TPG Growth. Prior to joining TPG in 2006, he was an associate at Francisco Partners. Mr. Raj is currently a director of multiple private companies, including C3 IoT, Domo, Inc., EverFi, Inc., Mediware Information Systems, Inc., Noodle Analytics, Inc. and Sutherland Global Services, Inc. Mr. Raj received a Bachelor of Arts in economics and Master of Science in industrial engineering from Stanford University, where he was Phi Beta Kappa, and a Master of Business Administration from Harvard Business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School, where he was a Baker Scholar. We believe Mr. Raj is qualified to serve as a member of our board of directors based on his experience as a director of technology companies and his background in the private equity industry, including his experience with investments in network technology, infrastructure SaaS and cyber-security companies.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executive officers are appointed by our board of directors and serve until their successors have been duly elected and qualified. There are no family relationships among any of our directors or executive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have adopted a code of conduct that applies to all of our employees, officers and directors, including our chief executive officer, chief financial officer and other executive and senior financial officers. Upon the completion of this offering, the full text of our code of conduct will be available on our website at www.zscaler.com. We intend to post any amendment to our code of conduct, and any waivers of such code for directors and executive officers, on the same website. Information on or that can be accessed through our website is not part of this prospectus.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is fixed by our board of directors, subject to the terms of our amended and restated certificate of incorporation and amended and restated bylaws that will become effective immediately prior to the completion of this offering. Our board of directors currently consists of eight members.</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Following the completion of this offering, our amended and restated certificate of incorporation and amended and restated bylaws will provide for a classified board of directors, with each director serving a staggered, three-year term. The terms of the directors will expire upon the election and qualification of successor directors at the annual meeting of stockholders to be held during 2019 for the Class I directors, 2020 for the Class II directors and 2021 for the Class III directors.</w:t>
      </w:r>
    </w:p>
    <w:p>
      <w:pPr>
        <w:spacing w:after="0" w:line="92" w:lineRule="exact"/>
        <w:rPr>
          <w:sz w:val="20"/>
          <w:szCs w:val="20"/>
          <w:color w:val="auto"/>
        </w:rPr>
      </w:pPr>
    </w:p>
    <w:p>
      <w:pPr>
        <w:ind w:left="106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Class I directors will be Charles Giancarlo, Lane Bess and Karen Blasing, and their terms will expire at the annual meeting of stockholders to be held in 2019;</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Class II directors will be Andrew Brown, Scott Darling and Nehal Raj, and their terms will expire at the annual meeting of stockholders to be held in 2020;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Class III directors will be Jay Chaudhry and Amit Sinha, and their terms will expire at the annual meeting of stockholders to be held in 2021.</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shall continue until the election and qualification of his or her successor, or his or her earlier death, resignation or removal. Any additional directorships resulting from an increase in the number of authorized directors will be distributed among the three classes so that, as nearly as possible, each class will consist of one-third of the directors.</w:t>
      </w:r>
    </w:p>
    <w:p>
      <w:pPr>
        <w:spacing w:after="0" w:line="17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The division of our board of directors into three classes with staggered three-year terms may delay or prevent a change of our management or a change of control. Under Delaware law, our directors may be removed for cause by the affirmative vote of the holders of a majority of our voting stock.</w:t>
      </w:r>
    </w:p>
    <w:p>
      <w:pPr>
        <w:spacing w:after="0" w:line="124"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amended and restated certificate of incorporation will provide that, in the event of a deadlock on the board of directors, the chairman of the board shall be entitled to cast two votes. Such tiebreaking vote provision will lapse upon the earliest to occur of (i) an increase in the authorized number of directors by one or more (but not a decrease) or (ii) the five (5) year anniversary of the completion of this offering.</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Under the rules of Nasdaq, independent directors must comprise a majority of a listed company’s board of directors within a specified period of the completion of an initial public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w:t>
      </w:r>
    </w:p>
    <w:p>
      <w:pPr>
        <w:spacing w:after="0" w:line="16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8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and as a result of this review, our board of directors determined that each of Ms. Blasing and Messrs. Bess, Brown, Darling, Giancarlo and Raj, representing six of our eight directors, does not have a relationship that would interfere with the exercise of independent judgment in carrying out the responsibilities of a director and are “independent directors” as defined under the applicable rules and regulations of the SEC and the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have the composition and responsibilities described below upon completion of this offering. Members will serve on these committees until their resignation or until otherwise determined by our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audit committee is comprised of Ms. Blasing, Mr. Brown and Mr. Raj, each of whom is a non-employee member of our board of directors. Ms. Blasing is the chair of our audit committee. Our board of directors has determined that each of the members of our audit committee satisfies the requirements for independence and financial literacy under the rules and regulations of Nasdaq and the SEC. Our board of directors has also determined that Ms. Blasing qualifies as an “audit committee financial expert” as defined in the SEC rules and satisfies the financial sophistication requirements of Nasdaq. The audit committee is responsible for, among other things:</w:t>
      </w:r>
    </w:p>
    <w:p>
      <w:pPr>
        <w:spacing w:after="0" w:line="94"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130" w:lineRule="exact"/>
        <w:rPr>
          <w:rFonts w:ascii="Arial" w:cs="Arial" w:eastAsia="Arial" w:hAnsi="Arial"/>
          <w:sz w:val="18"/>
          <w:szCs w:val="18"/>
          <w:color w:val="auto"/>
        </w:rPr>
      </w:pPr>
    </w:p>
    <w:p>
      <w:pPr>
        <w:ind w:left="5580" w:right="1520" w:hanging="4944"/>
        <w:spacing w:after="0" w:line="449" w:lineRule="auto"/>
        <w:tabs>
          <w:tab w:leader="none" w:pos="10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approving the audit and pre-approving any non-audit services to be performed by our registered public accounting firm; 128</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policies and procedures and our disclosure controls and procedures;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procedures for the treatment of complaints on accounting, internal accounting controls or audit matters;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our annual audit, our quarterly financial statements and our publicly filed reports;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will require in our annual proxy statement.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compensation committee is comprised of Mr. Brown, Ms. Blasing and Mr. Giancarlo, each of whom is a non-employee member of our board of directors. Mr. Brown is the chairman of our compensation committee. Our board of directors has determined that each member of our compensation committee meets the requirements for independence under the rules of Nasdaq and the SEC, is a “non-employee director” within the meaning of Rule 16b-3 under the Exchange Act, and is an “outside director” within the meaning of Section 162(m) of the Internal Revenue Code. The compensation committee is responsible for, among other things:</w:t>
      </w:r>
    </w:p>
    <w:p>
      <w:pPr>
        <w:spacing w:after="0" w:line="94" w:lineRule="exact"/>
        <w:rPr>
          <w:sz w:val="20"/>
          <w:szCs w:val="20"/>
          <w:color w:val="auto"/>
        </w:rPr>
      </w:pPr>
    </w:p>
    <w:p>
      <w:pPr>
        <w:jc w:val="both"/>
        <w:ind w:left="1060" w:hanging="424"/>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our chief executive officer’s and other executive officers’ annual base salaries, incentive compensation plans, including the specific goals and amounts, equity compensation, employment agreements, severance arrangements and change in control agreements and any other benefits, compensation or arrangements;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our overall compensation philosophy, compensation plans and benefits programs;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nominating and corporate governance committee is comprised of Mr. Giancarlo, Mr. Darling and Mr. Raj, each of whom is a non-employee member of our board of directors. Mr. Giancarlo is the chairman of our nominating and corporate governance committee. Our board of directors has determined that each member of our nominating and corporate committee meets the requirements for independence under the rules of Nasdaq. The nominating and corporate governance committee is responsible for, among other things:</w:t>
      </w:r>
    </w:p>
    <w:p>
      <w:pPr>
        <w:spacing w:after="0" w:line="92" w:lineRule="exact"/>
        <w:rPr>
          <w:sz w:val="20"/>
          <w:szCs w:val="20"/>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of directors and its committees;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creation of additional committees or the change in mandate or dissolution of committees;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reviewing and making recommendations with regard to our corporate governance guidelines and compliance with laws and regulations; and</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conflicts of interest of our directors and corporate officers, other than related person transactions reviewed by the audit committee.</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intend to post the charters of our audit, compensation and nominating and corporate governance committees, and any amendments thereto that may be adopted from time to time, on our website. Information on or that can be accessed through our website is not part of this prospectus. Our board of directors may from time to time establish other committees.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We do not currently have a formal policy with respect to compensation payable to our non-employee directors for service as directors. During fiscal 2017, our non-employee directors did not receive any cash compensation for their services as directors or as board committee members. Our board of directors has, however, granted equity awards from time to time to non-employee directors as compensation for their service as directors. We also reimburse our non-employee directors for their reasonable out-of-pocket costs and travel expenses in connection with their service as members of our board of directors.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shows the total compensation awarded to our non-employee directors during fiscal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7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260" w:type="dxa"/>
            <w:vAlign w:val="bottom"/>
            <w:gridSpan w:val="3"/>
            <w:vMerge w:val="continue"/>
          </w:tcPr>
          <w:p>
            <w:pPr>
              <w:spacing w:after="0"/>
              <w:rPr>
                <w:sz w:val="14"/>
                <w:szCs w:val="14"/>
                <w:color w:val="auto"/>
              </w:rPr>
            </w:pPr>
          </w:p>
        </w:tc>
        <w:tc>
          <w:tcPr>
            <w:tcW w:w="5060" w:type="dxa"/>
            <w:vAlign w:val="bottom"/>
            <w:gridSpan w:val="3"/>
          </w:tcPr>
          <w:p>
            <w:pPr>
              <w:jc w:val="center"/>
              <w:ind w:left="3194"/>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(1)</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Lane</w:t>
            </w:r>
          </w:p>
        </w:tc>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Bess</w:t>
            </w:r>
          </w:p>
        </w:tc>
        <w:tc>
          <w:tcPr>
            <w:tcW w:w="3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Karen Blasing</w:t>
            </w:r>
            <w:r>
              <w:rPr>
                <w:rFonts w:ascii="Arial" w:cs="Arial" w:eastAsia="Arial" w:hAnsi="Arial"/>
                <w:sz w:val="15"/>
                <w:szCs w:val="15"/>
                <w:color w:val="auto"/>
              </w:rPr>
              <w:t>(2)</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504,308</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504,308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Brown</w:t>
            </w:r>
            <w:r>
              <w:rPr>
                <w:rFonts w:ascii="Arial" w:cs="Arial" w:eastAsia="Arial" w:hAnsi="Arial"/>
                <w:sz w:val="15"/>
                <w:szCs w:val="15"/>
                <w:color w:val="auto"/>
              </w:rPr>
              <w:t>(3)</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Scott Darling</w:t>
            </w:r>
            <w:r>
              <w:rPr>
                <w:rFonts w:ascii="Arial" w:cs="Arial" w:eastAsia="Arial" w:hAnsi="Arial"/>
                <w:sz w:val="15"/>
                <w:szCs w:val="15"/>
                <w:color w:val="auto"/>
              </w:rPr>
              <w:t>(4)</w:t>
            </w:r>
          </w:p>
        </w:tc>
        <w:tc>
          <w:tcPr>
            <w:tcW w:w="37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Giancarlo</w:t>
            </w:r>
            <w:r>
              <w:rPr>
                <w:rFonts w:ascii="Arial" w:cs="Arial" w:eastAsia="Arial" w:hAnsi="Arial"/>
                <w:sz w:val="15"/>
                <w:szCs w:val="15"/>
                <w:color w:val="auto"/>
              </w:rPr>
              <w:t>(5)</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429,185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429,185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Nehal Raj</w:t>
            </w:r>
          </w:p>
        </w:tc>
        <w:tc>
          <w:tcPr>
            <w:tcW w:w="37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Williams</w:t>
            </w:r>
            <w:r>
              <w:rPr>
                <w:rFonts w:ascii="Arial" w:cs="Arial" w:eastAsia="Arial" w:hAnsi="Arial"/>
                <w:sz w:val="15"/>
                <w:szCs w:val="15"/>
                <w:color w:val="auto"/>
              </w:rPr>
              <w:t>(6)</w:t>
            </w:r>
          </w:p>
        </w:tc>
        <w:tc>
          <w:tcPr>
            <w:tcW w:w="3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jc w:val="both"/>
        <w:ind w:left="520" w:right="20" w:hanging="316"/>
        <w:spacing w:after="0" w:line="225" w:lineRule="auto"/>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grant-date fair value of the award as computed as of the grant date of each option awarded in fiscal 2017 in accordance with Financial Accounting Standard Board Accounting Standards Codification Topic 718, or ASC Topic 718. The assumptions used in calculating the grant-date fair value of the awards reported in this column are set forth in the notes to our consolidated financial statements included elsewhere in this prospectus. Other than as set forth in the footnotes below, our non-employee directors did not hold any equity awards as of July 31, 2017.</w:t>
      </w:r>
    </w:p>
    <w:p>
      <w:pPr>
        <w:spacing w:after="0" w:line="2" w:lineRule="exact"/>
        <w:rPr>
          <w:rFonts w:ascii="Arial" w:cs="Arial" w:eastAsia="Arial" w:hAnsi="Arial"/>
          <w:sz w:val="14"/>
          <w:szCs w:val="14"/>
          <w:color w:val="auto"/>
        </w:rPr>
      </w:pPr>
    </w:p>
    <w:p>
      <w:pPr>
        <w:jc w:val="both"/>
        <w:ind w:left="520" w:right="20" w:hanging="316"/>
        <w:spacing w:after="0" w:line="221" w:lineRule="auto"/>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Ms. Blasing was elected to our board of directors on January 1, 2017. In March 2017, we granted Ms. Blasing an option to purchase 233,333 shares of our common stock. The option includes an early exercise feature that allows Ms. Blasing to exercise the option to purchase unvested shares at any time, subject to our right to repurchase any such shares that remain unvested if her service with us terminates. One forty-eighth of the shares subject to such option vest each month after January 1, 2017, subject to Ms. Blasing’s continued service to us. In addition, if a change of control occurs before Ms. Blasing’s service terminates, the option will become fully vested. In June 2017, Ms. Blasing exercised the option with respect to 39,999 shares. As of July 31, 2017, our right of repurchase has lapsed with respect to 29,166 of such shares, and 10,833 of such shares remain subject to our right of repurchase. As of July 31, 2017, all of the remaining 193,334 unexercised shares subject to the option were unvested.</w:t>
      </w:r>
    </w:p>
    <w:p>
      <w:pPr>
        <w:spacing w:after="0" w:line="1" w:lineRule="exact"/>
        <w:rPr>
          <w:rFonts w:ascii="Arial" w:cs="Arial" w:eastAsia="Arial" w:hAnsi="Arial"/>
          <w:sz w:val="14"/>
          <w:szCs w:val="14"/>
          <w:color w:val="auto"/>
        </w:rPr>
      </w:pPr>
    </w:p>
    <w:p>
      <w:pPr>
        <w:jc w:val="both"/>
        <w:ind w:left="520" w:right="20" w:hanging="316"/>
        <w:spacing w:after="0" w:line="221" w:lineRule="auto"/>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We granted Mr. Brown the following options to purchase shares of our common stock: (i) in December 2013, an option covering 13,333 shares, (ii) in October 2015, an option covering 200,000 shares, and (iii) in November 2016, an option covering 20,000 shares. Each of the options granted in October 2015 and November 2016 includes an early exercise feature that allows Mr. Brown to exercise the option to purchase unvested shares at any time, subject to our right to repurchase any such shares that remain unvested if his service with us terminates. The options vest according to the following schedules, subject to Mr. Brown’s continued service with us: (i) one twenty-fourth of the shares subject to the option granted in December 2013 vested each month after November 1, 2013, (ii) one forty-eighth of the shares subject to the option granted in October 2015 vest monthly after October 14, 2015 and (iii) one forty-eighth of the shares subject to the option granted in November 2016 vest monthly after November 17, 2017. In addition, if a change of control occurs before Mr. Brown’s service terminates, the options granted in October 2015 and November 2016 will become fully vested, subject to his execution of a release of claims. In December 2015, Mr. Brown exercised the option granted in October 2015 with respect to 50,000 shares. As of July 31, 2017, Mr. Brown held a total of 183,333 unexercised shares subject to options, of which a total of 129,166 shares underlying the options were unvested, as follows: (i) all 13,333 of the shares subject to the option granted in December 2013 were vested, (ii) 37,500 of the remaining shares subject to the option granted in October 2015 were vested and 112,500 were unvested, and (iii) 3,333 of the shares subject to the option granted in November 2016 were vested and 16,666 were unvested.</w:t>
      </w:r>
    </w:p>
    <w:p>
      <w:pPr>
        <w:spacing w:after="0" w:line="3" w:lineRule="exact"/>
        <w:rPr>
          <w:rFonts w:ascii="Arial" w:cs="Arial" w:eastAsia="Arial" w:hAnsi="Arial"/>
          <w:sz w:val="14"/>
          <w:szCs w:val="14"/>
          <w:color w:val="auto"/>
        </w:rPr>
      </w:pPr>
    </w:p>
    <w:p>
      <w:pPr>
        <w:ind w:left="520" w:hanging="316"/>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Darling was elected to our board of directors on November 17, 2016.</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520" w:hanging="316"/>
        <w:spacing w:after="0" w:line="224" w:lineRule="auto"/>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Giancarlo was elected to our board of directors on November 17, 2016. In November 2016, we granted Mr. Giancarlo an option to purchase 233,333 shares of our common stock. The option includes an early exercise feature that allows Mr. Giancarlo to exercise the option to purchase unvested shares at any time, subject to our right to repurchase any such shares that remain unvested when his service with us terminates. In addition, if a change of control occurs before Mr. Giancarlo’s service terminates, the option will become fully vested, subject to his execution of a release of claims. One forty-eighth of the shares subject to such option vest monthly after November 17, 2016, subject to Mr. Giancarlo’s continued service to us. All 233,333 of the unexercised shares subject to the option were outstanding as of July 31, 2017, of which 38,888 shares underlying the option were vested and 194,445 shares underlying the option were unvested.</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Williams resigned from our board of directors on October 13, 2016.</w:t>
      </w:r>
    </w:p>
    <w:p>
      <w:pPr>
        <w:spacing w:after="0" w:line="196"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also entered into offer letters with each of Ms. Blasing and Messrs. Brown, Darling and Giancarlo in connection with their appointment to our board of directors. Each such offer letter provides that the relevant director will be reimbursed for reasonable expenses he or she incurs in connection with his or her service on our board of directors and that he or she will be indemnified in his or her capacity as a director. In addition, Ms. Blasing’s offer letter provides for the grant of an option to purchase 233,333 shares of our common stock, which we granted to her in March 2017; Mr. Brown’s offer letter provides for the grant of an option to purchase 200,000 shares of our common stock, which we granted to him in October 2015; and Mr. Giancarlo’s offer letter provides for the grant of an option to purchase 233,333 shares of our common stock, which we granted to him in November 2016, each as more fully described in the preceding table.</w:t>
      </w:r>
    </w:p>
    <w:p>
      <w:pPr>
        <w:spacing w:after="0" w:line="18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During fiscal 2017, Mr. Chaudhry and Dr. Sinha were executive officers of ours, and Mr. Chaudhry was one of our named executive officers. See the section titled “Executive Compensation” for additional information about the compensation of Mr. Chaudhry.</w:t>
      </w:r>
    </w:p>
    <w:p>
      <w:pPr>
        <w:spacing w:after="0" w:line="18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Although compensation has been paid to our non-employee directors prior to the completion of this offering, we do not currently have a policy or plan to make equity award grants or pay cash retainers to our non-employee directors at a particular time, of a particular value or of a particular amount.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2017 Summary Compensation Table</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following table and narrative summarizes and explains the compensation that we paid to, or that was earned by, each person who served as our principal executive officer and each of the named executive officers determined under Item 402(m)(2) of Regulation S-K during fiscal 2017. We refer to these executive officers in this prospectus as our named executive officers.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Non-Qualified</w:t>
            </w:r>
          </w:p>
        </w:tc>
        <w:tc>
          <w:tcPr>
            <w:tcW w:w="26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Bonus</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90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Deferred</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0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8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rPr>
              <w:t>Awards</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rPr>
              <w:t>Compensation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Position</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10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40" w:type="dxa"/>
            <w:vAlign w:val="bottom"/>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20" w:type="dxa"/>
            <w:vAlign w:val="bottom"/>
            <w:gridSpan w:val="2"/>
          </w:tcPr>
          <w:p>
            <w:pPr>
              <w:jc w:val="right"/>
              <w:ind w:right="8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160" w:type="dxa"/>
            <w:vAlign w:val="bottom"/>
            <w:gridSpan w:val="2"/>
          </w:tcPr>
          <w:p>
            <w:pPr>
              <w:jc w:val="center"/>
              <w:ind w:left="208"/>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
              <w:spacing w:after="0" w:line="142" w:lineRule="exact"/>
              <w:rPr>
                <w:sz w:val="20"/>
                <w:szCs w:val="20"/>
                <w:color w:val="auto"/>
              </w:rPr>
            </w:pPr>
            <w:r>
              <w:rPr>
                <w:rFonts w:ascii="Arial" w:cs="Arial" w:eastAsia="Arial" w:hAnsi="Arial"/>
                <w:sz w:val="14"/>
                <w:szCs w:val="14"/>
                <w:b w:val="1"/>
                <w:bCs w:val="1"/>
                <w:color w:val="auto"/>
                <w:w w:val="98"/>
              </w:rPr>
              <w:t>Earnings ($)</w:t>
            </w:r>
          </w:p>
        </w:tc>
        <w:tc>
          <w:tcPr>
            <w:tcW w:w="1160" w:type="dxa"/>
            <w:vAlign w:val="bottom"/>
            <w:gridSpan w:val="2"/>
          </w:tcPr>
          <w:p>
            <w:pPr>
              <w:jc w:val="right"/>
              <w:ind w:right="28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80" w:type="dxa"/>
            <w:vAlign w:val="bottom"/>
          </w:tcPr>
          <w:p>
            <w:pPr>
              <w:jc w:val="right"/>
              <w:ind w:right="29"/>
              <w:spacing w:after="0" w:line="14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00" w:type="dxa"/>
            <w:vAlign w:val="bottom"/>
            <w:gridSpan w:val="2"/>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gridSpan w:val="3"/>
            <w:shd w:val="clear" w:color="auto" w:fill="CCEEFF"/>
          </w:tcPr>
          <w:p>
            <w:pPr>
              <w:spacing w:after="0" w:line="115" w:lineRule="exact"/>
              <w:rPr>
                <w:sz w:val="20"/>
                <w:szCs w:val="20"/>
                <w:color w:val="auto"/>
              </w:rPr>
            </w:pPr>
            <w:r>
              <w:rPr>
                <w:rFonts w:ascii="Arial" w:cs="Arial" w:eastAsia="Arial" w:hAnsi="Arial"/>
                <w:sz w:val="13"/>
                <w:szCs w:val="13"/>
                <w:color w:val="auto"/>
              </w:rPr>
              <w:t>Jay Chaudhry</w:t>
            </w:r>
            <w:r>
              <w:rPr>
                <w:rFonts w:ascii="Arial" w:cs="Arial" w:eastAsia="Arial" w:hAnsi="Arial"/>
                <w:sz w:val="11"/>
                <w:szCs w:val="11"/>
                <w:color w:val="auto"/>
              </w:rPr>
              <w:t>(3)</w:t>
            </w:r>
          </w:p>
        </w:tc>
        <w:tc>
          <w:tcPr>
            <w:tcW w:w="2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2017</w:t>
            </w:r>
          </w:p>
        </w:tc>
        <w:tc>
          <w:tcPr>
            <w:tcW w:w="28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60" w:type="dxa"/>
            <w:vAlign w:val="bottom"/>
            <w:vMerge w:val="continue"/>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gridSpan w:val="3"/>
            <w:shd w:val="clear" w:color="auto" w:fill="CCEEFF"/>
          </w:tcPr>
          <w:p>
            <w:pPr>
              <w:ind w:left="120"/>
              <w:spacing w:after="0" w:line="143" w:lineRule="exact"/>
              <w:rPr>
                <w:sz w:val="20"/>
                <w:szCs w:val="20"/>
                <w:color w:val="auto"/>
              </w:rPr>
            </w:pPr>
            <w:r>
              <w:rPr>
                <w:rFonts w:ascii="Arial" w:cs="Arial" w:eastAsia="Arial" w:hAnsi="Arial"/>
                <w:sz w:val="14"/>
                <w:szCs w:val="14"/>
                <w:color w:val="auto"/>
              </w:rPr>
              <w:t>President, Chief Executive Officer and</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Chairman of the Board</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00" w:type="dxa"/>
            <w:vAlign w:val="bottom"/>
            <w:gridSpan w:val="4"/>
          </w:tcPr>
          <w:p>
            <w:pPr>
              <w:spacing w:after="0"/>
              <w:rPr>
                <w:sz w:val="20"/>
                <w:szCs w:val="20"/>
                <w:color w:val="auto"/>
              </w:rPr>
            </w:pPr>
            <w:r>
              <w:rPr>
                <w:rFonts w:ascii="Arial" w:cs="Arial" w:eastAsia="Arial" w:hAnsi="Arial"/>
                <w:sz w:val="14"/>
                <w:szCs w:val="14"/>
                <w:color w:val="auto"/>
              </w:rPr>
              <w:t>Remo Canessa</w:t>
            </w:r>
            <w:r>
              <w:rPr>
                <w:rFonts w:ascii="Arial" w:cs="Arial" w:eastAsia="Arial" w:hAnsi="Arial"/>
                <w:sz w:val="12"/>
                <w:szCs w:val="12"/>
                <w:color w:val="auto"/>
              </w:rPr>
              <w:t>(4)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146,591</w:t>
            </w: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72,313</w:t>
            </w:r>
            <w:r>
              <w:rPr>
                <w:rFonts w:ascii="Arial" w:cs="Arial" w:eastAsia="Arial" w:hAnsi="Arial"/>
                <w:sz w:val="12"/>
                <w:szCs w:val="12"/>
                <w:color w:val="auto"/>
                <w:w w:val="97"/>
              </w:rPr>
              <w:t>(4)</w:t>
            </w:r>
          </w:p>
        </w:tc>
        <w:tc>
          <w:tcPr>
            <w:tcW w:w="14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2,161,320</w:t>
            </w:r>
          </w:p>
        </w:tc>
        <w:tc>
          <w:tcPr>
            <w:tcW w:w="2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2,380,224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Chief Financial Officer</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William Welch</w:t>
            </w:r>
          </w:p>
        </w:tc>
        <w:tc>
          <w:tcPr>
            <w:tcW w:w="5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300,000</w:t>
            </w: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728,896</w:t>
            </w:r>
          </w:p>
        </w:tc>
        <w:tc>
          <w:tcPr>
            <w:tcW w:w="144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379,561</w:t>
            </w:r>
            <w:r>
              <w:rPr>
                <w:rFonts w:ascii="Arial" w:cs="Arial" w:eastAsia="Arial" w:hAnsi="Arial"/>
                <w:sz w:val="12"/>
                <w:szCs w:val="12"/>
                <w:color w:val="auto"/>
              </w:rPr>
              <w:t>(5)</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1,408,457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Chief Operating Officer</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jc w:val="both"/>
        <w:ind w:left="520" w:right="20" w:hanging="316"/>
        <w:spacing w:after="0" w:line="225"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disclosed represent the grant date fair value of the stock options granted to the named executive officers during fiscal 2017 as computed in accordance with ASC Topic 718. The assumptions used in calculating the grant date fair value of the stock options reported in this column are set forth in the notes to our audited consolidated financial statements included in this prospectus. Such grant-date fair value does not take into account any estimated forfeitures related to service-vesting conditions. These amounts do not reflect the actual economic value that will be realized by the named executive officer upon the vesting of the stock options, the exercise of the stock options or the sale of the common stock underlying such stock options.</w:t>
      </w:r>
    </w:p>
    <w:p>
      <w:pPr>
        <w:ind w:left="52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disclosed represent the amounts earned in fiscal 2017 pursuant to our Fiscal Year 2017 Bonus Plan.</w:t>
      </w:r>
    </w:p>
    <w:p>
      <w:pPr>
        <w:ind w:left="52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Chaudhry serves on our board of directors but is not paid additional compensation for such service.</w:t>
      </w:r>
    </w:p>
    <w:p>
      <w:pPr>
        <w:ind w:left="52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Canessa joined as our chief financial officer in February 2017 and received a pro-rated bonus under the terms of his offer letter.</w:t>
      </w:r>
    </w:p>
    <w:p>
      <w:pPr>
        <w:ind w:left="520" w:hanging="316"/>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disclosed represent the amounts earned in fiscal 2017 pursuant to our Fiscal Year 2017 Sales Compensation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Named Executive Officer Employment Letters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Jay Chaudhry</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entered into an employment agreement with Jay Chaudhry, our president, chief executive officer and chairman of our board of directors, on August 23, 2017. The employment agreement does not have a fixed expiration date, and Mr. Chaudhry’s employment is at-will. Mr. Chaudhry’s current annual base salary is $23,660, and he is currently eligible to receive discretionary bonuses, as determined by our board of directors or our compensation committee.</w:t>
      </w:r>
    </w:p>
    <w:p>
      <w:pPr>
        <w:spacing w:after="0" w:line="18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 addition, in August 2017, our board of directors approved the payment by us of filing fees in the amount of $125,000 on behalf of Mr. Chaudhry in connection with a filing made under the Hart-Scott-Rodino Antitrust Improvements Act of 1976, as amended, as a result of the acquisition by entities controlled by Mr. Chaudhry of shares of our common stock from existing stockholders. Our board of directors also approved reimbursing Mr. Chaudhry for any applicable taxes payable by Mr. Chaudhry as a result of such payment.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Remo Canessa</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entered into an employment letter with Remo Canessa, our chief financial officer, on January 8, 2017. The employment letter does not have a fixed expiration date, and Mr. Canessa’s employment is at-will. Mr. Canessa’s current annual base salary is $300,000, and he is currently eligible to earn annual incentive compensation with a target equal to $150,000, with the annual bonus for fiscal 2017 pro-rated based on Mr. Canessa’s date of hire and guaranteed so long as Mr. Canessa continued employment with us through the date the bonus was paid.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connection with his hire, in March 2017, Mr. Canessa was granted a stock option to purchase 1,000,000 shares of our common stock, subject to the terms and conditions of our 2007 Plan and a stock option agreement between us and Mr. Canessa. The option vests in monthly installments over four years with a 12-month vesting cliff, in each case subject to Mr. Canessa’s continued service through the applicable vesting date. The option includes an early exercise feature.</w:t>
      </w:r>
    </w:p>
    <w:p>
      <w:pPr>
        <w:spacing w:after="0" w:line="18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If we terminate Mr. Canessa’s employment other than for “cause”, death or “disability” outside of the “change of control period” (as such terms are defined in our Change of Control and Severance Policy), he will receive (1) continuing payments of base salary for a period of six months,</w:t>
      </w:r>
    </w:p>
    <w:p>
      <w:pPr>
        <w:jc w:val="both"/>
        <w:ind w:left="200" w:firstLine="4"/>
        <w:spacing w:after="0" w:line="273" w:lineRule="auto"/>
        <w:tabs>
          <w:tab w:leader="none" w:pos="458" w:val="left"/>
        </w:tabs>
        <w:numPr>
          <w:ilvl w:val="0"/>
          <w:numId w:val="96"/>
        </w:numPr>
        <w:rPr>
          <w:rFonts w:ascii="Arial" w:cs="Arial" w:eastAsia="Arial" w:hAnsi="Arial"/>
          <w:sz w:val="17"/>
          <w:szCs w:val="17"/>
          <w:color w:val="auto"/>
        </w:rPr>
      </w:pPr>
      <w:r>
        <w:rPr>
          <w:rFonts w:ascii="Arial" w:cs="Arial" w:eastAsia="Arial" w:hAnsi="Arial"/>
          <w:sz w:val="17"/>
          <w:szCs w:val="17"/>
          <w:color w:val="auto"/>
        </w:rPr>
        <w:t>acceleration of the vesting of his equity awards to the extent such awards would have vested had he remained employed with us for an additional six months (provided that if his termination occurs within six months of his start date, the vesting of 125,000 shares subject to the option described in the previous paragraph will be accelerated), and (3) an extended post-termination exercise period of stock options for 12 months after termination, subject to his signing and not revoking a release of claims within the time specified in the employment letter.</w:t>
      </w:r>
    </w:p>
    <w:p>
      <w:pPr>
        <w:spacing w:after="0" w:line="17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Mr. Canessa is an eligible participant in our Change of Control and Severance Policy described below. In addition to such benefits described below, Mr. Canessa’s extended 12-month post-termination exercise period described above will also apply for qualified terminations during the change of control period.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William Welch</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entered into an employment letter with William Welch, our chief operating officer, on November 25, 2014. The employment letter does not have a fixed expiration date, and Mr. Welch’s employment is at-will. Mr. Welch’s current annual base salary is $300,000, and he is currently eligible to earn commission with a target equal to $300,000. In connection with his hire, in December 2014, Mr. Welch was granted a stock option to purchase 433,333 shares of our common stock, subject to the terms and conditions of our 2007 Plan and a stock option agreement between us and Mr. Welch. The option vests in monthly installments over four years with a 12-month vesting cliff, in each case subject to Mr. Welch’s continued service through the applicable vesting date. The option includes an early exercise feature.</w:t>
      </w:r>
    </w:p>
    <w:p>
      <w:pPr>
        <w:spacing w:after="0" w:line="19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we terminate Mr. Welch’s employment other than for “cause”, as such term is defined in our employment letter with Mr. Welch, he will receive continuing payments of base salary for a period of 12 months, subject to early termination if Mr. Welch becomes employed, subject to (1) his signing and not revoking a release of claims within the time specified in the employment letter and (2) his signing and complying with a 12-month non-compete and non-solicit agreement in our favor.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Welch is an eligible participant in our Change of Control and Severance Policy described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of Control and Severance Policy</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board of directors adopted a Change of Control and Severance Policy, or the Severance Policy. Messrs. Canessa and Welch are participants in the Severance Policy. Under the Severance Policy, if we terminate either named executive officer’s employment other than for “cause,” death or “disability” or the named executive officer resigns for “good reason” during the period beginning on a “change of control” (as such terms are defined in the Severance Policy) and ending 12 months following the change of control (which we refer to as the change of control period), such named executive officer will be eligible to receive the following severance benefits:</w:t>
      </w:r>
    </w:p>
    <w:p>
      <w:pPr>
        <w:spacing w:after="0" w:line="94" w:lineRule="exact"/>
        <w:rPr>
          <w:sz w:val="20"/>
          <w:szCs w:val="20"/>
          <w:color w:val="auto"/>
        </w:rPr>
      </w:pPr>
    </w:p>
    <w:p>
      <w:pPr>
        <w:jc w:val="both"/>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100% of the then-unvested shares subject to his then-outstanding equity awards will become vested and exercisable, and in the case of equity awards with performance-based vesting, all performance goals and other vesting criteria will be deemed achieved at the specified percentage of target levels;</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lump-sum payment equal to 100% of the greatest of (i) his annual base salary as in effect immediately prior to his termination, (ii) if the termination is a resignation for good reason based on a material reduction in base salary, his annual base salary as in effect immediately prior to such reduction, or (iii) his annual base salary as in effect immediately prior to the change of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lump-sum payment equal to (i) 100% of his target annual bonus for the fiscal year in which his termination occurs plus (ii) a pro-rated portion of such target annual bonus reduced by any bonus payments made during such fiscal year;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lump-sum health benefit severance payment of $36,000.</w:t>
      </w:r>
    </w:p>
    <w:p>
      <w:pPr>
        <w:spacing w:after="0" w:line="225"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To receive the severance benefits upon a qualifying termination, a named executive officer must sign and not revoke a release of claims within the time specified in the Severance Policy. If we discover after a named executive officer receives severance benefits that grounds for terminating him for cause existed, such named executive officer will not receive any further severance benefits under the Severance Policy, and to the extent permitted by law, the named executive officer will be required to repay to us any severance payments and benefits (or gain derived from such payments and benefits) he received under the Severance Policy.</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If any of the payments or benefits provided for under the Severance Policy or otherwise payable to a named executive officer would constitute “parachute payments” within the meaning of Section 280G of the Internal Revenue Code and would be subject to the related excise tax under Section 4999 of the Internal Revenue Code, then the named executive officer will be entitled to receive either full payment of such payments and benefits or such lesser amount which would result in no portion of the benefits being subject to the excise tax, whichever results in the greater amount of after-tax benefits to him.</w:t>
      </w:r>
    </w:p>
    <w:p>
      <w:pPr>
        <w:spacing w:after="0" w:line="18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addition to the benefits described above, Mr. Canessa’s 12-month extended post-termination exercise period continues to apply for a qualified termination during the change of control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Bonus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sponsored a Fiscal Year 2017 Bonus Plan, or our Bonus Plan. Mr. Canessa was eligible to participate in our Bonus Plan. The Bonus Plan had semi-annual performance periods. The target annual bonus was $150,000, but as noted above, this target was pro-rated because Mr. Canessa joined us after the commencement of fiscal 2017. Bonuses under the Bonus Plan generally were payable based on our achievement of new annual contract value and renewal amounts, but as noted above, the bonus for Mr. Canessa was guaranteed if he remained employed with us through the date his bonus was paid.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sponsored a Fiscal Year 2017 Sales Compensation Plan, or our Sales Compensation Plan, in which Mr. Welch was eligible to participate. The Sales Compensation Plan had an annual performance period, and Mr. Welch’s target commission was $300,000. Amounts under the Sales Compensation Plan generally were payable based on our achievement of new and upsell annual contract value and renewal amounts.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Fiscal Year 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outstanding stock options and stock awards held by our named executive officers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31, 2017:</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5"/>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 That</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 (#)</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Unexercisable</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Jay</w:t>
            </w: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Chaudhry</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Remo Canessa</w:t>
            </w:r>
            <w:r>
              <w:rPr>
                <w:rFonts w:ascii="Arial" w:cs="Arial" w:eastAsia="Arial" w:hAnsi="Arial"/>
                <w:sz w:val="15"/>
                <w:szCs w:val="15"/>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03/02/2017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03/02/2024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Welch</w:t>
            </w:r>
            <w:r>
              <w:rPr>
                <w:rFonts w:ascii="Arial" w:cs="Arial" w:eastAsia="Arial" w:hAnsi="Arial"/>
                <w:sz w:val="15"/>
                <w:szCs w:val="15"/>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12/23/2014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12/23/2021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04/03/2015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04/03/2022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1,165,838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01/15/2016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01/14/2023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04/10/2017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333,333</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04/10/2024</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520" w:right="20" w:hanging="316"/>
        <w:spacing w:after="0" w:line="230" w:lineRule="auto"/>
        <w:tabs>
          <w:tab w:leader="none" w:pos="5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$8.27 as of July 31, 2017 (the determination of the fair market value by our board of directors as of the most proximate date) multiplied by the amount shown in the column for the number of shares or units that have not vested.</w:t>
      </w:r>
    </w:p>
    <w:p>
      <w:pPr>
        <w:jc w:val="both"/>
        <w:ind w:left="520" w:right="20" w:hanging="316"/>
        <w:spacing w:after="0" w:line="221" w:lineRule="auto"/>
        <w:tabs>
          <w:tab w:leader="none" w:pos="5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Canessa was granted an option to purchase 1,000,000 shares. One-fourth of the shares subject to the option vest on February 6, 2018, and one forty-eighth of the shares vest monthly thereafter, subject to Mr. Canessa’s continued service to us. Mr. Canessa acquired 250,000 shares pursuant to an early exercise provision subject to our right of repurchase. The option is subject to potential vesting acceleration as described above.</w:t>
      </w:r>
    </w:p>
    <w:p>
      <w:pPr>
        <w:jc w:val="both"/>
        <w:ind w:left="520" w:right="20" w:hanging="316"/>
        <w:spacing w:after="0" w:line="245" w:lineRule="auto"/>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Welch was granted the following options to purchase shares of our common stock: (i) in December 2014, an option covering 433,333 shares, (ii) in April 2015, an option covering 233,333 shares, (iii) in January 2016, an option to purchase 200,000 shares, and (iv) in April 2017, an option to purchase 333,333 shares, each subject to the terms and conditions of our 2007 Plan and a stock option agreement between us and Mr. Welch. Each of the options vest in monthly installments over four years with a 12-month vesting cliff, in each case subject to Mr. Welch’s continued service through the applicable vesting date. Each of the options granted in December 2014, April 2015 and January 2016 includes an early exercise feature. Mr. Welch acquired an aggregate of 866,666 shares pursuant to such early exercise provisions, and an aggregate of 419,446 of such shares are subject to our right of repurchase as of July 31, 2017, subject to potential vesting acceleration as described above. The remaining 333,333 shares subject to options are subject to potential vesting acceleration as described above.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Year 2018 Equity Incentive Plan</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In March 2018, our board of directors adopted, and we expect our stockholders will approve, our 2018 Plan. We expect that our 2018 Plan will be effective on the business day immediately prior to the effective date of the registration statement of which this prospectus forms a part. Our 2018 Plan will provide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93"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12,700,000 shares of our common stock will be reserved for issuance pursuant to our 2018 Plan.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issuance under our 2018 Plan also will include shares subject to awards under our 2007 Plan that, after the effectiveness of the registration statement of which this prospectus forms a part, expire or terminate and shares previously issued pursuant to our 2007 Plan, as applicable, that, after the effectiveness of the registration statement of which this prospectus forms a part, are forfeited or repurchased by us (provided that the maximum number of shares that may be added to our 2018 Plan pursuant to this sentence is 19,300,000 shares). The number of shares available for issuance under our 2018 Plan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also include an annual increase on the first day of each fiscal year beginning on August 1, 2018, equal to the least of:</w:t>
      </w:r>
    </w:p>
    <w:p>
      <w:pPr>
        <w:spacing w:after="0" w:line="131"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12,700,000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5% of the outstanding shares of our common stock as of the last day of the immediately preceding fiscal year;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25"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If an award expires or becomes unexercisable without having been exercised in full, is surrendered pursuant to an exchange program, or, with respect to restricted stock, restricted stock units, or RSUs,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RSUs,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69"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2018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our board of directors is expected to administer our 2018 Plan. In the case of awards intended to qualify as “performance-based compensation” within the meaning of Section 162(m) of the Internal Revenue Code, the committee will consist of two or more “outside directors” within the meaning of Section 162(m) of the Internal Revenue Code.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in exchange for awards of the same type which may have a higher or lower exercise price 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2018 Plan. The exercise price of options granted under our 2018 Plan must at least be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our common stock on the date of grant. The term of an incentive stock option may not exceed ten years, except that with respect to any participant who owns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179"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may be granted under our 2018 Plan. Stock appreciation rights allow the recipient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 will remain exercisable for 12 months. In all other cases, in the absence of a specified time in an award agreement, the stock appreciation right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9"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2018 Plan. Restricted stock awards are grants of shares of our common stock that 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RSUs</w:t>
      </w:r>
      <w:r>
        <w:rPr>
          <w:rFonts w:ascii="Arial" w:cs="Arial" w:eastAsia="Arial" w:hAnsi="Arial"/>
          <w:sz w:val="17"/>
          <w:szCs w:val="17"/>
          <w:color w:val="auto"/>
        </w:rPr>
        <w:t>. RSUs may be granted under our 2018 Plan. RSUs are bookkeeping entries representing an amount equal to the fair market value of one</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reduce or waive any vesting criteria that must be met to receive a payout.</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 Performance units and performance shares may be granted under our 2018 Plan. Performance units</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79"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Our 2018 Plan provides that all outside (non-employee) directors will be eligible to receive all types of awards (except for</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options) under our 2018 Plan. Prior to the completion of this offering, we intend to implement a formal policy pursuant to which our outside directors will be eligible to receive equity awards under our 2018 Plan. In order to provide a maximum limit on the awards that can be made to our outside directors, our 2018 Plan provides that in any given fiscal year, an outside director will not be granted (i) stock-settled awards having a grant-date fair value greater than $1,000,000 (increased to $2,000,000 in connection with his or her initial service) or (ii) cash-settled awards having a grant-date fair value greater than $1,000,000 (increased to $2,000,000 in connection with his or her initial service). The grant-date fair values will be determined according to U.S. GAAP. The maximum limits do not reflect the intended size of any potential grants or a commitment to make grants to our outside directors under our 2018 Plan in the future.</w:t>
      </w:r>
    </w:p>
    <w:p>
      <w:pPr>
        <w:spacing w:after="0" w:line="17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the administrator provides otherwise, our 2018 Plan generally does not allow for the transfer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the laws of descent or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4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66"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awards will terminate immediately prior to the consummation of such proposed transaction.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2018 Plan provides that in the event of a merger or change in control, as defined under our 2018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is not required to treat all awards or participants similarly.</w:t>
      </w:r>
    </w:p>
    <w:p>
      <w:pPr>
        <w:spacing w:after="0" w:line="18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all other terms and conditions met and such award will become fully exercisable, if applicable.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9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the event of a change in control, with respect to awards granted to an outside director, his or her options and stock appreciation rights, if any, will vest fully and become immediately exercisable, all restrictions on his or her restricted stock and restricted stock units will lapse and all performance goals or other vesting requirements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his or her performance shares and units will be deemed achieved at 100% of target levels, and all other terms and conditions met.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2018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existing rights of any participant. Our 2018 Plan automatically will terminate in 2027, unless we terminate it sooner. No additional awards may be granted under the 2018 Plan following its termination or expiration.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Year 2018 Employee Stock Purchase Plan</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March 2018, our board of directors adopted, and we expect our stockholders will approve, our ESPP. Our ESPP will be effective on the business day immediately prior to the effective date of the registration statement of which this prospectus forms a part. We believe that allowing our employees to participate in our ESPP provides them with a further incentive towards ensuring our success and accomplishing our corporate goals.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2,200,000 shares of our common stock will be available for sale under our ESPP. The number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will be available for sale under our ESPP also includes an annual increase on the first day of each fiscal year beginning on August 1, 2018, equal to the least of:</w:t>
      </w:r>
    </w:p>
    <w:p>
      <w:pPr>
        <w:spacing w:after="0" w:line="87" w:lineRule="exact"/>
        <w:rPr>
          <w:sz w:val="20"/>
          <w:szCs w:val="20"/>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2,200,000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outstanding shares of our common stock as of the last day of the immediately preceding fiscal year;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225"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will administer our ESPP. We expect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to administer our ESPP. The administrator will have full and exclusive discretionary authority to construe, interpret, and apply the terms of the ESPP, to designate separate offerings under the ESPP, to designate our subsidiaries and affiliates as participating in the ESPP, to determine eligibility, to adjudicate all disputed claims filed under the ESPP and to establish procedures that it deems necessary for the administration of the ESPP.</w:t>
      </w:r>
    </w:p>
    <w:p>
      <w:pPr>
        <w:spacing w:after="0" w:line="18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Generally, all of our employees will be eligible to participate if they are employed by us, or any participating subsidiary, for at least 20</w:t>
      </w:r>
      <w:r>
        <w:rPr>
          <w:rFonts w:ascii="Arial" w:cs="Arial" w:eastAsia="Arial" w:hAnsi="Arial"/>
          <w:sz w:val="18"/>
          <w:szCs w:val="18"/>
          <w:i w:val="1"/>
          <w:iCs w:val="1"/>
          <w:color w:val="auto"/>
        </w:rPr>
        <w:t xml:space="preserve"> </w:t>
      </w:r>
      <w:r>
        <w:rPr>
          <w:rFonts w:ascii="Arial" w:cs="Arial" w:eastAsia="Arial" w:hAnsi="Arial"/>
          <w:sz w:val="18"/>
          <w:szCs w:val="18"/>
          <w:color w:val="auto"/>
        </w:rPr>
        <w:t>hours per week and more than five months in any calendar year.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an employee may not be granted rights to purchase shares of our common stock under our ESPP if such employee:</w:t>
      </w:r>
    </w:p>
    <w:p>
      <w:pPr>
        <w:spacing w:after="0" w:line="131" w:lineRule="exact"/>
        <w:rPr>
          <w:sz w:val="20"/>
          <w:szCs w:val="20"/>
          <w:color w:val="auto"/>
        </w:rPr>
      </w:pPr>
    </w:p>
    <w:p>
      <w:pPr>
        <w:ind w:left="1060" w:hanging="424"/>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possessing 5% or more of the total combined voting power or value of all classes of our capital stock;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hold rights to purchase shares of our common stock under all of our employee stock purchase plans that accrue at a rate that exceeds $25,000 worth of shares of our common stock for each calendar year.</w:t>
      </w:r>
    </w:p>
    <w:p>
      <w:pPr>
        <w:spacing w:after="0" w:line="170"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 Our ESPP includes a component that allows us to make offerings intended to qualify under Section 423 of the Internal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Code and a component that allows us to make offerings not intended to qualify under Section 423 of the Internal Revenue Code to designated companies, as described in our ESPP. Our ESPP provides for 24-month offering periods. The offering periods are scheduled to start on the first trading day on or after June 15 and December 15 of each year, except for the first offering period, which will commence on the first trading day on or after the date of effectiveness of the registration statement of which this prospectus forms a part. Each offering period will include four purchase periods, which will be the approximately 6-month period commencing after one exercise date and ending with the next exercise date.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 Our ESPP permits participants to purchase shares of our common stock through payroll deductions of up to 15% of their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 participant may purchase a maximum of 3,000 shares of our common stock during a purchase period.</w:t>
      </w:r>
    </w:p>
    <w:p>
      <w:pPr>
        <w:spacing w:after="0" w:line="170"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the participant are used to purchase shares of our common stock at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6-month purchase period. The purchase price of the shares will be 85% of the lower of the fair market value of our common stock on the first trading day of each offering period or on the exercise date. If the fair market value of our common stock on the exercise date is less than the fair market value on the first trading day of the offering period, participants will be withdrawn from the current offering period following their purchase of shares of our common stock on the purchase date and will be automatically re-enrolled in a new offering period.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rights granted under our ESPP other than by will or the laws of descent and distribution.</w:t>
      </w:r>
    </w:p>
    <w:p>
      <w:pPr>
        <w:spacing w:after="0" w:line="23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ESPP provides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5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ESPP at any time and for any reason. Our ESPP</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terminate in 2037, unless we terminate it sooner.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2007 Stock Plan</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September 2007, our board of directors adopted, and our stockholders approved our 2007 Plan. Our 2007 Plan was most recently amended effective August 31, 2017. We expect to terminate our 2007 Plan in connection with our adoption of the 2018 Plan and that no additional awards will be granted under our 2007 Plan thereafter. However, the terms of our 2007 Plan will continue to govern any outstanding awards thereunder. Our 2007 Plan provides for the grant of incentive stock options, within the meaning of Section 422 of the Internal Revenue Code, to our employees and any parent and subsidiary corporations’ employees, and for the grant of nonstatutory stock options and stock purchase rights to our employees, directors and consultants and our parent and subsidiary corporations’ employees and consultants.</w:t>
      </w:r>
    </w:p>
    <w:p>
      <w:pPr>
        <w:spacing w:after="0" w:line="17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January 31, 2018, a total of 38,398,245 shares of our common stock was authorized under our 2007 Plan,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14,949,423 shares of our common stock were outstanding and options to purchase 3,708,602 shares of our common stock were reserved for future issuance. The maximum number of shares that may be issued upon the exercise of incentive stock options under our 2007 Plan is 38,398,245, plus, to the extent allowable under Section 422 of the Internal Revenue Code, any shares of our common stock that become available for future issuance under our 2007 Plan.</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administers the 2007 Plan. We anticipate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administer our 2007 Plan following the completion of this offering. Subject to the provisions of our 2007 Plan, the administrator has the power to administer our 2007 Plan, including, but not limited to: the power to interpret the terms of our 2007 Plan and awards granted under it; to create, amend and revoke rules relating to our 2007 Plan, including creating sub-plans; and to determine the terms of the awards, including the exercise price, the number of shares subject to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each such award, the exercisability of the awards, and the form of consideration, if any, payable upon exercise of an award. The administrator also has the authority to modify or amend existing awards to reduce or increase their exercise price, to allow participants the opportunity to transfer outstanding awards to family members, as permitted by Rule 701 of the Securities Act, and to institute an exchange program by which outstanding options may be surrendered in exchange for options of the same type which may have a lower or higher exercise price and different terms, options of a different type, and/or cash, and/or by which the exercise price of outstanding options is reduced.</w:t>
      </w:r>
    </w:p>
    <w:p>
      <w:pPr>
        <w:spacing w:after="0" w:line="173"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may be granted under our 2007 Plan. The exercise price per share and term of a stock option granted under our 2007</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determined by the administrator. The exercise price per share of any option granted under our 2007 Plan must at least be equal to the fair market value of a share of our common stock on the date of grant, and the term of any stock option granted under our 2007 Plan may not exceed 10 years. However, with respect to any incentive stock option granted to a person who owns more than 10% of the voting power of all classes of our outstanding stock, the incentive stock option’s term must not exceed five years, and its exercise price per share must equal at least 110% of the fair market value of a share of our common stock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 participant, he or she generally may exercise the vested portion of his or her option for 12 months if termination is due to death or disability or for three months in all other cases. However, in no event may an option be exercised later than the expiration of its term. Subject to the provisions of our 2007 Plan, the administrator determines the other terms of the options.</w:t>
      </w:r>
    </w:p>
    <w:p>
      <w:pPr>
        <w:spacing w:after="0" w:line="16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Stock Purchase Rights</w:t>
      </w:r>
      <w:r>
        <w:rPr>
          <w:rFonts w:ascii="Arial" w:cs="Arial" w:eastAsia="Arial" w:hAnsi="Arial"/>
          <w:sz w:val="17"/>
          <w:szCs w:val="17"/>
          <w:color w:val="auto"/>
        </w:rPr>
        <w:t>. Stock purchase rights may be granted under our 2007 Plan. Stock purchase rights granted under our 2007 Plan are grants</w:t>
      </w:r>
      <w:r>
        <w:rPr>
          <w:rFonts w:ascii="Arial" w:cs="Arial" w:eastAsia="Arial" w:hAnsi="Arial"/>
          <w:sz w:val="17"/>
          <w:szCs w:val="17"/>
          <w:i w:val="1"/>
          <w:iCs w:val="1"/>
          <w:color w:val="auto"/>
        </w:rPr>
        <w:t xml:space="preserve"> </w:t>
      </w:r>
      <w:r>
        <w:rPr>
          <w:rFonts w:ascii="Arial" w:cs="Arial" w:eastAsia="Arial" w:hAnsi="Arial"/>
          <w:sz w:val="17"/>
          <w:szCs w:val="17"/>
          <w:color w:val="auto"/>
        </w:rPr>
        <w:t>of rights to purchase shares of our common stock that are subject to various restrictions, including restrictions on transferability and forfeiture provisions. After the administrator determines that it will offer stock purchase rights, it advises the purchaser of the terms, conditions and restrictions related to the offer, including the number of shares that the purchaser is entitled to purchase, the price to be paid and the time within which the purchaser must accept such offer. A purchaser accepts the offer by execution of a restricted share purchase agreement in the form determined by the administrator. Once the stock purchase right is exercised, the purchaser will have rights equivalent to a shareholder, subject to such forfeiture conditions, rights of repurchase or other restrictions that the administrator may determine and set forth in the award agreement.</w:t>
      </w:r>
    </w:p>
    <w:p>
      <w:pPr>
        <w:spacing w:after="0" w:line="178"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2007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or distribution, and only the recipient of an option may exercise an award during his or her lifetime.</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under our 2007 Plan, the administrator will adjust the number and class of shares that may be delivered under the 2007 Plan and/or the number, class and price of shares covered by each outstanding award.</w:t>
      </w:r>
    </w:p>
    <w:p>
      <w:pPr>
        <w:spacing w:after="0" w:line="18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In the event of our proposed liquidation or dissolution, the administrator will notify participants as soon as practicable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effective date of such proposed transactions and all awards will terminate immediately prior to the completion of such proposed transaction.</w:t>
      </w:r>
    </w:p>
    <w:p>
      <w:pPr>
        <w:spacing w:after="0" w:line="124"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2007 Plan provides that, in the event of a merger or change in control, as defined under our 2007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may be assumed or substituted for an equivalent award. In the event that awards are not assumed or substituted for, then the vesting of outstanding awards will be accelerated, and stock options will become exercisable in full prior to such transaction. In addition, if an option is not assumed or substituted in the event of a merger or change in control, the administrator will notify the participant that such award will be fully vested and exercisable for a specified period prior to the transaction,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award will terminate upon the expiration of such period for no consideration, unless otherwise determined by the administrator.</w:t>
      </w:r>
    </w:p>
    <w:p>
      <w:pPr>
        <w:spacing w:after="0" w:line="225"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the 2007 Plan at any time, provided such action does</w:t>
      </w:r>
      <w:r>
        <w:rPr>
          <w:rFonts w:ascii="Arial" w:cs="Arial" w:eastAsia="Arial" w:hAnsi="Arial"/>
          <w:sz w:val="17"/>
          <w:szCs w:val="17"/>
          <w:i w:val="1"/>
          <w:iCs w:val="1"/>
          <w:color w:val="auto"/>
        </w:rPr>
        <w:t xml:space="preserve"> </w:t>
      </w:r>
      <w:r>
        <w:rPr>
          <w:rFonts w:ascii="Arial" w:cs="Arial" w:eastAsia="Arial" w:hAnsi="Arial"/>
          <w:sz w:val="17"/>
          <w:szCs w:val="17"/>
          <w:color w:val="auto"/>
        </w:rPr>
        <w:t>not impair the existing rights of any participant unless the participant and administrator mutually agree otherwise. Following the expected termination of our 2007 Plan in connection with this offering, no additional awards will be granted under our 2007 Plan.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Employee Incentive Compensation Plan</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board of directors has adopted an Employee Incentive Compensation Plan, or the Incentive Compensation Plan. Our Incentive Compensation Plan allows our compensation committee to provide cash incentive awards to employees selected by our compensation committee, including our named executive officers, based upon performance goals established by our compensation committee. Pursuant to the Incentive Compensation Plan, our compensation committee, in its sole discretion, establishes a target award for each participant and a bonus pool, with actual awards payable from such bonus pool, with respect to the applicable performance period.</w:t>
      </w:r>
    </w:p>
    <w:p>
      <w:pPr>
        <w:spacing w:after="0" w:line="188" w:lineRule="exact"/>
        <w:rPr>
          <w:sz w:val="20"/>
          <w:szCs w:val="20"/>
          <w:color w:val="auto"/>
        </w:rPr>
      </w:pPr>
    </w:p>
    <w:p>
      <w:pPr>
        <w:jc w:val="both"/>
        <w:ind w:left="200" w:firstLine="441"/>
        <w:spacing w:after="0" w:line="268" w:lineRule="auto"/>
        <w:rPr>
          <w:sz w:val="20"/>
          <w:szCs w:val="20"/>
          <w:color w:val="auto"/>
        </w:rPr>
      </w:pPr>
      <w:r>
        <w:rPr>
          <w:rFonts w:ascii="Arial" w:cs="Arial" w:eastAsia="Arial" w:hAnsi="Arial"/>
          <w:sz w:val="17"/>
          <w:szCs w:val="17"/>
          <w:color w:val="auto"/>
        </w:rPr>
        <w:t>Under our Incentive Compensation Plan, our compensation committee determines the performance goals applicable to any award, which goals may include, without limitation, the attainment of research and development milestones, billings, bookings, business divestitures and acquisitions, cash flow, cash position, contract awards or backlog, customer-related measures, customer retention rates, business unit or division earnings (which may include any calculation of earnings, including but not limited to earnings before interest and taxes, earnings before taxes, earnings before interest, taxes, depreciation and amortization, earnings before taxes and net earnings), earnings per share, employee retention, employee mobility, expenses, geographic expansion, gross margin, growth in stockholder value relative to the moving average of the S&amp;P 500 Index or another index, hiring targets, internal rate of return, inventory turns, inventory levels, market share, milestone achievements, net billings, net income, net profit, net revenue margin, net sales, new customers, new product development, new product invention or innovation, number of customers, operating cash flow, operating expenses, operating income, operating margin, origination volume, overhead or other expense reduction, product defect measures, product development, product release timelines, productivity, profit, return on assets, return on capital, return on equity, return on investment, return on sales, revenue, revenue growth, sales efficiency, sales results, sales growth, stock price, time to market, total stockholder return, units sold (total and new) working capital, and individual objectives such as management by objectives, peer reviews or other subjective or objective criteria. The performance goals may differ from participant to participant and from award to award.</w:t>
      </w:r>
    </w:p>
    <w:p>
      <w:pPr>
        <w:spacing w:after="0" w:line="18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Our compensation committee administers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7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Actual awards will be paid in cash (or its equivalent) in a single lump sum only after they are earned, which usually requires continued employment through the date the actual award is paid. The compensation committee reserves the right to settle an actual award with a grant of an equity award under the Company’s then-current equity compensation plan, which equity award may have such terms and conditions, as the compensation committee determines. Payment of awards occurs as soon as administratively practicable after they are earned, but no later than the dates set forth in our Incentive Compensation Plan.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maintain a tax-qualified retirement plan, or the 401(k) plan, that provides eligible employees with an opportunity to save for retirement on a tax-advantaged basis. Eligible employees are able to participate in the 401(k) plan as of the first day of the month following the date they meet the 401(k) plan’s eligibility requirements, and participants are able to defer up to 100% of their eligible compensation subject to applicable annual Internal Revenue Code limits. All participants’ interests in their deferrals are 100% vested when contributed. We have not made any matching contributions to the 401(k) plan to date.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prior to the completion of this offering, will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92"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will not eliminate a director’s duty of care and in appropriate circumstances, equitable remedies, such as injunctive or other forms of non-monetary relief, will remain available under Delaware law. This provision also will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3"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and expect to continue to enter into agreements to indemnify each of our current directors, officers and some employees. With specified exceptions,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Our directors who are affiliated with venture capital funds also have certain rights of indemnification provided by their venture capital funds and the affiliates of those funds (which we refer to as the fund indemnitors). We have agreed to indemnify the fund indemnitors to the extent of any claims asserted against the fund indemnitors that arise solely from the status or conduct of these directors in their capacity as our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directors, which indemnification agreements will terminate upon the completion of this offering. We believe that these bylaw provisions and indemnification agreements are necessary to attract and retain qualified persons as directors and officers. We also maintain directors’ and officers’ liability insurance.</w:t>
      </w:r>
    </w:p>
    <w:p>
      <w:pPr>
        <w:spacing w:after="0" w:line="181"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to the compensation arrangements discussed in the sections titled “Management” and “Executive Compensation,” the following is a description of each transaction since August 1, 2014 and each currently proposed transaction in which:</w:t>
      </w:r>
    </w:p>
    <w:p>
      <w:pPr>
        <w:spacing w:after="0" w:line="76" w:lineRule="exact"/>
        <w:rPr>
          <w:sz w:val="20"/>
          <w:szCs w:val="20"/>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1060" w:right="20" w:hanging="424"/>
        <w:spacing w:after="0" w:line="308"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D Redeemable Convertible Preferred Stock Financing</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From July 2015 through September 2015, we sold an aggregate of 12,269,663 shares of our Series D redeemable convertible preferred stock at a purchase price of $8.9652 per share, for an aggregate purchase price of $110.0 million, pursuant to our Series D redeemable convertible preferred stock financing.</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Each share of our Series D redeemable convertible preferred stock will convert automatically into one share of our common stock immediately prior to the completion of this offering.</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purchasers of our Series D redeemable convertible preferred stock are entitled to specified registration rights. For additional information, see “Description of Capital Stock—Registration Rights.”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purchases of our Series D redeemable convertible preferred stock by related persons: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41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Series D</w:t>
            </w:r>
          </w:p>
        </w:tc>
        <w:tc>
          <w:tcPr>
            <w:tcW w:w="168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w w:val="89"/>
              </w:rPr>
              <w:t>Total Purchase</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7"/>
              </w:rPr>
              <w:t>Preferred Stock</w:t>
            </w:r>
          </w:p>
        </w:tc>
        <w:tc>
          <w:tcPr>
            <w:tcW w:w="7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w:t>
            </w: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Affiliated with TPG</w:t>
            </w:r>
            <w:r>
              <w:rPr>
                <w:rFonts w:ascii="Arial" w:cs="Arial" w:eastAsia="Arial" w:hAnsi="Arial"/>
                <w:sz w:val="15"/>
                <w:szCs w:val="15"/>
                <w:color w:val="auto"/>
              </w:rPr>
              <w:t>(1)</w:t>
            </w:r>
          </w:p>
        </w:tc>
        <w:tc>
          <w:tcPr>
            <w:tcW w:w="3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9,146,477</w:t>
            </w:r>
          </w:p>
        </w:tc>
        <w:tc>
          <w:tcPr>
            <w:tcW w:w="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$81,999,999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520" w:right="20" w:hanging="316"/>
        <w:spacing w:after="0" w:line="253" w:lineRule="auto"/>
        <w:tabs>
          <w:tab w:leader="none" w:pos="5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Affiliates of TPG holding our securities whose shares are aggregated for purposes of reporting share ownership information are TPG Zookeeper (A), LP and TPG Zookeeper (B), LP. Nehal Raj, a member of our board of directors, is a Partner at TPG.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jc w:val="both"/>
        <w:ind w:left="200" w:right="20" w:firstLine="441"/>
        <w:spacing w:after="0" w:line="253" w:lineRule="auto"/>
        <w:rPr>
          <w:sz w:val="20"/>
          <w:szCs w:val="20"/>
          <w:color w:val="auto"/>
        </w:rPr>
      </w:pPr>
      <w:r>
        <w:rPr>
          <w:rFonts w:ascii="Arial" w:cs="Arial" w:eastAsia="Arial" w:hAnsi="Arial"/>
          <w:sz w:val="18"/>
          <w:szCs w:val="18"/>
          <w:color w:val="auto"/>
        </w:rPr>
        <w:t>We are party to an amended and restated investors’ rights agreement dated July 24, 2015 which provides, among other things, that certain holders of our capital stock, including (i) entities affiliated with TPG, where our director Nehal Raj is a Partner, and which such entities hold more than 5% of our outstanding capital stock, (ii) entities affiliated with Jay Chaudhry, our president, chief executive officer and chairman of our board of directors, which entities also hold more than 5% of our outstanding capital stock, (iii) entities affiliated with Mr. Chaudhry’s wife, Jyoti Chaudhry, who was a member of our board of directors at the time we entered into such investors’ rights agreement, (iv) entities affiliated with Lane Bess, a member of our board of directors, and (v) entities affiliated with Kailash Kailash, who was a member of our board of directors at the time we entered into such investors’ rights agreement,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party to an amended and restated voting agreement dated July 24, 2015 under which certain holders of our capital stock, including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entities affiliated with TPG, (ii) entities affiliated with Mr. Chaudhry,</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
        <w:spacing w:after="0" w:line="273" w:lineRule="auto"/>
        <w:tabs>
          <w:tab w:leader="none" w:pos="52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entities affiliated with Ms. Chaudhry, (iv) entities affiliated with Mr. Bess, (v) entities affiliated with Mr. Kailash, who was a member of our board of directors at the time we entered into such voting agreement and (vi) Amit Sinha, our chief technology officer and executive vice president of engineering and cloud operations and a member of our board of directors, have agreed as to the manner in which they will vote their shares of our capital stock on certain matters, including with respect to the election of directors. Upon the conversion of all outstanding shares of our preferred stock into common stock, which we expect to occur immediately prior to completion of this offering, the amended and restated voting agreement will terminate and none of our stockholders will have any special rights regarding the election or designation of members of our board of directors.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dated July 24, 2015, certain holders of our capital stock, we or our assignees have a right to purchase shares of our capital stock which certain stockholders propose to sell to other parties. This right will terminate upon completion of this offering.</w:t>
      </w:r>
    </w:p>
    <w:p>
      <w:pPr>
        <w:spacing w:after="0" w:line="166"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Since August 1, 2014, we have waived our right of first refusal in connection with certain sales of shares of our capital stock, including sales by Manoj Apte, our senior vice president and chief strategy officer, and Dr. Sinha. Our waivers resulted in the purchase of such shares by certain of our stockholders, including entities controlled by Messrs. Chaudhry and Bess, at prices in excess of the estimated fair value of such shares at the time of the transactions. As a result, we recorded stock-based compensation expense of $4.4 million in fiscal 2017 for the difference between the price paid and the estimated fair value on the date of the transaction. See the section titled “Principal Stockholders” for additional information regarding beneficial ownership of our capital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Hart-Scott-Rodino Filing Fees on Behalf of Mr. Chaudhry</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August 2017, our board of directors approved the payment by us of filing fees in the amount of $125,000 on behalf of Mr. Chaudhry in connection with a filing made under the Hart-Scott-Rodino Antitrust Improvements Act of 1976, as amended, as a result of the acquisition by entities controlled by Mr. Chaudhry of shares of our common stock from existing stockholders. Our board of directors also approved reimbursing Mr. Chaudhry for any applicable taxes payable by Mr. Chaudhry as a result of such payment.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Loans to Directors and Executive Officers</w:t>
      </w:r>
    </w:p>
    <w:p>
      <w:pPr>
        <w:spacing w:after="0" w:line="12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previously made loans to certain of our directors and executive officers, along with certain of our other employees, in connection with their early exercise of options to purchase shares of our common stock. Each such loan was made pursuant to a full recourse promissory note. In connection with each such promissory note, the borrower early exercised options to purchase shares of our common stock, and pledged and assigned to us a security interest in all such shares. Unless any such note is accelerated in accordance with its terms, it terminates upon the earliest to occur of (i) the fixed maturity date specified therein, (ii) prior to the time such note would be prohibited by the Sarbanes-Oxley Act, (iii) following termination of the applicable employee for cause or (iv) upon the occurrence of other events specified therein.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Loans to Amit Sinha</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December 2013, we loaned to Dr. Sinha, our chief technology officer and executive vice president of engineering and cloud operations and a member of our board of directors, $475,000 with interest at a rate per annum of 2.46%, compounded semi-annually, in connection with Dr. Sinha’s early exercise of 333,333 options to purchase shares of our common stock. As of January 31, 2018, the balance of the note was $524,962, including principal and $49,962 of accrued interest.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May 2015, we loaned to Dr. Sinha $875,000 with interest at a rate per annum of 2.28%, compounded semi-annually, in connection with Dr. Sinha’s early exercise of 333,333 options to purchase shares of our common stock. As of January 31, 2018, the balance of the note was $930,320, including principal and $55,320 of accrued interest.</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February 2018, Dr. Sinha repaid the outstanding principal and interest due under each of the loans, and we terminated each of the promissory notes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Loans to William Welch</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December 2014, we loaned to William Welch, our chief operating officer, $773,500 with interest at a rate per annum of 2.57%, compounded semi-annually, in connection with Mr. Welch’s early exercise of 433,333 options to purchase shares of our common stock. As of January 31, 2018, the balance of the note was $837,426, including principal and $63,926 of accrued interest.</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April 2015, we loaned to Mr. Welch $612,500 with interest at a rate per annum of 2.54%, compounded semi-annually, in connection with Mr. Welch’s early exercise of 233,333 options to purchase shares of our common stock. As of January 31, 2018, the balance of the note was $656,671, including principal and $44,171 of accrued interest.</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February 2016, we loaned to Mr. Welch $879,000 with interest at a rate per annum of 2.17%, compounded semi-annually, in connection with Mr. Welch’s early exercise of 200,000 options to purchase shares of our common stock. As of January 31, 2018, the balance of the note was $917,665, including principal and $38,665 of accrued interest.</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February 2018, Mr. Welch repaid the outstanding principal and interest due under each of the loans, and we terminated each of the promissory notes described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Advisor Agreement</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June 2014, we entered into an executive advisor agreement for consulting services with Andrew Brown, who has served as a member of our board of directors since October 2015. Pursuant to this agreement, we paid Mr. Brown $50,000 during fiscal 2015, $48,000 during fiscal 2016 and $32,000 during fiscal 2017. The executive advisor agreement was terminated in February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Two Rivers Pictures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each of fiscal 2016 and 2017, we engaged Two Rivers Pictures, a video production company owned and operated by Garrett Bess, the brother of our director Lane Bess, to produce marketing communications materials for us. The total amount invoiced by Two Rivers Pictures was $34,600 for fiscal 2016 and $127,823 for fiscal 2017 for services provided in each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 Grants to Executive Officers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granted stock options to our named executive officers. For a description of these options, see “Executive Compensation—Outstanding Equity Awards as of Fiscal Year End.”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Letters</w:t>
      </w:r>
    </w:p>
    <w:p>
      <w:pPr>
        <w:spacing w:after="0" w:line="121"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We have entered into offer letters and other arrangements containing compensation, termination and change of control provisions, among others, with certain of our executive officers as described under “Executive Compensation—Named Executive Officer Employment Letters.”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also entered into offer letters with each of Karen Blasing, Mr. Brown, Scott Darling and Charles Giancarlo in connection with their appointment to our board of directors, as described under “Management—Non-Employee Director Compensation.”</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in April 2011, we entered into an employment letter with our director Mr. Bess, pursuant to which Mr. Bess served as our chief operating officer and executive vice president of worldwide sales and field marketing from April 2011 to February 2015. Pursuant to such letter, for the portion of fiscal 2015 that we employed Mr. Bess, we paid him salary and bonus in the amount of $260,257 and non-equity incentive plan compensation equal to $20,724.</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121"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Certain entities associated with Messrs. Giancarlo, Bess and Darling and Ms. Blasing, each a member of our board of directors, have indicated an interest in purchasing up to an aggregate of approximately $5.0 million of shares of our common stock in this offering (or an aggregate of 357,142 shares based on the midpoint of the estimated offering price range set forth on the cover page of this prospectus) at the initial public offering price. Because these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 underwriters will receive the same discount from any shares sold to these existing stockholders as they will from any other shares sold to the public in this offering. Any shares purchased by such stockholders will be subject to lock-up restrictions described in the section entitled “Shares Eligible for Future Sale.”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officers. The indemnification agreements and our certificate of incorporation and bylaws require us to indemnify our directors and officers to the fullest extent permitted by Delaware law. See “Executive Compensation—Limitation on Liability and Indemnification Matters.”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directors and executive officers for certain liabilities arising under the Securities Act or otherwise.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Effective upon the completion of this offering, we will have a formal written policy providing that our executive officers, directors, nominees for election as directors, beneficial owners of more than 5% of any class of our common stock and any member of the immediate family of any of the foregoing persons, is not permitted to enter into a related-party transaction with us without the consent of our audit committee, subject to the exceptions described below.</w:t>
      </w:r>
    </w:p>
    <w:p>
      <w:pPr>
        <w:spacing w:after="0" w:line="18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has determined that certain transactions will not require audit committee approval, including certain employment arrangements of executive officers, director compensation, transactions with another company at which a related party’s only relationship is as a non-executive employee, director or beneficial owner of less than 10% of that company’s shares and the aggregate amount involved does not exceed $120,000 in any fiscal year, transactions where a related party’s interest arises solely from the ownership of our common stock and all holders of our common stock received the same benefit on a pro rata basis and transactions available to all employees generally.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believe that we have executed all of the transactions set forth above on terms no less favorable to us than we could have obtained from unaffiliated third parties. 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January 31, 2018 and as adjusted to reflect the sale of our common stock offered by us in this offering, assuming no exercise by the underwriters of their over-allotment option, for:</w:t>
      </w:r>
    </w:p>
    <w:p>
      <w:pPr>
        <w:spacing w:after="0" w:line="87"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Applicable percentage ownership prior to this offering is based on 105,331,507 shares of common stock outstanding as of January 31, 2018, after giving effect to the conversion of all outstanding shares of convertible preferred stock into shares of common stock. In computing the number of shares of common stock beneficially owned by a person and the percentage ownership of such person, we deemed to be outstanding all shares of common stock subject to equity awards held by the person that are currently exercisable or exercisable within 60 days of January 31, 2018. We did not deem such shares outstanding, however, for the purpose of computing the percentage ownership of any other person. Percentage ownership of our common stock after this offering assumes our sale of 12,000,000 shares of common stock in this offering.</w:t>
      </w:r>
    </w:p>
    <w:p>
      <w:pPr>
        <w:spacing w:after="0" w:line="17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Zscaler, Inc., 110 Rose Orchard Way, San Jose, California 95134.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Shares Beneficially Owned</w:t>
            </w:r>
          </w:p>
        </w:tc>
        <w:tc>
          <w:tcPr>
            <w:tcW w:w="222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6"/>
              </w:rPr>
              <w:t>Prior to the Offering</w:t>
            </w:r>
          </w:p>
        </w:tc>
        <w:tc>
          <w:tcPr>
            <w:tcW w:w="4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After the Offering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76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0"/>
                <w:szCs w:val="10"/>
                <w:color w:val="auto"/>
              </w:rPr>
            </w:pPr>
          </w:p>
        </w:tc>
        <w:tc>
          <w:tcPr>
            <w:tcW w:w="1680" w:type="dxa"/>
            <w:vAlign w:val="bottom"/>
            <w:gridSpan w:val="2"/>
          </w:tcPr>
          <w:p>
            <w:pPr>
              <w:jc w:val="right"/>
              <w:ind w:right="860"/>
              <w:spacing w:after="0" w:line="119" w:lineRule="exact"/>
              <w:rPr>
                <w:sz w:val="20"/>
                <w:szCs w:val="20"/>
                <w:color w:val="auto"/>
              </w:rPr>
            </w:pPr>
            <w:r>
              <w:rPr>
                <w:rFonts w:ascii="Arial" w:cs="Arial" w:eastAsia="Arial" w:hAnsi="Arial"/>
                <w:sz w:val="13"/>
                <w:szCs w:val="13"/>
                <w:b w:val="1"/>
                <w:bCs w:val="1"/>
                <w:color w:val="auto"/>
              </w:rPr>
              <w:t>Number of</w:t>
            </w:r>
          </w:p>
        </w:tc>
        <w:tc>
          <w:tcPr>
            <w:tcW w:w="4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gridSpan w:val="3"/>
            <w:vMerge w:val="continue"/>
          </w:tcPr>
          <w:p>
            <w:pPr>
              <w:spacing w:after="0"/>
              <w:rPr>
                <w:sz w:val="14"/>
                <w:szCs w:val="14"/>
                <w:color w:val="auto"/>
              </w:rPr>
            </w:pPr>
          </w:p>
        </w:tc>
        <w:tc>
          <w:tcPr>
            <w:tcW w:w="17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Shares</w:t>
            </w: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4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Ajay Mangal, as trustee</w:t>
            </w:r>
            <w:r>
              <w:rPr>
                <w:rFonts w:ascii="Arial" w:cs="Arial" w:eastAsia="Arial" w:hAnsi="Arial"/>
                <w:sz w:val="15"/>
                <w:szCs w:val="15"/>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29,824,532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28.3</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29,824,532</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TPG</w:t>
            </w:r>
            <w:r>
              <w:rPr>
                <w:rFonts w:ascii="Arial" w:cs="Arial" w:eastAsia="Arial" w:hAnsi="Arial"/>
                <w:sz w:val="15"/>
                <w:szCs w:val="15"/>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9,146,477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9,146,477</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Chaudhry</w:t>
            </w:r>
            <w:r>
              <w:rPr>
                <w:rFonts w:ascii="Arial" w:cs="Arial" w:eastAsia="Arial" w:hAnsi="Arial"/>
                <w:sz w:val="15"/>
                <w:szCs w:val="15"/>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26,848,704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26,848,704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Remo Canessa</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Welch</w:t>
            </w:r>
            <w:r>
              <w:rPr>
                <w:rFonts w:ascii="Arial" w:cs="Arial" w:eastAsia="Arial" w:hAnsi="Arial"/>
                <w:sz w:val="15"/>
                <w:szCs w:val="15"/>
                <w:color w:val="auto"/>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866,666</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Lane Bess</w:t>
            </w:r>
            <w:r>
              <w:rPr>
                <w:rFonts w:ascii="Arial" w:cs="Arial" w:eastAsia="Arial" w:hAnsi="Arial"/>
                <w:sz w:val="15"/>
                <w:szCs w:val="15"/>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2,082,417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2,082,417</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Blasing</w:t>
            </w:r>
            <w:r>
              <w:rPr>
                <w:rFonts w:ascii="Arial" w:cs="Arial" w:eastAsia="Arial" w:hAnsi="Arial"/>
                <w:sz w:val="15"/>
                <w:szCs w:val="15"/>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233,332</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Andrew Brown</w:t>
            </w:r>
            <w:r>
              <w:rPr>
                <w:rFonts w:ascii="Arial" w:cs="Arial" w:eastAsia="Arial" w:hAnsi="Arial"/>
                <w:sz w:val="15"/>
                <w:szCs w:val="15"/>
                <w:color w:val="auto"/>
              </w:rPr>
              <w:t>(8)</w:t>
            </w:r>
          </w:p>
        </w:tc>
        <w:tc>
          <w:tcPr>
            <w:tcW w:w="1000" w:type="dxa"/>
            <w:vAlign w:val="bottom"/>
          </w:tcPr>
          <w:p>
            <w:pPr>
              <w:jc w:val="right"/>
              <w:spacing w:after="0"/>
              <w:rPr>
                <w:sz w:val="20"/>
                <w:szCs w:val="20"/>
                <w:color w:val="auto"/>
              </w:rPr>
            </w:pPr>
            <w:r>
              <w:rPr>
                <w:rFonts w:ascii="Arial" w:cs="Arial" w:eastAsia="Arial" w:hAnsi="Arial"/>
                <w:sz w:val="18"/>
                <w:szCs w:val="18"/>
                <w:color w:val="auto"/>
              </w:rPr>
              <w:t>233,333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233,333</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Darling</w:t>
            </w: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Charles Giancarlo</w:t>
            </w:r>
            <w:r>
              <w:rPr>
                <w:rFonts w:ascii="Arial" w:cs="Arial" w:eastAsia="Arial" w:hAnsi="Arial"/>
                <w:sz w:val="15"/>
                <w:szCs w:val="15"/>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233,333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233,333</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Nehal Raj</w:t>
            </w:r>
            <w:r>
              <w:rPr>
                <w:rFonts w:ascii="Arial" w:cs="Arial" w:eastAsia="Arial" w:hAnsi="Arial"/>
                <w:sz w:val="15"/>
                <w:szCs w:val="15"/>
                <w:color w:val="auto"/>
              </w:rPr>
              <w:t>(10)</w:t>
            </w:r>
          </w:p>
        </w:tc>
        <w:tc>
          <w:tcPr>
            <w:tcW w:w="17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Amit Sinha</w:t>
            </w:r>
            <w:r>
              <w:rPr>
                <w:rFonts w:ascii="Arial" w:cs="Arial" w:eastAsia="Arial" w:hAnsi="Arial"/>
                <w:sz w:val="15"/>
                <w:szCs w:val="15"/>
                <w:color w:val="auto"/>
              </w:rPr>
              <w:t>(11)</w:t>
            </w:r>
          </w:p>
        </w:tc>
        <w:tc>
          <w:tcPr>
            <w:tcW w:w="1000" w:type="dxa"/>
            <w:vAlign w:val="bottom"/>
          </w:tcPr>
          <w:p>
            <w:pPr>
              <w:jc w:val="right"/>
              <w:spacing w:after="0"/>
              <w:rPr>
                <w:sz w:val="20"/>
                <w:szCs w:val="20"/>
                <w:color w:val="auto"/>
              </w:rPr>
            </w:pPr>
            <w:r>
              <w:rPr>
                <w:rFonts w:ascii="Arial" w:cs="Arial" w:eastAsia="Arial" w:hAnsi="Arial"/>
                <w:sz w:val="18"/>
                <w:szCs w:val="18"/>
                <w:color w:val="auto"/>
              </w:rPr>
              <w:t>1,739,058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1,739,058</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(12 persons)</w:t>
            </w:r>
            <w:r>
              <w:rPr>
                <w:rFonts w:ascii="Arial" w:cs="Arial" w:eastAsia="Arial" w:hAnsi="Arial"/>
                <w:sz w:val="15"/>
                <w:szCs w:val="15"/>
                <w:color w:val="auto"/>
              </w:rPr>
              <w: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34,695,890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34,695,890</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520" w:hanging="316"/>
        <w:spacing w:after="0"/>
        <w:tabs>
          <w:tab w:leader="none" w:pos="5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520" w:hanging="316"/>
        <w:spacing w:after="0" w:line="227"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21,566,041 shares held of record by The CJCP Trust for which Mr. Mangal serves as trustee and (ii) 8,258,491 shares held of record by The CKS Trust for which Mr. Mangal serves as trustee. The beneficiaries of The CJCP Trust and The CKS Trust are members of Jay Chaudhry’s family. The address for The CJCP Trust and The CKS Trust is c/o The Goldman Sachs Trust Company, 200 Bellevue Parkway, Suite 250, Wilmington, Delaware 19809.</w:t>
      </w:r>
    </w:p>
    <w:p>
      <w:pPr>
        <w:jc w:val="both"/>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shares included in the table above represent (i) 7,607,674 shares directly held by TPG Zookeeper (A), L.P., a Delaware limited partnership (“TPG Zookeeper (A)”), and (ii) 1,538,803 shares directly held by TPG Zookeeper (B), L.P., a Delaware limited partnership (“TPG Zookeeper (B)” and, together with TPG Zookeeper (A), the “TPG Funds”). The general partner of each of the TPG Funds is TPG Growth GenPar III, L.P., a Delaware limited partnership, whose general partner is TPG Growth GenPar III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LLC, a Delaware limited partnership whose sole member is TPG Group Holdings (SBS) Advisors, Inc., a Delaware corporation (“Group Advisors”). David Bonderman and James G. Coulter are sole shareholders of Group Advisors and therefore may be deemed to be the beneficial owners of the shares held by the TPG Funds. Messrs. Bonderman and Coulter disclaim beneficial ownership of the shares held by the TPG Funds except to the extent of their pecuniary interest therein. The address of the TPG Funds and Messrs. Bonderman and Coulter is c/o TPG Global, LLC, 301 Commerce Street, Suite 3300, Fort Worth, Texas 76102.</w:t>
      </w:r>
    </w:p>
    <w:p>
      <w:pPr>
        <w:spacing w:after="0" w:line="2" w:lineRule="exact"/>
        <w:rPr>
          <w:rFonts w:ascii="Arial" w:cs="Arial" w:eastAsia="Arial" w:hAnsi="Arial"/>
          <w:sz w:val="14"/>
          <w:szCs w:val="14"/>
          <w:color w:val="auto"/>
        </w:rPr>
      </w:pPr>
    </w:p>
    <w:p>
      <w:pPr>
        <w:jc w:val="both"/>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2,177,994 shares held of record by Mr. Chaudhry, (ii) 24,617,379 shares held of record by Jyoti Chaudhry, (iii) 33,333 shares held of record by The Chaudhry Family Trust dated August 1, 2014 for which Surjit Kaur serves as trustee, (iv) 13,332 shares held of record by The Chaudhry Family Trust f/b/o Manpreet Bains for which Ms. Kaur serves as trustee and (v) 6,666 shares held of record by P. Jyoti Chaudhry Family Trust dated March 1, 2000 for which Ms. Kaur serves as trustee.</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250,000 shares held of record by Mr. Canessa, all of which may be repurchased by us at the original exercise price as of January 31, 2018 and (ii) 750,000 shares subject to options exercisable within 60 days of January 31, 2018, of which 20,833 are fully vested.</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866,666 shares held of record by Mr. Welch, of which 311,112 may be repurchased by us at the original exercise price as of January 31, 2018.</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2,082,417 shares held of record by the Lane M. and Leticia L. Bess Family Trust UAD 8/16/2006 for which Mr. Bess serves as a trustee.</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39,999 shares held of record by Ms. Blasing and (ii) 193,333 shares subject to options exercisable within 60 days of January 31, 2018, of which 32,916 shares are fully vested.</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50,000 shares held of record by the Andrew W.F. Brown 2017 Grantor Retained Annuity Trust, for which Mr. Brown’s wife serves as a trustee and (ii) 183,333 shares subject to options exercisable within 60 days of January 31, 2018, of which 90,833 shares are fully vested.</w:t>
      </w:r>
    </w:p>
    <w:p>
      <w:pPr>
        <w:jc w:val="both"/>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179,861 shares held of record by Mr. Giancarlo, of which 165,278 may be repurchased by us at the original exercise price as of January 31, 2018, (ii) 26,736 shares held of record by The 2012 Marielle Christina Giancarlo Trust UAD 12/26/12 for which Mr. Giancarlo serves as a trustee and (iii) 26,736 shares held of record by The 2012 Gianna Marie Giancarlo Trust UAD 12/26/12 for which Mr. Giancarlo serves as a trustee.</w:t>
      </w:r>
    </w:p>
    <w:p>
      <w:pPr>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Nehal Raj is a Partner at TPG. Mr. Raj has no voting or investment power over, and disclaims beneficial ownership of, the shares held by the TPG Funds listed in footnote (1) above. The address of Mr. Raj is c/o TPG Global, LLC, 301 Commerce Street, Suite 3300, Fort Worth, Texas 76102.</w:t>
      </w:r>
    </w:p>
    <w:p>
      <w:pPr>
        <w:jc w:val="both"/>
        <w:ind w:left="520" w:hanging="316"/>
        <w:spacing w:after="0" w:line="221"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1,216,666 shares held of record by the Sinha Revocable Trust dated September 24, 2011 for which Mr. Sinha serves as trustee, of which 104,166 may be repurchased by us at the original exercise price as of January 31, 2018, (ii) 421,059 shares held of record by the ADRR Trust for which Neha Kumar serves as trustee and (iii) 101,333 shares subject to options exercisable within 60 days of January 31, 2018, all of which are fully vested.</w:t>
      </w:r>
    </w:p>
    <w:p>
      <w:pPr>
        <w:ind w:left="520" w:hanging="316"/>
        <w:spacing w:after="0" w:line="237" w:lineRule="auto"/>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32,771,225 shares beneficially owned by our executive officers and directors, 830,556 shares of which may be repurchased by us at the original exercise price as of January 31, 2018 and (ii) 1,924,665 shares subject to options exercisable within 60 days of January 31, 2018, of which 662,025 shares are fully vested.</w:t>
      </w:r>
    </w:p>
    <w:p>
      <w:pPr>
        <w:spacing w:after="0" w:line="18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Certain entities associated with Messrs. Giancarlo, Bess and Darling and Ms. Blasing, each a member of our board of directors, have indicated an interest in purchasing up to an aggregate of approximately $5.0 million of shares of our common stock in this offering (or an aggregate of 357,142 shares based on the midpoint of the estimated offering price range set forth on the cover page of this prospectus) at the initial public offering price. Because these 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Therefore, the foregoing table and related footnotes do not reflect the potential purchase of any shares in this offering by entities associated with these existing stockholders. If any shares are purchased by such entities, the number of shares of our capital stock beneficially owned by the entities affiliated with these existing stockholders after this offering and the percentage of our capital stock beneficially owned by the entities affiliated with these existing stockholders after this offering will differ from that set forth in the foregoing table.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amended and restated certificate of incorporation and amended and restated bylaws as they are expected to be in effect immediately prior to the completion of this offering. This summary does not purport to be complete and is qualified in its entirety by the provisions of our amended and restated certificate of incorporation, amended and restated bylaws and amended and restated investors’ rights agreement, copies of which are filed as exhibits to the registration statement of which this prospectus forms a part, and to the applicable provisions of Delaware law.</w:t>
      </w:r>
    </w:p>
    <w:p>
      <w:pPr>
        <w:spacing w:after="0" w:line="173"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1.2 billion shares of capital stock, par value $0.001 per share, of which:</w:t>
      </w:r>
    </w:p>
    <w:p>
      <w:pPr>
        <w:spacing w:after="0" w:line="76"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billion shares are designated as common stock;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two hundred million shares are designated as preferred stock.</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board of directors is authorized, without stockholder approval, except as required by the listing standards of Nasdaq, to issue an additional shares of our capital stock.</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of January 31, 2018, there were 105,331,507 shares of our common stock outstanding, held by 511 stockholders of record, and no shares of our preferred stock outstanding, assuming the automatic conversion of all outstanding shares of our convertible preferred stock into shares of our common stock effective immediately prior to the completion of this offering.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declared by our board of directors out of assets legally available. See the section titled “Dividend Policy” for additional information.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After the completion of this offering, no shares of preferred stock will be outstanding, assuming the automatic conversion of all outstanding shares of our convertible preferred stock into 72,500,750 shares of common stock effective immediately prior to the completion of this offering, including the conversion of all of our outstanding shares of Series A, Series B, Series C redeemable and Series D redeemable convertible preferred stock. Pursuant to our amended and restated certificate of incorporation to be effective immediately prior to the completion of this offering, our board of directors will have the authority, without further action by the stockholders, to issue from time to time up to two hundred million shares of preferred stock in one or more series. Our board of directors may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The issuance of preferred stock could have the effect of restricting dividends on the common stock, diluting the voting power of the common stock, impairing the liquidation rights of the common stock or delaying, deterring or preventing a change in control. Such issuance could have the effect of decreasing the market price of the common stock. We currently have no plans to issue any shares of preferred stock.</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Awards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of January 31, 2018, we had outstanding options to purchase an aggregate of 14,949,423 shares of our common stock, with a weighted-average exercise price of $5.06 per share, under our 2007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will pay the registration expenses (other than underwriting discounts, selling commissions and stock transfer taxes) of the holders of the shares registered pursuant to the registrations described below. In an underwritten offering, the underwriters have the right, subject to specified conditions, to limit the number of shares such holders may include. In connection with the completion of this offering, each stockholder that has registration rights agreed not to sell or otherwise dispose of any securities for a period of 180 days after the date of this prospectus, subject to certain terms and conditions. See the section titled “Underwriting” for additional information.</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holders of shares of our convertible preferred stock or their permitted transferees are entitled to certain registration rights with respect to the registration of certain shares of our capital stock under the Securities Act. These rights are provided under the terms of our amended and restated investors’ rights agreement between us and holders of these shares, which was entered into in connection with our convertible preferred stock financings,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and include demand registration rights, Form S-3 registration rights and piggyback registration rights. In any registration made pursuant to such rights agreement, all fees, costs and expenses of underwritten registrations, including the reasonable fees of one counsel for the selling stockholders selected by them will be borne by us and all selling expenses, including estimated underwriting discounts, selling commissions and stock transfer taxes, will be borne by the holders of the shares being registered.</w:t>
      </w:r>
    </w:p>
    <w:p>
      <w:pPr>
        <w:spacing w:after="0" w:line="18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The registration rights terminate upon the earlier to occur of (i) five years following the completion of this offering and (ii) with respect to any particular stockholder, at such time that such stockholder can sell all of its shares during any 90-day period pursuant to Rule 144 of the Securities Act.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The holders of an aggregate of 71,376,147 shares of our common stock (assuming automatic conversion of all outstanding shares of our convertible preferred stock into shares of common stock immediately prior to the completion of this offering), or their permitted transferees, are entitled to demand registration rights. At any time after 180 days after the effective date of this offering, such holders are entitled to registration rights under the amended and restated investors’ rights agreement, provided that the holders of at least 20% of such shares request the offer and sale of their shares, and provided further that such registration of shares would result in aggregate proceeds (after deducting underwriting discounts and commissions) of at least $30.0 million. We are required to effect only two registrations pursuant to this provision of the amended and restated investors’ rights agreement. Depending on certain conditions, however, we may defer such registration for up to 90 days two times in any 12-month period. We are not required to effect a requested registration earlier than 180 days after the effective date of this offering.</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If we register any of our securities for public sale, the holders of an aggregate of 72,500,750 shares of our common stock (assuming automatic conversion of all outstanding shares of our convertible preferred stock into shares of common stock immediately prior to the completion of this offering) or their permitted transferees are entitled to piggyback registration rights. If we register any of our securities under the Securities Act for our own account or for the account of another security holder, subject to certain exceptions, the holders of these shares will be entitled to notice of the registration and to include their registrable securities in the registration. The underwriters of any underwritten offering have the right to limit the number of shares registered by these holders for marketing reasons, subject to limitations as set forth in the amended and restated investors’ rights agreement.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The holders of an aggregate of 72,500,750 shares of our common stock (assuming automatic conversion of all outstanding shares of our convertible preferred stock into shares of common stock immediately prior to the completion of this offering) or their permitted transferees are also entitled to Form S-3 registration rights. If we are eligible to file a registration statement on Form S-3, these holders have the right, upon written request from holders of these shares, to have such shares registered by us if the proposed aggregate offering price to the public of the shares to be registered by the holders requesting registration is at least $3.0 million, subject to exceptions set forth in the amended and restated investors’ rights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Certain Terms in Our Charter Documents and Delaware Law</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to be effective immediately prior to the completion of this offering will contain provisions that could have the effect of delaying, deferring or discouraging another party from acquiring control of us.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As discussed above under “—Preferred Stock,” our board of directors will have the ability to designate</w:t>
      </w:r>
      <w:r>
        <w:rPr>
          <w:rFonts w:ascii="Arial" w:cs="Arial" w:eastAsia="Arial" w:hAnsi="Arial"/>
          <w:sz w:val="16"/>
          <w:szCs w:val="16"/>
          <w:i w:val="1"/>
          <w:iCs w:val="1"/>
          <w:color w:val="auto"/>
        </w:rPr>
        <w:t xml:space="preserve"> </w:t>
      </w:r>
      <w:r>
        <w:rPr>
          <w:rFonts w:ascii="Arial" w:cs="Arial" w:eastAsia="Arial" w:hAnsi="Arial"/>
          <w:sz w:val="16"/>
          <w:szCs w:val="16"/>
          <w:color w:val="auto"/>
        </w:rPr>
        <w:t>and issue preferred stock with voting or other rights or preferences that could deter hostile takeovers or delay changes in our control or management.</w:t>
      </w:r>
    </w:p>
    <w:p>
      <w:pPr>
        <w:spacing w:after="0" w:line="124"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i w:val="1"/>
          <w:iCs w:val="1"/>
          <w:color w:val="auto"/>
        </w:rPr>
        <w:t xml:space="preserve">Limits on Ability of Stockholders to Act by Written Consent or Call a Special Meeting. </w:t>
      </w:r>
      <w:r>
        <w:rPr>
          <w:rFonts w:ascii="Arial" w:cs="Arial" w:eastAsia="Arial" w:hAnsi="Arial"/>
          <w:sz w:val="16"/>
          <w:szCs w:val="16"/>
          <w:color w:val="auto"/>
        </w:rPr>
        <w:t>Our amended and restated certificate of incorporation will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that our stockholders may not act by written consent. This limit on the ability of stockholders to act by written consent may lengthen the amount of time required to take stockholder actions. As a result, the holders of a majority of our capital stock would not be able to amend the amended and restated bylaws or remove directors without holding a meeting of stockholders called in accordance with the amended and restated bylaws.</w:t>
      </w:r>
    </w:p>
    <w:p>
      <w:pPr>
        <w:spacing w:after="0" w:line="154"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our amended and restated bylaws will provide that special meetings of the stockholders may be called only by the chairperson of the board, our chief executive officer or president (in the absence of a chief executive officer) or a majority of our board of directors. A stockholder may not call a special meeting, which may delay the ability of our stockholders to force consideration of a proposal or for holders controlling a majority of our capital stock to take any action, including the removal of directors.</w:t>
      </w:r>
    </w:p>
    <w:p>
      <w:pPr>
        <w:spacing w:after="0" w:line="18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i w:val="1"/>
          <w:iCs w:val="1"/>
          <w:color w:val="auto"/>
        </w:rPr>
        <w:t xml:space="preserve">Advance Requirements for Advance Notification of Stockholder Nominations and Proposals. </w:t>
      </w:r>
      <w:r>
        <w:rPr>
          <w:rFonts w:ascii="Arial" w:cs="Arial" w:eastAsia="Arial" w:hAnsi="Arial"/>
          <w:sz w:val="16"/>
          <w:szCs w:val="16"/>
          <w:color w:val="auto"/>
        </w:rPr>
        <w:t>Our amended and restated bylaws will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procedures with respect to stockholder 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w:t>
      </w:r>
    </w:p>
    <w:p>
      <w:pPr>
        <w:spacing w:after="0" w:line="15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Board Classification</w:t>
      </w:r>
      <w:r>
        <w:rPr>
          <w:rFonts w:ascii="Arial" w:cs="Arial" w:eastAsia="Arial" w:hAnsi="Arial"/>
          <w:sz w:val="18"/>
          <w:szCs w:val="18"/>
          <w:color w:val="auto"/>
        </w:rPr>
        <w:t>. Our amended and restated certificate of incorporation will provide that our board of directors will be divided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one class of which is elected each year by our stockholders. The directors in each class will serve for a three-year term. For more information on the classified board of directors, see “Management—Board of Directors.” Our classified board of directors may tend to discourage a third party from making a tender offer or otherwise attempting to obtain control of us because it generally makes it more difficult for stockholders to replace a majority of the directors.</w:t>
      </w:r>
    </w:p>
    <w:p>
      <w:pPr>
        <w:spacing w:after="0" w:line="188"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i w:val="1"/>
          <w:iCs w:val="1"/>
          <w:color w:val="auto"/>
        </w:rPr>
        <w:t>Election and Removal of Directors</w:t>
      </w:r>
      <w:r>
        <w:rPr>
          <w:rFonts w:ascii="Arial" w:cs="Arial" w:eastAsia="Arial" w:hAnsi="Arial"/>
          <w:sz w:val="16"/>
          <w:szCs w:val="16"/>
          <w:color w:val="auto"/>
        </w:rPr>
        <w:t>. Our amended and restated certificate of incorporation and amended and restated bylaws will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that establish specific procedures for appointing and removing members of our board of directors. Under our amended and restated certificate of incorporation and amended and restated bylaws, vacancies and newly created directorships on our board of directors may be filled only by a majority of the directors then serving on the board of directors. Under our amended and restated certificate of incorporation and amended and restated bylaws, directors may be removed only for cause by the affirmative vote of the holders of a majority of the shares then entitled to vote at an election of directors.</w:t>
      </w:r>
    </w:p>
    <w:p>
      <w:pPr>
        <w:spacing w:after="0" w:line="15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our amended and restated certificate of incorporation provides otherwise. Our amended and restated certificate of incorporation and amended and restated bylaws will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93"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i w:val="1"/>
          <w:iCs w:val="1"/>
          <w:color w:val="auto"/>
        </w:rPr>
        <w:t xml:space="preserve">Amendment of Charter Provision. </w:t>
      </w:r>
      <w:r>
        <w:rPr>
          <w:rFonts w:ascii="Arial" w:cs="Arial" w:eastAsia="Arial" w:hAnsi="Arial"/>
          <w:sz w:val="17"/>
          <w:szCs w:val="17"/>
          <w:color w:val="auto"/>
        </w:rPr>
        <w:t>Any amendment of the above provisions in our amended and restated certificate of incorporation would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approval by holders of at least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our then outstanding capital stock entitled to vote, voting together as a single class.</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will be subject to the provisions of Section 203 of the Delaware General Corporation Law regulating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52" w:lineRule="exact"/>
        <w:rPr>
          <w:sz w:val="20"/>
          <w:szCs w:val="20"/>
          <w:color w:val="auto"/>
        </w:rPr>
      </w:pPr>
    </w:p>
    <w:p>
      <w:pPr>
        <w:ind w:left="1060" w:hanging="424"/>
        <w:spacing w:after="0" w:line="27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prior to the date of the transaction,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jc w:val="both"/>
        <w:ind w:left="1060" w:hanging="424"/>
        <w:spacing w:after="0" w:line="297"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6"/>
          <w:szCs w:val="16"/>
          <w:color w:val="auto"/>
        </w:rPr>
      </w:pPr>
    </w:p>
    <w:p>
      <w:pPr>
        <w:jc w:val="both"/>
        <w:ind w:left="1060" w:hanging="424"/>
        <w:spacing w:after="0" w:line="20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at or subsequent to the date of the transaction, the business combination is approved by our board of directors and authorized at an annual or special meeting of stockholders, and not by written consent, by the affirmative vote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203"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spacing w:after="0" w:line="17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also possible that these provisions could make it more difficult to accomplish transactions that stockholders might otherwise deem to be in their best interests.</w:t>
      </w:r>
    </w:p>
    <w:p>
      <w:pPr>
        <w:spacing w:after="0" w:line="18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amended and restated certificate of incorporation provides that the Court of Chancery of the State of Delaware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forum for: (i) any derivative action or proceeding brought on our behalf; (ii) any action asserting a breach of fiduciary duty; (iii) any action asserting a claim against us arising under the Delaware General Corporation Law, our amended and restated certificate or our amended and restated bylaws; (iv) any action to interpret, apply, enforce or determine the validity of our amended and restated certificate of incorporation or our amended and restated bylaws; and (v) any action asserting a claim against us that is governed by the internal-affairs doctrine. Our amended and restated certificate of incorporation further provides that the federal district courts of the United States will be the exclusive forum for resolving any complaint asserting a cause of action arising under the Securities Act.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American Stock Transfer &amp; Trust Company.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agent’s address is 6201 15th Avenue, Brooklyn, New York 11219, and its telephone number is (718) 921-8124.</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been approved to list our common stock on Nasdaq under the symbol “ZS”.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and we cannot assure you that a liquid trading market for our common stock will develop or be sustained after this offering. Future sales of substantial amounts of shares of common stock, including shares issued upon the exercise of outstanding options, in the public market after this offering, or the possibility of these sales occurring, could adversely affect the prevailing market price for our common stock or impair our ability to raise equity capital in the future. The effect of sales of our common stock in the public market may be exacerbated by the relatively small public float of our common stock following this offering.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9"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Upon the completion of this offering, we will have a total of 117,331,507 shares of our common stock outstanding, after giving effect to the automatic conversion of all outstanding shares of our convertible preferred stock into 72,500,750 shares of common stock immediately prior to the completion of this offering and assuming no exercise of outstanding options that were outstanding as of January 31, 2018. Of these outstanding shares, assuming the purchase in full of up to an aggregate of approximately $5.0 million of shares of our common stock in this offering (or an aggregate of 357,142 shares based on the midpoint of the estimated offering price range set forth on the cover page of this prospectus) by certain entities associated with Charles Giancarlo, Lane Bess, Scott Darling and Karen Blasing, 11,642,858 shares of common stock sold in this offering by us, plus any shares sold if the underwriters exercise their over-allotment option in this offering, will be freely tradable in the public market without restriction or further registration under the Securities Act.</w:t>
      </w:r>
    </w:p>
    <w:p>
      <w:pPr>
        <w:spacing w:after="0" w:line="192"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holders of substantially all of our equity securities are subject to market standoff agreements or have entered into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 701, following the expiration of the lock-up period, all shares subject to such provisions and agreements will be available for sale in the public market only if registered or pursuant to an exemption from registration under Rule 144 or Rule 701 under the Securities Act.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(subject to the requirements of the lock-up agreements, as described below)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(subject to the requirements of the lock-up agreements, as described below) without complying with any of the requirements of Rule 144.</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87" w:lineRule="exact"/>
        <w:rPr>
          <w:sz w:val="20"/>
          <w:szCs w:val="20"/>
          <w:color w:val="auto"/>
        </w:rPr>
      </w:pPr>
    </w:p>
    <w:p>
      <w:pPr>
        <w:ind w:left="1060" w:hanging="424"/>
        <w:spacing w:after="0" w:line="27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1,173,315 shares immediately after this offering;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such sale.</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Notwithstanding the availability of Rule 144, the holders of substantially all of common stock have entered into lock-up agreements as described below, and their restricted securities will become eligible for sale (subject to the above limitations under Rule 144) upon the expiration of the restrictions set forth in those agreements.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Rule 701, as currently in effect, generally allows a stockholder who purchased shares of our common stock pursuant to a written compensatory plan or contract and who is not deemed to have been an affiliate of our company during the immediately preceding 90 days to sell these shares (subject to the requirements of the lock-up agreements, as described below)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However, all holders of Rule 701 shares are required to wait until 90 days after the date of this prospectus (or until such later date that is required by the lock-up agreements, as described below) before selling such shares pursuant to Rule 701.</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all of our directors and officers and holders of substantially all of our common stock, or securities exercisable for or convertible into our common stock outstanding immediately prior to this offering, have agreed that, without the prior written consent of Morgan Stanley &amp; Co. LLC and Goldman Sachs &amp; Co. LLC on behalf of the underwriters, we and they will not, during the period ending 180 days after the date of this prospectus:</w:t>
      </w:r>
    </w:p>
    <w:p>
      <w:pPr>
        <w:spacing w:after="0" w:line="71" w:lineRule="exact"/>
        <w:rPr>
          <w:sz w:val="20"/>
          <w:szCs w:val="20"/>
          <w:color w:val="auto"/>
        </w:rPr>
      </w:pPr>
    </w:p>
    <w:p>
      <w:pPr>
        <w:jc w:val="both"/>
        <w:ind w:left="1060" w:hanging="424"/>
        <w:spacing w:after="0" w:line="264"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or</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shares of our common stock or such other securities, in cash or otherwise, subject to certain exceptions set forth in section titled “Underwriting.”</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the amended and restated investors’ rights agreement and our standard form of option agreement and restricted stock purchase agreement, that certain market stand-off provisions imposing restrictions on the ability of such security holders to offer, sell or transfer our equity securities for a period of 180 days following the date of this prospectus.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holders of 72,500,750 shares of our common stock (assuming automatic conversion of all outstanding shares of our convertible preferred stock into shares of common stock immediately prior to the completion of this offering), or their permitted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Upon the completion of this offering, we intend to file a registration statement on Form S-8 under the Securities Act to register all of the shares of common stock issued or reserved for issuance under our equity compensation plans. Shares covered by this registration statement will be eligible for sale in the public market, upon the expiration or release from the terms of the lock-up agreements and subject to vesting of such shares. See the section titled “Executive Compensation—Employee Benefit and Stock Plans” for a description of our equity compensation plans.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CONSEQUENCES TO</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THE OWNERSHIP AND DISPOSITION OF OUR COMMON STOCK</w:t>
      </w:r>
    </w:p>
    <w:p>
      <w:pPr>
        <w:spacing w:after="0" w:line="211"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The following is a general discussion of the material U.S. federal income tax consequences to non-U.S. holders (as defined below) with respect to their ownership and disposition of our common stock purchased in this offering. This discussion is for general information only, is not tax advice and does not purport to be a complete analysis of all the potential tax considerations. This discussion is based upon the provisions of the U.S. Internal Revenue Code existing and proposed U.S. Treasury Regulations promulgated thereunder, current administrative rulings and judicial decisions, in effect as of the date hereof. These authorities may be changed, possibly retroactively, so as to result in U.S. federal income tax consequences different from those set forth below. In particular, the U.S. Congress is considering significant changes to the U.S. tax code. At this time, it is uncertain whether or when any such tax reform proposals will be enacted into law and the ultimate impact of such legislation on our business and financial results is uncertain.</w:t>
      </w:r>
    </w:p>
    <w:p>
      <w:pPr>
        <w:spacing w:after="0" w:line="19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This discussion does not address the tax considerations arising under the laws of any non-U.S., state or local jurisdiction, or under U.S. federal gift and estate tax laws,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71" w:lineRule="exact"/>
        <w:rPr>
          <w:sz w:val="20"/>
          <w:szCs w:val="20"/>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regulated investment companies or 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partnerships or entities classified as partnerships for U.S. federal income tax purposes or other pass-through entities (and investors therein);</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Internal Revenue Code;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Internal Revenue Code.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holds our common stock, the tax treatment of a partner generally will depend on the status of the partner and upon the activities of the partnership. Accordingly, entities classified as partnerships for U.S. federal income tax purposes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and other pass-through entities that hold our common stock, as well as partners or members in such entities, should consult their tax advisors. There can be no assurance that the Internal Revenue Service, or IRS, will not challenge one or more of the tax consequences described herein, and we have not obtained, and do not intend to obtain, an opinion of counsel or ruling from the IRS with respect to the U.S. federal income tax consequences to a non-U.S. holder of the purchase, ownership or disposition of our common stock.</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discussion, you are a non-U.S. holder (other than a partnership) if you are any holder other than:</w:t>
      </w:r>
    </w:p>
    <w:p>
      <w:pPr>
        <w:spacing w:after="0" w:line="131" w:lineRule="exact"/>
        <w:rPr>
          <w:sz w:val="20"/>
          <w:szCs w:val="20"/>
          <w:color w:val="auto"/>
        </w:rPr>
      </w:pPr>
    </w:p>
    <w:p>
      <w:pPr>
        <w:ind w:left="1060" w:hanging="424"/>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60" w:hanging="424"/>
        <w:spacing w:after="0" w:line="291" w:lineRule="auto"/>
        <w:tabs>
          <w:tab w:leader="none" w:pos="10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(within the meaning of Section 7701(a)(3) of the Internal Revenue Code) who have the authority to control all substantial decisions of the trust or</w:t>
      </w:r>
    </w:p>
    <w:p>
      <w:pPr>
        <w:ind w:left="1060"/>
        <w:spacing w:after="0"/>
        <w:rPr>
          <w:rFonts w:ascii="Arial" w:cs="Arial" w:eastAsia="Arial" w:hAnsi="Arial"/>
          <w:sz w:val="16"/>
          <w:szCs w:val="16"/>
          <w:color w:val="auto"/>
        </w:rPr>
      </w:pPr>
      <w:r>
        <w:rPr>
          <w:rFonts w:ascii="Arial" w:cs="Arial" w:eastAsia="Arial" w:hAnsi="Arial"/>
          <w:sz w:val="18"/>
          <w:szCs w:val="18"/>
          <w:color w:val="auto"/>
        </w:rPr>
        <w:t>(y) which has made a valid election to be treated as a U.S. person.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under “—Gain on Disposition of Our Common Stock.”</w:t>
      </w:r>
    </w:p>
    <w:p>
      <w:pPr>
        <w:spacing w:after="0" w:line="193"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Subject to the discussion below on effectively connected income, backup withholding and foreign accounts,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 A non-U.S. holder of shares of our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173"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 You may be eligible to obtain a refund of any excess amounts withheld by timely filing an appropriate claim for refund with the IRS.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Subject to the discussion below regarding backup withholding and foreign accounts, you generally will not be required to pay U.S. federal income tax on any gain realized upon the sale or other disposition of our common stock unless:</w:t>
      </w:r>
    </w:p>
    <w:p>
      <w:pPr>
        <w:spacing w:after="0" w:line="76" w:lineRule="exact"/>
        <w:rPr>
          <w:sz w:val="20"/>
          <w:szCs w:val="20"/>
          <w:color w:val="auto"/>
        </w:rPr>
      </w:pPr>
    </w:p>
    <w:p>
      <w:pPr>
        <w:ind w:left="106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8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you actually or constructively hold more than five percent of such regularly traded common stock at any time during the shorter of the five-year period preceding your disposition of, or your holding period for, our common stock.</w:t>
      </w:r>
    </w:p>
    <w:p>
      <w:pPr>
        <w:spacing w:after="0" w:line="178"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income tax treaty) on the gain derived from the sale, which tax may be offset by U.S. source capital losses for the year (provided you have timely filed U.S. federal income tax returns with respect to such losses). You should consult any applicable income tax or other treaties that may provide for different rules.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their death will generally be includable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decedent’s gross estate for U.S. federal estate tax purposes, unless an applicable estate tax treaty provides otherwise.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information reporting and backup withholding at a current rate of 24% unless you establish an exemption, for example, by properly certifying your non-U.S. status on an IRS Form W-8BEN, IRS Form W-8BEN-E or another appropriate version of IRS Form W-8. Notwithstanding the foregoing, backup withholding and information reporting may apply if either we or a paying agent has actual knowledge, or reason to know, that such holder is a U.S. person.</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 Tax Compliance</w:t>
      </w:r>
    </w:p>
    <w:p>
      <w:pPr>
        <w:spacing w:after="0" w:line="121" w:lineRule="exact"/>
        <w:rPr>
          <w:sz w:val="20"/>
          <w:szCs w:val="20"/>
          <w:color w:val="auto"/>
        </w:rPr>
      </w:pPr>
    </w:p>
    <w:p>
      <w:pPr>
        <w:jc w:val="both"/>
        <w:ind w:left="200" w:firstLine="441"/>
        <w:spacing w:after="0" w:line="268" w:lineRule="auto"/>
        <w:rPr>
          <w:sz w:val="20"/>
          <w:szCs w:val="20"/>
          <w:color w:val="auto"/>
        </w:rPr>
      </w:pPr>
      <w:r>
        <w:rPr>
          <w:rFonts w:ascii="Arial" w:cs="Arial" w:eastAsia="Arial" w:hAnsi="Arial"/>
          <w:sz w:val="17"/>
          <w:szCs w:val="17"/>
          <w:color w:val="auto"/>
        </w:rPr>
        <w:t>The Foreign Account Tax Compliance Act, or FATCA, imposes withholding tax at a rate of 30% on dividends on and gross proceeds from the sale or other disposition of our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common stock paid to a “non-financial foreign entities” (as specially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common stock, and under current transition rules, are expected to apply with respect to the gross proceeds from the sale or other disposition of our common stock on or after January 1, 2019. Under certain circumstances, a non-U.S. holder might be eligible for refunds or credits of such taxes.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w:t>
      </w:r>
    </w:p>
    <w:p>
      <w:pPr>
        <w:spacing w:after="0" w:line="184"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EACH PROSPECTIVE INVESTOR SHOULD CONSULT ITS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which Morgan Stanley &amp; Co. LLC and Goldman Sachs &amp; Co. LLC are acting as representatives, have severally agreed to purchase, and we have agreed to sell to them, severally, the number of shares indicated below:</w:t>
      </w:r>
    </w:p>
    <w:p>
      <w:pPr>
        <w:spacing w:after="0" w:line="19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7400" w:type="dxa"/>
            <w:vAlign w:val="bottom"/>
            <w:vMerge w:val="continue"/>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283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48275" cy="28321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tbl>
      <w:tblPr>
        <w:tblLayout w:type="fixed"/>
        <w:tblInd w:w="2300" w:type="dxa"/>
        <w:tblCellMar>
          <w:top w:w="0" w:type="dxa"/>
          <w:left w:w="0" w:type="dxa"/>
          <w:bottom w:w="0" w:type="dxa"/>
          <w:right w:w="0" w:type="dxa"/>
        </w:tblCellMar>
      </w:tblP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12,000,000</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offering of the shares of common stock by the underwriters is subject to receipt and acceptance and subject to the underwriters’ right to reject any order in whole or in part.</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have granted to the underwriters an over-allotment option, exercisable for 30 days from the date of this prospectus, to purchase up to 1,800,000 additional shares of common stock at the public offering price listed on the cover page of this prospectus, less underwriting discounts and commissions, solely to cover over-allotments, if any.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Certain entities associated with Charles Giancarlo, Lane Bess, Scott Darling and Karen Blasing, each a member of our board of directors, have indicated an interest in purchasing up to an aggregate of approximately $5.0 million of shares of our common stock in this offering (or an aggregate of 357,142 shares based on the midpoint of the estimated offering price range set forth on the cover page of this prospectus) at the initial public offering price. Because these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color w:val="auto"/>
        </w:rPr>
        <w:t>indications of interest are not binding agreements or commitments to purchase, the underwriters could determine to sell more, less or no shares to any of these potential investors and any of these potential investors could determine to purchase more, less or no shares in this offering. The underwriters will receive the same discount from any shares sold to these existing stockholders as they will from any other shares sold to the public in this offering.</w:t>
      </w:r>
    </w:p>
    <w:p>
      <w:pPr>
        <w:spacing w:after="0" w:line="14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over-allotment option.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jc w:val="right"/>
              <w:ind w:right="147"/>
              <w:spacing w:after="0"/>
              <w:rPr>
                <w:sz w:val="20"/>
                <w:szCs w:val="20"/>
                <w:color w:val="auto"/>
              </w:rPr>
            </w:pPr>
            <w:r>
              <w:rPr>
                <w:rFonts w:ascii="Arial" w:cs="Arial" w:eastAsia="Arial" w:hAnsi="Arial"/>
                <w:sz w:val="14"/>
                <w:szCs w:val="14"/>
                <w:b w:val="1"/>
                <w:bCs w:val="1"/>
                <w:color w:val="auto"/>
              </w:rPr>
              <w:t>Per</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Share</w:t>
            </w:r>
          </w:p>
        </w:tc>
        <w:tc>
          <w:tcPr>
            <w:tcW w:w="5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No Exercise</w:t>
            </w:r>
          </w:p>
        </w:tc>
        <w:tc>
          <w:tcPr>
            <w:tcW w:w="140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$5.5 million. We have also agreed to reimburse the underwriters for expenses relating to clearance of this offering with the Financial Industry Regulatory Authority up to $40,000.</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been approved to list our common stock on Nasdaq under the trading symbol “ZS”.</w:t>
      </w:r>
    </w:p>
    <w:p>
      <w:pPr>
        <w:spacing w:after="0" w:line="2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all of our directors and officers and the holders of substantially all of our common stock, or securities exercisable for or convertible into our common stock outstanding immediately prior to this offering, have agreed that, without the prior written consent of Morgan Stanley &amp; Co. LLC and Goldman Sachs &amp; Co. LLC on behalf of the underwriters, we and they will not, during the period ending 180 days after the date of this prospectus (the “restricted period”):</w:t>
      </w:r>
    </w:p>
    <w:p>
      <w:pPr>
        <w:spacing w:after="0" w:line="92" w:lineRule="exact"/>
        <w:rPr>
          <w:sz w:val="20"/>
          <w:szCs w:val="20"/>
          <w:color w:val="auto"/>
        </w:rPr>
      </w:pPr>
    </w:p>
    <w:p>
      <w:pPr>
        <w:jc w:val="both"/>
        <w:ind w:left="1060" w:right="20" w:hanging="424"/>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or</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70"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shares of our common stock or such other securities, in cash or otherwise. In addition, we and each such person have agreed that, without the prior written consent of Morgan Stanley &amp; Co.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restrictions described in the immediately preceding paragraph do not apply to our directors, officers and securityholders with respect to:</w:t>
      </w:r>
    </w:p>
    <w:p>
      <w:pPr>
        <w:spacing w:after="0" w:line="142" w:lineRule="exact"/>
        <w:rPr>
          <w:sz w:val="20"/>
          <w:szCs w:val="20"/>
          <w:color w:val="auto"/>
        </w:rPr>
      </w:pPr>
    </w:p>
    <w:p>
      <w:pPr>
        <w:jc w:val="both"/>
        <w:ind w:left="1060" w:right="20" w:hanging="424"/>
        <w:spacing w:after="0" w:line="259"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transactions relating to shares of our common stock or other securities acquired in this offering or in open market transactions after the completion of this offering; provided that no filing or other public announcement under Section 16(a) of the Exchange Act or otherwise shall be required or shall be voluntarily made in connection with subsequent sales of our common stock or other securities acquired either in this offering or in such open market transactions;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91"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our common stock (i) as a bona fide gift, or for bona fide estate planning purposes, upon death or by will, testamentary document or intestate succession, (ii) to an immediate family member of one of our stockholders or to any trust for the direct or indirect benefit of one of our stockholders or their immediate family, (iii) not involving a change in beneficial ownership, or (iv) if one of our stockholders is a trust, to any beneficiary of such stockholder or the estate of any such beneficiary; provided that no such transfer or distribution shall be a disposition for value, each recipient of such securities shall execute a lock-up agreement and no filing under Section 16(a) of the Exchange Act reporting a reduction in beneficial ownership of shares of our common stock shall be required or shall be voluntarily made during the restricted period;</w:t>
      </w:r>
    </w:p>
    <w:p>
      <w:pPr>
        <w:spacing w:after="0" w:line="72" w:lineRule="exact"/>
        <w:rPr>
          <w:rFonts w:ascii="Arial" w:cs="Arial" w:eastAsia="Arial" w:hAnsi="Arial"/>
          <w:sz w:val="16"/>
          <w:szCs w:val="16"/>
          <w:color w:val="auto"/>
        </w:rPr>
      </w:pPr>
    </w:p>
    <w:p>
      <w:pPr>
        <w:jc w:val="both"/>
        <w:ind w:left="1060" w:hanging="424"/>
        <w:spacing w:after="0" w:line="273" w:lineRule="auto"/>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distributions of shares of our common stock or any security convertible into or exercisable or exchangeable for our common stock to stockholders, direct or indirect affiliates (within the meaning set forth in Rule 405 under the Securities Act), current or former partners (general or limited), members or managers of one of our stockholders, as applicable, or to the estates of any such stockholders, affiliates, partners, members or managers; provided that no such transfer or distribution shall be a disposition for value, each recipient of such securities shall execute a lock-up agreement and no filing under Section 16(a) of the Exchange Act reporting a reduction in beneficial ownership of shares of our common stock shall be required or shall be voluntarily made during the restricted period;</w:t>
      </w:r>
    </w:p>
    <w:p>
      <w:pPr>
        <w:spacing w:after="0" w:line="83" w:lineRule="exact"/>
        <w:rPr>
          <w:rFonts w:ascii="Arial" w:cs="Arial" w:eastAsia="Arial" w:hAnsi="Arial"/>
          <w:sz w:val="17"/>
          <w:szCs w:val="17"/>
          <w:color w:val="auto"/>
        </w:rPr>
      </w:pPr>
    </w:p>
    <w:p>
      <w:pPr>
        <w:jc w:val="both"/>
        <w:ind w:left="1060" w:hanging="424"/>
        <w:spacing w:after="0" w:line="287"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the issuance by us of shares of common stock upon the exercise of options or warrants, or the vesting and settlement of restricted stock units or other rights, insofar as such options, warrants, restricted stock units or other rights are outstanding as of the date of this prospectus pursuant to stock plans or other equity award plans disclosed in this prospectus, provided that the shares of our common stock received upon exercise of such option or warrant, or the vesting and settlement of such restricted stock unit or other right, shall remain subject to a lock-up agreement, or (ii) the transfer to us of shares of our common stock or any securities convertible into our common stock upon a vesting event of our securities or upon the exercise of options, warrants or other equity awards to purchase our securities on a “cashless” or “net exercise” basis to the extent permitted by the instruments representing such options, warrants or other equity awards (including all methods of exercise that would involve a sale of any shares of our common stock relating to options, warrants or other equity awards, whether to cover the applicable exercise price, withholding tax obligations or otherwise), and our cancellation of all or a portion thereof to pay the exercise price and/or withholding tax obligations (provided that in the case of this clause (ii), any filings under Section 16(a) of the Exchange Act shall state the nature and conditions of such transfer); provided that no filing under Section 16(a) of the Exchange Act reporting a reduction in beneficial ownership of shares of our common stock shall be required or shall be voluntarily made during the restricted period;</w:t>
      </w:r>
    </w:p>
    <w:p>
      <w:pPr>
        <w:spacing w:after="0" w:line="74" w:lineRule="exact"/>
        <w:rPr>
          <w:rFonts w:ascii="Arial" w:cs="Arial" w:eastAsia="Arial" w:hAnsi="Arial"/>
          <w:sz w:val="16"/>
          <w:szCs w:val="16"/>
          <w:color w:val="auto"/>
        </w:rPr>
      </w:pPr>
    </w:p>
    <w:p>
      <w:pPr>
        <w:jc w:val="both"/>
        <w:ind w:left="1060" w:hanging="424"/>
        <w:spacing w:after="0" w:line="297" w:lineRule="auto"/>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our common stock, provided that (i) such plan does not provide for the transfer of our common stock during the restricted period (except as otherwise permitted under a lock-up agreement), and (ii) to the extent a public announcement or filing under the Exchange Act, if any, is required of or voluntarily made by or on behalf of us or one of our stockholders regarding the establishment of such plan, such announcement or filing shall include a statement to the effect that no transfer of our common stock may be made under such plan during the restricted period;</w:t>
      </w:r>
    </w:p>
    <w:p>
      <w:pPr>
        <w:spacing w:after="0" w:line="63" w:lineRule="exact"/>
        <w:rPr>
          <w:rFonts w:ascii="Arial" w:cs="Arial" w:eastAsia="Arial" w:hAnsi="Arial"/>
          <w:sz w:val="16"/>
          <w:szCs w:val="16"/>
          <w:color w:val="auto"/>
        </w:rPr>
      </w:pPr>
    </w:p>
    <w:p>
      <w:pPr>
        <w:jc w:val="both"/>
        <w:ind w:left="1060" w:hanging="424"/>
        <w:spacing w:after="0" w:line="259"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transfer of our common stock or any security convertible into or exercisable or exchangeable for our common stock that occurs by operation of law pursuant to a qualified domestic order in connection with a divorce settlement or other court order; provided that each recipient of such securities shall execute a lock-up agreement and any filings under Section 16(a) of the Exchange Act shall state the nature and conditions of such transfer;</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transfer to us of our common stock or any security convertible into or exercisable or exchangeable for our common stock pursuant to</w:t>
      </w:r>
    </w:p>
    <w:p>
      <w:pPr>
        <w:spacing w:after="0" w:line="4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(i) arrangements under which we have the option to repurchase such</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shares in the event one of our stockholders ceases to provide services to us, which such shares were issued pursuant to equity awards granted under a stock incentive plan or other equity award plan, which plan is described in this prospectus or (ii) a right of first refusal with respect to transfers of such shares;</w:t>
      </w:r>
    </w:p>
    <w:p>
      <w:pPr>
        <w:spacing w:after="0" w:line="87" w:lineRule="exact"/>
        <w:rPr>
          <w:sz w:val="20"/>
          <w:szCs w:val="20"/>
          <w:color w:val="auto"/>
        </w:rPr>
      </w:pPr>
    </w:p>
    <w:p>
      <w:pPr>
        <w:jc w:val="both"/>
        <w:ind w:left="1060" w:hanging="424"/>
        <w:spacing w:after="0" w:line="264"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conversion of our outstanding preferred stock into shares of our common stock prior to or in connection with the consummation of this offering, which conversion is described in this prospectus, provided that any such shares of our common stock received upon such conversion shall be subject to the terms of a lock-up agreement; or</w:t>
      </w:r>
    </w:p>
    <w:p>
      <w:pPr>
        <w:spacing w:after="0" w:line="86" w:lineRule="exact"/>
        <w:rPr>
          <w:rFonts w:ascii="Arial" w:cs="Arial" w:eastAsia="Arial" w:hAnsi="Arial"/>
          <w:sz w:val="18"/>
          <w:szCs w:val="18"/>
          <w:color w:val="auto"/>
        </w:rPr>
      </w:pPr>
    </w:p>
    <w:p>
      <w:pPr>
        <w:jc w:val="both"/>
        <w:ind w:left="1060" w:hanging="424"/>
        <w:spacing w:after="0" w:line="276"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transfer of shares of our common stock or any security convertible into or exercisable or exchangeable for our common stock after the completion of this offering pursuant to a bona fide third-party tender offer, merger, consolidation or other similar transaction that is approved by our board of directors, made to all holders of our common stock involving a change of control (as defined in the lock-up agreements), provided that in the event that the tender offer, merger, consolidation or other such transaction is not completed, our common stock owned by one of our stockholders shall remain subject to the restrictions contained in the lock-up agreements.</w:t>
      </w:r>
    </w:p>
    <w:p>
      <w:pPr>
        <w:spacing w:after="0" w:line="1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Morgan Stanley &amp; Co. LLC and Goldman Sachs &amp; Co.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several underwriters have agreed to indemnify each other against certain liabilities, including liabilities under the Securities Act.</w:t>
      </w:r>
    </w:p>
    <w:p>
      <w:pPr>
        <w:spacing w:after="0" w:line="23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that will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w:t>
      </w:r>
    </w:p>
    <w:p>
      <w:pPr>
        <w:spacing w:after="0" w:line="92" w:lineRule="exact"/>
        <w:rPr>
          <w:sz w:val="20"/>
          <w:szCs w:val="20"/>
          <w:color w:val="auto"/>
        </w:rPr>
      </w:pPr>
    </w:p>
    <w:p>
      <w:pPr>
        <w:ind w:left="1060" w:hanging="424"/>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Morgan Stanley &amp; Co. LLC and Goldman Sachs &amp; Co. LLC for any such offer;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60" w:hanging="424"/>
        <w:spacing w:after="0" w:line="259"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Russia</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Under Russian law, shares of common stock may be considered securities of a foreign issuer. Neither we, nor this prospectus, nor shares of our common stock have been, or are intended to be, registered with the Central Bank of the Russian Federation under the Federal Law No. 39-FZ “On Securities Market” dated April 22, 1996 (as amended, the “Russian Securities Law”), and none of the shares of our common stock are intended to be, or may be offered, sold or delivered, directly or indirectly, or offered or sold to any person for reoffering or re-sale, directly or indirectly, in the territory of the Russian Federation or to any resident of the Russian Federation, except pursuant to the applicable laws and regulations of the Russian Federation.</w:t>
      </w:r>
    </w:p>
    <w:p>
      <w:pPr>
        <w:spacing w:after="0" w:line="15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information provided in this prospectus does not constitute any representation with respect to the eligibility of any recipients of this prospectus to acquire shares of our common stock under the laws of the Russian Federation, including, without limitation, the Russian Securities Law and other applicable legislation.</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This prospectus is not to be distributed or reproduced (in whole or in part) in the Russian Federation by the recipients of this prospectus. Recipients of this prospectus undertake not to offer, sell or deliver, directly or indirectly, or offer or sell to any person for reoffering or re-sale, directly or indirectly, shares of our common stock in the territory of the Russian Federation or to any resident of the Russian Federation, except pursuant to the applicable laws and regulations of the Russian Federation.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Recipients of this prospectus understand that respective receipt/acquisition of shares of our common stock is subject to restrictions and regulations applicable from the Russian law perspective.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Zealand</w:t>
      </w:r>
    </w:p>
    <w:p>
      <w:pPr>
        <w:spacing w:after="0" w:line="11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29" w:lineRule="exact"/>
        <w:rPr>
          <w:sz w:val="20"/>
          <w:szCs w:val="20"/>
          <w:color w:val="auto"/>
        </w:rPr>
      </w:pPr>
    </w:p>
    <w:p>
      <w:pPr>
        <w:ind w:left="10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persons whose principal business is the investment of money or who, in the course of and for the purposes of their business, habitually invest money;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persons who in all the circumstances can properly be regarded as having been selected otherwise than as members of the public; or</w:t>
      </w:r>
    </w:p>
    <w:p>
      <w:pPr>
        <w:spacing w:after="0" w:line="142" w:lineRule="exact"/>
        <w:rPr>
          <w:rFonts w:ascii="Arial" w:cs="Arial" w:eastAsia="Arial" w:hAnsi="Arial"/>
          <w:sz w:val="17"/>
          <w:szCs w:val="17"/>
          <w:color w:val="auto"/>
        </w:rPr>
      </w:pPr>
    </w:p>
    <w:p>
      <w:pPr>
        <w:ind w:left="1060" w:hanging="424"/>
        <w:spacing w:after="0" w:line="308"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20" w:hanging="216"/>
        <w:spacing w:after="0"/>
        <w:tabs>
          <w:tab w:leader="none" w:pos="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jc w:val="both"/>
        <w:ind w:left="200" w:firstLine="4"/>
        <w:spacing w:after="0" w:line="252" w:lineRule="auto"/>
        <w:tabs>
          <w:tab w:leader="none" w:pos="4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For Qualified Institutional Investors, or QII</w:t>
      </w:r>
      <w:r>
        <w:rPr>
          <w:rFonts w:ascii="Arial" w:cs="Arial" w:eastAsia="Arial" w:hAnsi="Arial"/>
          <w:sz w:val="18"/>
          <w:szCs w:val="18"/>
          <w:color w:val="auto"/>
        </w:rPr>
        <w:t>: Please note that the solicitation for newly-issued or secondary securities (each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i w:val="1"/>
          <w:iCs w:val="1"/>
          <w:color w:val="auto"/>
        </w:rPr>
        <w:t>For Non-QII Investors</w:t>
      </w:r>
      <w:r>
        <w:rPr>
          <w:rFonts w:ascii="Arial" w:cs="Arial" w:eastAsia="Arial" w:hAnsi="Arial"/>
          <w:sz w:val="18"/>
          <w:szCs w:val="18"/>
          <w:color w:val="auto"/>
        </w:rPr>
        <w:t>: Please note that the solicitation for newly-issued or secondary securities (each as described in Paragraph 2, Article 4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60" w:hanging="424"/>
        <w:spacing w:after="0" w:line="308" w:lineRule="auto"/>
        <w:tabs>
          <w:tab w:leader="none" w:pos="10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7" w:lineRule="exact"/>
        <w:rPr>
          <w:sz w:val="20"/>
          <w:szCs w:val="20"/>
          <w:color w:val="auto"/>
        </w:rPr>
      </w:pPr>
    </w:p>
    <w:p>
      <w:pPr>
        <w:ind w:left="1060" w:hanging="424"/>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80" w:right="80" w:hanging="4944"/>
        <w:spacing w:after="0" w:line="449" w:lineRule="auto"/>
        <w:tabs>
          <w:tab w:leader="none" w:pos="10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172</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Wilson Sonsini Goodrich &amp; Rosati, Professional Corporation, Palo Alto, California. Cooley LLP, San Francisco, California, is acting as counsel to the underwriters.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consolidated financial statements as of July 31, 2016 and 2017 and for each of the three years in the period ended July 31, 2017 included in this prospectus have been so included in reliance on the report of PricewaterhouseCoopers LLP, an independent registered public accounting firm, given on the authority of said firm as experts in auditing and accounting.</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www.zscaler.com. Upon the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ZSCALER,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8"/>
                <w:szCs w:val="18"/>
                <w:color w:val="auto"/>
              </w:rPr>
            </w:pPr>
          </w:p>
        </w:tc>
        <w:tc>
          <w:tcPr>
            <w:tcW w:w="6440" w:type="dxa"/>
            <w:vAlign w:val="bottom"/>
            <w:gridSpan w:val="2"/>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Consolidated Statements of Operations</w:t>
              </w:r>
            </w:hyperlink>
          </w:p>
        </w:tc>
        <w:tc>
          <w:tcPr>
            <w:tcW w:w="7840" w:type="dxa"/>
            <w:vAlign w:val="bottom"/>
            <w:gridSpan w:val="5"/>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3"/>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44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Board of Directors and Stockholders of Zscaler, Inc.</w:t>
      </w:r>
    </w:p>
    <w:p>
      <w:pPr>
        <w:spacing w:after="0" w:line="225" w:lineRule="exact"/>
        <w:rPr>
          <w:sz w:val="20"/>
          <w:szCs w:val="20"/>
          <w:color w:val="auto"/>
        </w:rPr>
      </w:pPr>
    </w:p>
    <w:p>
      <w:pPr>
        <w:jc w:val="both"/>
        <w:ind w:left="640"/>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redeemable convertible preferred stock and stockholders’ deficit and of cash flows present fairly, in all material respects, the financial position of Zscaler, Inc. and its subsidiaries as of July 31, 2017 and 2016, and the results of their operations and their cash flows for each of the three years in the period ended July 31, 2017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October 2, 2017, except for the change in the manner in which the Company accounts for revenue from contracts with customers as discussed in Note 2 to the consolidated financial statements, as to which the date is December 11, 2017, and except for the effects of the reverse stock split as discussed in Note 2 to the consolidated financial statements, as to which the date is March 5, 2018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July 31,</w:t>
            </w:r>
          </w:p>
        </w:tc>
        <w:tc>
          <w:tcPr>
            <w:tcW w:w="560" w:type="dxa"/>
            <w:vAlign w:val="bottom"/>
            <w:tcBorders>
              <w:bottom w:val="single" w:sz="8" w:color="auto"/>
            </w:tcBorders>
          </w:tcPr>
          <w:p>
            <w:pPr>
              <w:spacing w:after="0"/>
              <w:rPr>
                <w:sz w:val="14"/>
                <w:szCs w:val="14"/>
                <w:color w:val="auto"/>
              </w:rPr>
            </w:pP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w w:val="93"/>
              </w:rPr>
              <w:t>January 31,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160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w w:val="96"/>
              </w:rPr>
              <w:t>January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728"/>
              <w:spacing w:after="0" w:line="142" w:lineRule="exact"/>
              <w:rPr>
                <w:sz w:val="20"/>
                <w:szCs w:val="20"/>
                <w:color w:val="auto"/>
              </w:rPr>
            </w:pPr>
            <w:r>
              <w:rPr>
                <w:rFonts w:ascii="Arial" w:cs="Arial" w:eastAsia="Arial" w:hAnsi="Arial"/>
                <w:sz w:val="14"/>
                <w:szCs w:val="14"/>
                <w:b w:val="1"/>
                <w:bCs w:val="1"/>
                <w:color w:val="auto"/>
                <w:w w:val="97"/>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92,842</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87,978</w:t>
            </w:r>
          </w:p>
        </w:tc>
        <w:tc>
          <w:tcPr>
            <w:tcW w:w="6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71,569</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24,489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39,052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47,536</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contract acquisition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12,271</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2,980</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5,410</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6,754</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127,054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142,909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138,130</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11,108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13,139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16,858</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contract acquisition costs, noncurrent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962</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2,661</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5,512</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153,518</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182,902</w:t>
            </w:r>
          </w:p>
        </w:tc>
        <w:tc>
          <w:tcPr>
            <w:tcW w:w="6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188,172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3,763</w:t>
            </w:r>
          </w:p>
        </w:tc>
        <w:tc>
          <w:tcPr>
            <w:tcW w:w="6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2,343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11,177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280"/>
              <w:spacing w:after="0" w:line="149" w:lineRule="exact"/>
              <w:rPr>
                <w:sz w:val="20"/>
                <w:szCs w:val="20"/>
                <w:color w:val="auto"/>
              </w:rPr>
            </w:pPr>
            <w:r>
              <w:rPr>
                <w:rFonts w:ascii="Arial" w:cs="Arial" w:eastAsia="Arial" w:hAnsi="Arial"/>
                <w:sz w:val="14"/>
                <w:szCs w:val="14"/>
                <w:color w:val="auto"/>
              </w:rPr>
              <w:t>Accrued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6,362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11,608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10,423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early exercise of unvested stock options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58,490</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85,468</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107,907</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120,459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136,372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Deferred revenue, noncurrent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11,151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11,350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1,457</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80" w:type="dxa"/>
            <w:vAlign w:val="bottom"/>
          </w:tcPr>
          <w:p>
            <w:pPr>
              <w:ind w:left="1140"/>
              <w:spacing w:after="0" w:line="155" w:lineRule="exact"/>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86,851</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133,067</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149,144</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b w:val="1"/>
                <w:bCs w:val="1"/>
                <w:color w:val="auto"/>
              </w:rPr>
              <w:t>Redeemable Convertible Preferred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convertible preferred stock; $0.001 par value; 73,100 shares authorized as of July 31,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2016, July 31, 2017 and January 31, 2018 (unaudited); 72,501 shares issued and outstanding as of</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July 31, 2016, July 31, 2017 and January 31, 2018 (unaudited); aggregate liquidation preference of</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$191,880, $201,376 and $206,447 as of July 31, 2016, July 31, 2017 and January 31, 2018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(unaudited), respectively; 73,100 shares authorized; no shares issued and outstanding as of January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31, 2018, pro forma (unaudited)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191,407</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200,977</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206,086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Stockholders’ (Deficit) Equity</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$0.001 par value; 130,000 shares authorized as of July 31, 2016, July 31, 2017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January 31, 2018 (unaudited), respectively; 30,331 shares, 32,359 shares and 32,831 shares issued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 outstanding as of July 31, 2016, July 31, 2017 and January 31, 2018 (unaudited), respectively;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130,000 shares authorized; 105,332 shares issued and outstanding as of January 31, 2018, pro forma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(unaudited)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11,714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18,734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21,045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227,022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receivable from stockholders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(7,755)</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(126,556)</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(162,016)</w:t>
            </w:r>
          </w:p>
        </w:tc>
        <w:tc>
          <w:tcPr>
            <w:tcW w:w="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(180,367)</w:t>
            </w: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(180,367)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Total stockholders’ (deficit)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(124,740)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(151,142)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(167,058)</w:t>
            </w:r>
          </w:p>
        </w:tc>
        <w:tc>
          <w:tcPr>
            <w:tcW w:w="6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114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ind w:left="1280"/>
              <w:spacing w:after="0"/>
              <w:rPr>
                <w:sz w:val="20"/>
                <w:szCs w:val="20"/>
                <w:color w:val="auto"/>
              </w:rPr>
            </w:pPr>
            <w:r>
              <w:rPr>
                <w:rFonts w:ascii="Arial" w:cs="Arial" w:eastAsia="Arial" w:hAnsi="Arial"/>
                <w:sz w:val="14"/>
                <w:szCs w:val="14"/>
                <w:color w:val="auto"/>
              </w:rPr>
              <w:t>equity</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153,518</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182,902</w:t>
            </w:r>
          </w:p>
        </w:tc>
        <w:tc>
          <w:tcPr>
            <w:tcW w:w="6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188,172</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Year Ended July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20,940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(26,843)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(14,458)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(12,599)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(26,970)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(27,438)</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(35,460)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(14,629)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(17,913)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Accretion of Series C and D redeemable convertible preferred stock</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(12,979)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(36,086)</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(45,030)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(19,362)</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(23,022)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3"/>
              </w:rPr>
              <w:t>Net loss per share attributable to common stockholders, basic and diluted</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Weighted-average shares used in computing net loss per share attributable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 basic and diluted</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Weighted-average shares used in computing pro forma net loss per share,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(unaudited)</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103,626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right"/>
              <w:ind w:right="48"/>
              <w:spacing w:after="0"/>
              <w:rPr>
                <w:sz w:val="20"/>
                <w:szCs w:val="20"/>
                <w:color w:val="auto"/>
              </w:rPr>
            </w:pPr>
            <w:r>
              <w:rPr>
                <w:rFonts w:ascii="Arial" w:cs="Arial" w:eastAsia="Arial" w:hAnsi="Arial"/>
                <w:sz w:val="14"/>
                <w:szCs w:val="14"/>
                <w:b w:val="1"/>
                <w:bCs w:val="1"/>
                <w:color w:val="auto"/>
                <w:w w:val="99"/>
              </w:rPr>
              <w:t>Common Stock</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From</w:t>
            </w:r>
          </w:p>
        </w:tc>
        <w:tc>
          <w:tcPr>
            <w:tcW w:w="1020" w:type="dxa"/>
            <w:vAlign w:val="bottom"/>
            <w:gridSpan w:val="4"/>
            <w:vMerge w:val="continue"/>
          </w:tcPr>
          <w:p>
            <w:pPr>
              <w:spacing w:after="0"/>
              <w:rPr>
                <w:sz w:val="14"/>
                <w:szCs w:val="14"/>
                <w:color w:val="auto"/>
              </w:rPr>
            </w:pPr>
          </w:p>
        </w:tc>
        <w:tc>
          <w:tcPr>
            <w:tcW w:w="10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62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August 1, 2014</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60,231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72,929</w:t>
            </w: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26,781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9,899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(3,270)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(86,286)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(79,648)</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Issuance of preferred stock, net of issuance costs of $274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9,481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84,726</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Series C and D redeemable convertible preferred stock</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related to early exercised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Repurchases of unvested common stock</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notes receivable from stockholders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Additions to notes receivable related to early exercised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(12,832)</w:t>
            </w:r>
          </w:p>
        </w:tc>
        <w:tc>
          <w:tcPr>
            <w:tcW w:w="0" w:type="dxa"/>
            <w:vAlign w:val="bottom"/>
          </w:tcPr>
          <w:p>
            <w:pPr>
              <w:spacing w:after="0"/>
              <w:rPr>
                <w:sz w:val="1"/>
                <w:szCs w:val="1"/>
                <w:color w:val="auto"/>
              </w:rPr>
            </w:pPr>
          </w:p>
        </w:tc>
      </w:tr>
      <w:tr>
        <w:trPr>
          <w:trHeight w:val="156"/>
        </w:trPr>
        <w:tc>
          <w:tcPr>
            <w:tcW w:w="4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July 31, 2015</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69,712</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157,802</w:t>
            </w:r>
          </w:p>
        </w:tc>
        <w:tc>
          <w:tcPr>
            <w:tcW w:w="2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29,474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12,895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(99,118)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(95,332)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 net of issuance costs of $43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24,957</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Accretion of Series C and D redeemable convertible preferred stock</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8,648</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early exercised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unvested common stock</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Repayments of notes receivable from stockholders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notes receivable related to early exercised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(27,438)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July 31, 2016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72,501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191,407</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30,331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(9,914)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(126,556)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(124,740)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Accretion of Series C and D redeemable convertible preferred stock</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9,570</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early exercised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unvested common stock</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Repayments of notes receivable from stockholders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notes receivable related to early exercised stock options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July 31, 2017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72,501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200,977</w:t>
            </w:r>
          </w:p>
        </w:tc>
        <w:tc>
          <w:tcPr>
            <w:tcW w:w="2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32,359</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18,734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(7,878)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(162,016)</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(151,142)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
                <w:szCs w:val="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w w:val="99"/>
              </w:rPr>
              <w:t>Common Stock</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0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From</w:t>
            </w:r>
          </w:p>
        </w:tc>
        <w:tc>
          <w:tcPr>
            <w:tcW w:w="1000" w:type="dxa"/>
            <w:vAlign w:val="bottom"/>
            <w:gridSpan w:val="4"/>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July 31, 2017</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72,501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200,977</w:t>
            </w: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32,359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18,734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(7,878)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(162,016)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(151,142)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Cumulative effect of accounting change (unaudited)</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Series C and D redeemable convertible preferred stock</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(unaudited)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5,109</w:t>
            </w:r>
          </w:p>
        </w:tc>
        <w:tc>
          <w:tcPr>
            <w:tcW w:w="2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(5,109)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exercise of stock options (unaudited)</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related to early exercised stock options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(unaudited)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Repurchases of unvested common stock (unaudited)</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Additions to notes receivable related to early exercised stock options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(unaudited)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 (unaudited)</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(17,913)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31, 2018 (unaudited)</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72,501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206,086</w:t>
            </w:r>
          </w:p>
        </w:tc>
        <w:tc>
          <w:tcPr>
            <w:tcW w:w="2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32,831</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21,045</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(7,755)</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(180,367)</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center"/>
              <w:ind w:right="88"/>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(12,832)</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(27,438)</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(35,460)</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(14,629)</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used in operating activities: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Depreciation and amortization expense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Amortization of deferred contract acquisition costs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Deferred contract acquisition costs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(21,999)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expenses and other liabilities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Accrued compensation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revenue</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13,264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16,133</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30,706</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13,178</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6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(3,279)</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(6,019)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(2,554)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Purchases of property and equipment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Capitalized internal-use software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Change in restricted cash</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Purchases of marketable securities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Sale of marketable securities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6,148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(595)</w:t>
            </w: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(6,647)</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(8,342)</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(4,413)</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Proceeds from issuance of preferred stock, net of issuance costs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Proceeds from issuance of common stock upon exercise of stock options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Proceeds from issuance of common stock related to early exercised stock options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Repurchases of unvested common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Repayments of notes receivable from stockholders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Borrowings from line of credit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Repayments of line of credit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560"/>
              <w:spacing w:after="0" w:line="149" w:lineRule="exact"/>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85,615</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27,563</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9,497</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8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81,741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(4,864)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(5,586)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(16,409)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83,842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92,842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92,842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87,978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74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83,842</w:t>
            </w:r>
          </w:p>
        </w:tc>
        <w:tc>
          <w:tcPr>
            <w:tcW w:w="14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92,842</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87,978</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87,256</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71,569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income taxes</w:t>
            </w:r>
          </w:p>
        </w:tc>
        <w:tc>
          <w:tcPr>
            <w:tcW w:w="8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Net change in equipment included in accounts payable and accrued expenses</w:t>
            </w:r>
          </w:p>
        </w:tc>
        <w:tc>
          <w:tcPr>
            <w:tcW w:w="8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Accretion of Series C and D redeemable convertible preferred stock</w:t>
            </w:r>
          </w:p>
        </w:tc>
        <w:tc>
          <w:tcPr>
            <w:tcW w:w="8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8,648</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9,570</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4,733</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Issuance of notes receivable related to early exercised stock options</w:t>
            </w:r>
          </w:p>
        </w:tc>
        <w:tc>
          <w:tcPr>
            <w:tcW w:w="8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6,615</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4,373</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unvested common stock</w:t>
            </w:r>
          </w:p>
        </w:tc>
        <w:tc>
          <w:tcPr>
            <w:tcW w:w="8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Vesting of early exercised stock options</w:t>
            </w:r>
          </w:p>
        </w:tc>
        <w:tc>
          <w:tcPr>
            <w:tcW w:w="8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1,111</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2,862</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3,702</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deferred offering costs, accrued but not paid</w:t>
            </w:r>
          </w:p>
        </w:tc>
        <w:tc>
          <w:tcPr>
            <w:tcW w:w="8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ind w:left="280"/>
              <w:spacing w:after="0"/>
              <w:rPr>
                <w:sz w:val="20"/>
                <w:szCs w:val="20"/>
                <w:color w:val="auto"/>
              </w:rPr>
            </w:pPr>
            <w:r>
              <w:rPr>
                <w:rFonts w:ascii="Arial" w:cs="Arial" w:eastAsia="Arial" w:hAnsi="Arial"/>
                <w:sz w:val="14"/>
                <w:szCs w:val="14"/>
                <w:color w:val="auto"/>
              </w:rPr>
              <w:t>Capitalized leasehold improvements paid directly by landlord</w:t>
            </w:r>
          </w:p>
        </w:tc>
        <w:tc>
          <w:tcPr>
            <w:tcW w:w="8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1,491</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Zscaler, Inc. (“Zscaler,” the “Company,” “we,” “us,” or “our”) is a cloud security company that developed a platform incorporating core security functionalities needed to enable users to safely utilize authorized applications and services based on an organization’s policies. Our solution is a purpose-built, multi-tenant, distributed cloud security platform that secures access for users and devices to applications and services, regardless of location. We deliver our solutions using a software-as-a-service (“SaaS”) business model and sell subscriptions to customers to access our cloud platform, together with related support services. We were incorporated in Delaware in September 2007 and conduct business worldwide, with international locations in Australia, Singapore, U.K., Germany, France and India. Our headquarters are in San Jose, California.</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Zscaler, Inc. and its wholly owned subsidiaries and have been prepared in conformity with accounting principles generally accepted in the United States (“U.S. GAAP”). All intercompany balances and transactions have been eliminated in consolidation.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fiscal year ends on July 31. References to fiscal 2015, 2016 and 2017 refer to our fiscal years ended July 31, 2015, 2016 and 2017, respectively. Reference to fiscal 2018 refers to our fiscal year ending July 31,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Balance Sheet Information and Pro Forma Net Loss Per Share</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accompanying pro forma consolidated balance sheet information as of January 31, 2018 has been prepared assuming the automatic conversion of all outstanding shares of convertible preferred stock into 72,500,750 shares of common stock. The unaudited pro forma net loss per share for fiscal 2017 and for the six months ended January 31, 2018 has been computed to give effect to the automatic conversion of our convertible preferred stock into common stock as though the conversion had occurred as of the beginning of the period.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Consolidated Financial Information</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accompanying interim consolidated balance sheet as of January 31, 2018 and the consolidated statements of operations and cash flows for the six months ended January 31, 2017 and 2018, and the consolidated statement of redeemable convertible preferred stock and stockholders’ deficit for the six months ended January 31, 2018 and the related footnote disclosures are unaudited. These unaudited interim consolidated financial statements have been prepared in accordance with U.S. GAAP. In management’s opinion, the unaudited interim consolidated financial statements include all adjustments necessary to state fairly our financial position as of January 31, 2018 and the results of operations and cash flows for the six months ended January 31, 2017 and 2018. The financial data and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342" w:lineRule="auto"/>
        <w:rPr>
          <w:sz w:val="20"/>
          <w:szCs w:val="20"/>
          <w:color w:val="auto"/>
        </w:rPr>
      </w:pPr>
      <w:r>
        <w:rPr>
          <w:rFonts w:ascii="Arial" w:cs="Arial" w:eastAsia="Arial" w:hAnsi="Arial"/>
          <w:sz w:val="16"/>
          <w:szCs w:val="16"/>
          <w:color w:val="auto"/>
        </w:rPr>
        <w:t>other information disclosed in these notes to the consolidated financial statements related to these six-month periods are unaudited. The results for the six months ended January 31, 2018 are not necessarily indicative of the operating results expected for the full fiscal 2018 or any future period.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200" w:right="20" w:firstLine="441"/>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and disclosed in the financial statements and accompanying notes. Actual results could differ from these estimates. Such estimates include, but are not limited to, the determination of revenue recognition, deferred revenue, deferred contract acquisition costs, the period of benefit generated from our deferred contract acquisition costs, allowance for doubtful accounts, valuation of common stock options, useful lives of property and equipment, loss contingencies related to litigation and valuation of deferred tax assets. Management bases these estimates and assumptions on historical experience and on various other assumptions that are believed to be reasonable. Actual results could differ significantly from these estimates, and such differences may be material to the consolidated financial statements.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In March 2018, our Board of Directors approved an amendment to the Company’s amended and restated certificate of incorporation effecting a 2-for-3 reverse stock split of the Company’s issued and outstanding shares of common stock and convertible preferred stock. The reverse stock split was effected on March 1, 2018. The par value of the common and redeemable convertible preferred stock was not adjusted as a result of the reverse stock split. All issued and outstanding share and per share amounts included in the accompanying consolidated financial statements have been adjusted to reflect this reverse stock split for all periods presented.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We generate revenue primarily from sale of subscriptions to access our cloud platform, together with related support services. Our sales team, along with our channel partner network of global telecommunications service providers, system integrators and value-added resellers (collectively “channel partners”), sells our services worldwide to organizations of all sizes. Due to the nature of our services and the terms and conditions of our contracts with our channel partners, our business could be affected unfavorably if we are not able to continue our relationships with them.</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cash equivalents and accounts receivable. Although we deposit our cash with multiple financial institutions, the deposits, at times, may exceed federally insured limits. Cash equivalents consist of money market funds which are invested through financial institutions in the United States.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grant credit to our customers in the normal course of business. We monitor the financial condition of our customers to reduce credit risk.</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10% or more of the total balance of accounts receivable,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97"/>
              </w:rPr>
              <w:t>July 31,</w:t>
            </w:r>
          </w:p>
        </w:tc>
        <w:tc>
          <w:tcPr>
            <w:tcW w:w="136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3"/>
              </w:rPr>
              <w:t>January 31,</w:t>
            </w:r>
          </w:p>
        </w:tc>
      </w:tr>
      <w:tr>
        <w:trPr>
          <w:trHeight w:val="142"/>
        </w:trPr>
        <w:tc>
          <w:tcPr>
            <w:tcW w:w="6720" w:type="dxa"/>
            <w:vAlign w:val="bottom"/>
            <w:gridSpan w:val="2"/>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140" w:type="dxa"/>
            <w:vAlign w:val="bottom"/>
            <w:gridSpan w:val="2"/>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Channel partner A</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Channel partner B</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w:t>
            </w:r>
          </w:p>
        </w:tc>
        <w:tc>
          <w:tcPr>
            <w:tcW w:w="204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Channel partner C</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Channel partner 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Represents less than 10%.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 single customer accounted for 10% or more of revenue in fiscal 2015, 2016, 2017, and for the six months ended January 31, 2017 and 2018.</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 xml:space="preserve">We elected to early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August 1, 2017, using the full retrospective transition method. Under this method, we are presenting the consolidated financial statements for fiscal 2015, 2016 and 2017, as if ASC 606 had been effective for those periods.</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be entitled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consider the terms and conditions of the contracts and our customary business practices in identifying our contracts under ASC 606. We determine we have a contract with a customer when the contract is approved, we can identify each party’s rights regarding the services to be transferred, we can identify the payment terms for the services,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is separately identifiable from other promises in the contract. Our performance obligations consist of (i) our subscription and support services and (ii) professional and other services.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Recognize revenue when or as we satisfy a performance obligation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a customer. Revenue is recognized when control of the services is transferred to our customers, in an amount that reflects the consideration that we expect to receive in exchange for those services. We generate all our revenue from contracts with customers.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Subscription and Support Revenue</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generate revenue primarily from sales of subscriptions to access our cloud platform, together with related support services to our customers. Arrangements with customers do not provide the customer with the right to take possession of our software operating our cloud platform at any time. Instead, customers are granted continuous access to our cloud platform over the contractual period. A time-elapsed output method is used to measure progress because we transfer control evenly over the contractual period. Accordingly, the fixed consideration related to subscription and support revenue is generally recognized on a straight-line basis over the contract term beginning on the date that our service is made available to the customer.</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typical subscription and support term is one to three years. Most of our contracts are non-cancelable over the contractual term. Customers typically have the right to terminate their contracts for cause if we fail to perform in accordance with the contractual terms. Some of our customers have the option to purchase additional subscription and support services at a stated price. These options generally do not provide a material right as they are priced at our SSP.</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Professional and Other Services Revenue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Professional and other services revenue consists of fees associated with providing deployment advisory services that educate and assist our customers on the best use of our solutions, as well as advise customers on best practices as they deploy our solution. These services are distinct from subscription and support services. Professional services do not result in significant customization of the subscription service. Revenue from professional services provided on a time and materials basis is recognized as the services are performed. Total professional and other services revenue has historically not been material.</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Most of our contracts with customers contain multiple promised services consisting of (i) our subscription and support services and (ii) professional and other services that are distinct and accounted for separately. The transaction price is allocated to the separate performance obligations on a relative SSP basis. We determine SSP based on our overall pricing objectives, taking into consideration the type of subscription and support services and professional and other services, the geographical region of the customer and the number of users.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66"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our services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our subscription contracts. Accordingly, any estimated refunds related to these agreements in the consolidated financial statements is not material during the periods presented.</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provide rebates and other credits within our contracts with certain customers which are estimated based on the most likely amounts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Subscription and support revenue is recognized over time and accounted for approximately 99% of our revenue for fiscal 2015, 2016 and 2017, and approximately 99% and approximately 98% for the six months ended January 31, 2017 and 2018,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revenue by region based on the shipping address of customers who have contracted to use our cloud platform:</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Year Ended July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w w:val="94"/>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left="10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left="10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left="10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23,250</w:t>
            </w: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35,794</w:t>
            </w:r>
          </w:p>
        </w:tc>
        <w:tc>
          <w:tcPr>
            <w:tcW w:w="12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57,990</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25,504</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39,985</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w w:val="96"/>
              </w:rPr>
              <w:t>Europe, Middle East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Arial" w:cs="Arial" w:eastAsia="Arial" w:hAnsi="Arial"/>
                <w:sz w:val="14"/>
                <w:szCs w:val="14"/>
                <w:color w:val="auto"/>
              </w:rPr>
              <w:t>Africa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25,365</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37,403</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56,857</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25,671</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37,154</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Asia Pacific</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4,302</w:t>
            </w: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5,779</w:t>
            </w:r>
          </w:p>
        </w:tc>
        <w:tc>
          <w:tcPr>
            <w:tcW w:w="12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9,853</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4,376</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6,554</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790</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1,349</w:t>
            </w:r>
          </w:p>
        </w:tc>
        <w:tc>
          <w:tcPr>
            <w:tcW w:w="12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1,017</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1,144</w:t>
            </w:r>
          </w:p>
        </w:tc>
        <w:tc>
          <w:tcPr>
            <w:tcW w:w="1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53,707</w:t>
            </w: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80,325</w:t>
            </w:r>
          </w:p>
        </w:tc>
        <w:tc>
          <w:tcPr>
            <w:tcW w:w="12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125,717</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56,209</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84,837</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Year Ended July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w w:val="94"/>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2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left="89"/>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gridSpan w:val="2"/>
          </w:tcPr>
          <w:p>
            <w:pPr>
              <w:jc w:val="center"/>
              <w:ind w:left="10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Channel partners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42,798</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67,472</w:t>
            </w: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110,900</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49,009</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77,429</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Direct customers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7"/>
              </w:rPr>
              <w:t>10,909</w:t>
            </w:r>
          </w:p>
        </w:tc>
        <w:tc>
          <w:tcPr>
            <w:tcW w:w="200" w:type="dxa"/>
            <w:vAlign w:val="bottom"/>
            <w:vMerge w:val="restart"/>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7"/>
              </w:rPr>
              <w:t>12,853</w:t>
            </w: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14,817</w:t>
            </w: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7,200</w:t>
            </w: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7,408</w:t>
            </w:r>
          </w:p>
        </w:tc>
        <w:tc>
          <w:tcPr>
            <w:tcW w:w="12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53,707</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80,325</w:t>
            </w: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125,717</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56,209</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84,837</w:t>
            </w:r>
          </w:p>
        </w:tc>
        <w:tc>
          <w:tcPr>
            <w:tcW w:w="12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Contract liabilities consist of deferred revenue and include payments received in advance of performance under the contract. Such amounts are recognized as revenue over the contractual period. For fiscal 2015, 2016 and 2017, and for the six months ended January 31, 2017 and 2018, we recognized revenue of $28.5 million, $40.7 million, $58.5 million, $39.8 million and $58.6 million, respectively, that was included in the corresponding contract liability balance at the beginning of the periods presented.</w:t>
      </w:r>
    </w:p>
    <w:p>
      <w:pPr>
        <w:spacing w:after="0" w:line="18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receive payments from customers based upon contractual billing schedules; accounts receivable are recorded when the right to consideration becomes unconditional. Payment terms on invoiced amounts are typically 30 days. Contract assets include amounts related to our contractual right to consideration for both completed and partially completed performance obligations that may not have been invoiced and such amounts have historically not been material.</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capitalize sales commission and associated payroll taxes paid to internal sales personnel that are incremental to the acquisition of channel partner and direct customer contracts. These costs are recorded as deferred contract acquisition costs in the consolidated balance sheets. We determine whether costs should be deferred based on our sales compensation plans, if the commissions are in fact incremental and would not have occurred absent the customer contract.</w:t>
      </w:r>
    </w:p>
    <w:p>
      <w:pPr>
        <w:spacing w:after="0" w:line="18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Sales commissions for renewal of a contract are not considered commensurate with the commissions paid for the acquisition of the initial contract given the substantive difference in commission rates in proportion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90" w:lineRule="auto"/>
        <w:rPr>
          <w:sz w:val="20"/>
          <w:szCs w:val="20"/>
          <w:color w:val="auto"/>
        </w:rPr>
      </w:pPr>
      <w:r>
        <w:rPr>
          <w:rFonts w:ascii="Arial" w:cs="Arial" w:eastAsia="Arial" w:hAnsi="Arial"/>
          <w:sz w:val="16"/>
          <w:szCs w:val="16"/>
          <w:color w:val="auto"/>
        </w:rPr>
        <w:t>their respective contract values. Commissions paid upon the initial acquisition of a contract are amortized over an estimated period of benefit of five years while commissions paid for renewal contracts are amortized over the contractual term of the renewals. Amortization of deferred contract acquisition costs is recognized on a straight-line basis commensurate with the pattern of revenue recognition and included in sales and marketing expense in the consolidated statements of operations. We determine the period of benefit for commissions paid for the acquisition of the initial contract by taking into consideration the expected subscription term and expected renewals of our customer contracts, the duration of our relationships with our customers, customer retention data, our technology development lifecycle and other factors. We periodically review the carrying amount of deferred contract acquisition costs to determine whether events or changes in circumstances have occurred that could impact the period of benefit of these deferred costs. We did not recognize any impairment losses of deferred contract acquisition costs during the periods presented.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of the deferred contract acquisition costs: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2"/>
              </w:rPr>
              <w:t>Year Ended July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January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2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34,662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gridSpan w:val="2"/>
            <w:vMerge w:val="continue"/>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13,150</w:t>
            </w:r>
          </w:p>
        </w:tc>
        <w:tc>
          <w:tcPr>
            <w:tcW w:w="8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21,137</w:t>
            </w:r>
          </w:p>
        </w:tc>
        <w:tc>
          <w:tcPr>
            <w:tcW w:w="26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34,662</w:t>
            </w:r>
          </w:p>
        </w:tc>
        <w:tc>
          <w:tcPr>
            <w:tcW w:w="1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24,676</w:t>
            </w:r>
          </w:p>
        </w:tc>
        <w:tc>
          <w:tcPr>
            <w:tcW w:w="1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39,943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current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27,672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contract acquisition costs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The typical subscription and support term is one to three years. Most of our subscription and support contracts are non-cancelable over the contractual term. Customers typically have the right to terminate their contracts for cause, if we fail to perform. As of January 31, 2018, the aggregate amount of the transaction price allocated to remaining performance obligations was $273.1 million. We expect to recognize 56% of the transaction price over the next 12 months and 99% of the transaction price over the next three years, with the remainder recognized thereafter.</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 and Allowance</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Accounts receivable are recorded at the invoiced amount and are non-interest bearing. Accounts receivable are stated at their net realizable value, net of an allowance for doubtful accounts. We have a well-established collections history from our customers. Credit is extended to customers based on an evaluation of their financial condition and other factors. In determining the necessary allowance for doubtful accounts, management considers the current aging and financial condition of our customers, the amount of receivables in dispute and current payment patterns. The allowance for doubtful accounts has historically not been material. There were no material write-offs recognized in the periods presented. We do not have any off-balance-sheet credit exposure related to our customers.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research and development expenses support our efforts to add new features to our existing offerings and to ensure the reliability, availability and scalability of our solutions. Our cloud platform is software-driven,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our research and development teams employ software engineers in the design and the related development, testing, certification and support of our solutions. Accordingly, the majority of our research and development expenses result from employee-related costs, including salaries, bonuses and benefits and costs associated with technology tools used by our engineers.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Advertising expenses are charged to sales and marketing expense in the consolidated statements of operations as incurred. Advertising expense was $1.1 million, $1.8 million and $1.8 million for fiscal 2015, 2016 and 2017, respectively, and $0.8 million and $1.4 million for the six months ended January 31, 2017 and 2018, respectively.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in other income (expense), net in the consolidated statements of operations. We recognized re-measurement losses of $0.4 million, $0.3 million and $0.1 million for fiscal 2015, 2016 and 2017, respectively, and $0.1 million for the six months ended January 31, 2017. The amount of re-measurement losses for the six months ended January 31, 2018 was not material.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consider all highly liquid investments purchased with an original maturity of three months or less from the date of purchase to be cash equivalents. Cash and cash equivalents consist of cash in banks and highly liquid investments in money market funds, including overnight investments. We had cash equivalents of $86.5 million, $72.4 million and $61.3 million as of July 31, 2016, July 31, 2017 and January 31, 2018, respectively. The carrying amount of our cash equivalents approximates fair value, due to the short maturities of these instruments.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maintained restricted cash of $0.4 million, $0.6 million and $0.6 million as of July 31, 2016, July 31, 2017 and January 31, 2018, respectively, through a letter of credit. The letter of credit was established according to the requirements under certain lease agreements and is included in other noncurrent assets in the consolidated balance sheets.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carrying value of our financial instruments, including cash equivalents, accounts receivable, accounts payable and accrued liabilities, approximates fair value due to their short-term nature.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lease our facilities under operating lease agreements and recognize related rent expense on a straight-line basis over the term of the 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of the leased space. As part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of our lease agreement at our headquarters, we obtained $1.5 million in leasehold improvement incentives from the landlord in fiscal 2016. Because such incentive was paid directly to third parties by our landlord, it was recorded as a noncash investing activity in the consolidated statements of cash flows.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one reportable and operating segment structure. We present financial information about our operating segment and geographic areas in Note 11 to our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Property and equipment, net are stated at historical cost net of accumulated depreciation. Property and equipment, excluding leasehold improvements, are depreciated using the straight-line method over the estimated useful lives of the respective assets, generally ranging from two to five years. Leasehold improvements are amortized using the straight-line method over the shorter of the estimated useful lives of the respective assets or the lease term. Expenditures for maintenance and repairs are expensed as incurred and significant improvements and betterments that substantially enhance the life of an asset are capitalized.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Capitalized Internal-Use Software Development Costs</w:t>
      </w:r>
    </w:p>
    <w:p>
      <w:pPr>
        <w:spacing w:after="0" w:line="11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capitalize certain development costs related to our cloud security platform during the application development stage. Costs incurred in the preliminary stages of development are analogous to research and development activities and are expensed as incurred. The preliminary stage includes such activities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costs are recorded as part of property and equipment, net. Maintenance and training costs are expensed as incurred. Capitalized internal-use software is amortized on a straight-line basis over its estimated useful life, which is generally three years, and is recorded as cost of revenue in the consolidated statements of operations. Capitalization of costs associated with the development of software for internal-use totaled $1.5 million, $0.8 million and $0.4 million for fiscal 2015, 2016 and 2017, respectively, and $1.0 million for the six months ended January 31, 2018. We did not capitalize any costs associated with the development of software for internal-use for the six months ended January 31, 2017. Amortization expense for capitalized internal-use software totaled $0.6 million, $1.0 million and $1.2 million for fiscal 2015, 2016 and 2017, respectively, and $0.7 million and $0.4 million for the six months ended January 31, 2017 and 2018,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review our long-lived assets, comprised primarily of our property and equipment, for impairment whenever events or changes in circumstances indicate that their carrying amounts may not be recoverable. We measure the recoverability of these assets by comparing the carrying amounts to the future undiscounted cash flows these assets are expected to generate. If the total of the future undiscounted cash flows are less than the carrying amount of an asset, we record an impairment charge for the amount by which the carrying amount of the asset exceeds the fair value. Impairment losses of long-lived assets were not material during the periods presented.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Deferred offering costs are capitalized and consist of fees and expenses incurred in connection with the anticipated sale of our common stock in an initial public offering (“IPO”), including the legal, accounting, printing and other IPO-related costs. Upon completion of the IPO, these deferred offering costs will be reclassified to stockholders’ (deficit) equity and recorded against the proceeds from the offering. The outstanding</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balance of deferred offering costs as of July 31, 2017 and January 31, 2018 totaled $1.2 million and $4.3 million, respectively, which are included in other noncurrent assets in the consolidated balance sheets. As of July 31, 2016, we had not incurred such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Stock-based compensation expense related to stock awards is recognized based on the fair value of the awards granted. The fair value of each option award is estimated on the grant date using the Black-Scholes option pricing model and a single option award approach.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Stock-based compensation expense is recognized over the requisite service period of the awards, which is generally four years.</w:t>
      </w:r>
    </w:p>
    <w:p>
      <w:pPr>
        <w:spacing w:after="0" w:line="189"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 xml:space="preserve">During fiscal 2015, 2016 and 2017, we recognized stock-based compensation expense, net of estimated forfeitures. We used historical data to estimate pre-vesting forfeitures and recorded stock-based compensation expense only for those grants that were expected to vest. On August 1, 2017, we adopted Accounting Standard Update No. 2016-09, </w:t>
      </w: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 xml:space="preserve"> (“ASU 2016-09”), which simplifies several aspects of the accounting for employee share-based payment transactions. In accordance with ASU 2016-09, we have elected to account for forfeitures as they occur instead of estimating the number of awards expected to be forfeited and adjusting the estimate when it is no longer probable that the employee will fulfill the service condition. Adoption of this provision during our first quarter of fiscal 2018 resulted in a cumulative-effect adjustment to accumulated deficit of $0.4 million, net of tax, as of the date of adoption.</w:t>
      </w:r>
    </w:p>
    <w:p>
      <w:pPr>
        <w:spacing w:after="0" w:line="16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Additionally, upon adoption of ASU 2016-09, on a modified retrospective basis, the previously unrecognized excess tax benefits of $0.9 million as of July 31, 2017 were recorded as an increase of U.S. federal and state deferred tax assets, which was substantially offset by our valuation allowance. Prospectively, all excess tax benefits and deficiencies will be recognized in the income statement as a component of our income tax expense or benefit. Further, we will present excess tax benefits as an operating activity in the consolidated statements of cash flows on a prospective basis. For the six months ended January 31, 2018, the net excess tax benefits related to equity awards was not material.</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Comprehensive loss consists of other comprehensive income (loss) and net loss. Other comprehensive income (loss) refers to revenue, expenses, gains and losses that are recorded as an element of stockholders’ (deficit) equity but are excluded from the net loss. We did not have any other comprehensive income (loss) transactions during the periods presented. Accordingly, the comprehensive loss is equal to the net loss for the periods presented.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income taxes are recognized by applying the enacted statutory tax rates applicable to future years to differences between the carrying amounts of existing assets and liabilities and their respective tax bases and net operating loss and tax credit carryforwards. The effect on deferred tax assets and liabilities of a change in tax rates is recognized in the period that includes the enactment date. The measurement of deferred tax assets is reduced, if necessary, by a valuation allowance to amounts that are more likely than not to be realized.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recognize tax benefits from uncertain tax positions only if we believe that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may be subject to legal proceedings and litigation arising from time to time. We record a liability when we believe that it is both probable that a loss has been incurred and the amount can be reasonably estimated. We expect to periodically evaluate developments in our legal matters that could affect the amount of liability that we accrue, if any, and adjust, as appropriate. Until the final resolution of any such matter for which we may be required to record a liability, there may be a loss exposure in excess of the liability recorded and such amount could be significant. We expense legal fees as incurred.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cloud platform is generally warranted to be free of defects under normal use and to perform substantially in accordance with the subscription agreement. Additionally, our contracts generally include provisions for indemnifying customers and channel partners against liabilities if our services infringe or misappropriate a third party’s intellectual property rights. Costs and liabilities incurred as a result of warranties and indemnification obligations were not material during the periods presented.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We consider all series of our redeemable convertible preferred stock to be participating securities. Under the two-class method, the net loss attributable to common stockholders is not allocated to the redeemable convertible preferred stock as the holders of our redeemable convertible preferred stock do not have a contractual obligation to share in our losses. Under the two-class method, net income is attributed to common stockholders and participating securities based on their participation rights.</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Under the two-class method, basic net loss per share attributable to common stockholders is computed by dividing the net loss attributable to common stockholders by the weighted-average number of shares of common stock outstanding during the period. Net loss attributable to common stockholders is calculated by adjusting net loss for current period accretion of redeemable convertible preferred stock.</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Diluted earnings per share attributable to common stockholders adjusts basic earnings per share for the potentially dilutive impact of stock options and redeemable convertible preferred stock. As we have reported losses for all periods presented, all potentially dilutive securities are antidilutive and accordingly, basic net loss per share equals diluted net loss per share.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 xml:space="preserve">In August 2014, the Financial Accounting Standards Board (“FASB”) issued Accounting Standards Update (“ASU”) No. 2014-15,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Statements—Going Concern (Subtopic 205-40): Disclosure of Uncertainties about an Entity’s Ability to Continue as a Going Concern</w:t>
      </w:r>
      <w:r>
        <w:rPr>
          <w:rFonts w:ascii="Arial" w:cs="Arial" w:eastAsia="Arial" w:hAnsi="Arial"/>
          <w:sz w:val="16"/>
          <w:szCs w:val="16"/>
          <w:color w:val="auto"/>
        </w:rPr>
        <w:t>. This</w:t>
      </w:r>
      <w:r>
        <w:rPr>
          <w:rFonts w:ascii="Arial" w:cs="Arial" w:eastAsia="Arial" w:hAnsi="Arial"/>
          <w:sz w:val="16"/>
          <w:szCs w:val="16"/>
          <w:i w:val="1"/>
          <w:iCs w:val="1"/>
          <w:color w:val="auto"/>
        </w:rPr>
        <w:t xml:space="preserve"> </w:t>
      </w:r>
      <w:r>
        <w:rPr>
          <w:rFonts w:ascii="Arial" w:cs="Arial" w:eastAsia="Arial" w:hAnsi="Arial"/>
          <w:sz w:val="16"/>
          <w:szCs w:val="16"/>
          <w:color w:val="auto"/>
        </w:rPr>
        <w:t>ASU provides guidance around management’s responsibility to evaluate whether there is substantial doubt about an entity’s ability to continue as a going concern and to provide related footnote disclosures. It is effective for annual periods ending after December 15, 2016, and for annual and interim periods thereafter. Early adoption is permitted. We adopted this ASU as of July 31, 2017, noting no impact to our consolidated financial statements.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Income Statement—Extraordinary and Unusual Items (Subtopic 225-20):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Income Statement Presentation by Eliminating the Concept of Extraordinary Items</w:t>
      </w:r>
      <w:r>
        <w:rPr>
          <w:rFonts w:ascii="Arial" w:cs="Arial" w:eastAsia="Arial" w:hAnsi="Arial"/>
          <w:sz w:val="18"/>
          <w:szCs w:val="18"/>
          <w:color w:val="auto"/>
        </w:rPr>
        <w:t>. This ASU simplifies income statement presentation by eliminating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concept of extraordinary items. It is effective for fiscal years, and interim periods within those fiscal years, beginning after December 15, 2015. Early adoption is permitted provided that the guidance is applied from the beginning of the fiscal year of adoption. We adopted this ASU as of August 1, 2016, noting no impact to our consolidated financial statements.</w:t>
      </w:r>
    </w:p>
    <w:p>
      <w:pPr>
        <w:spacing w:after="0" w:line="188"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Fees Paid in a Cloud Computing Arrangement</w:t>
      </w:r>
      <w:r>
        <w:rPr>
          <w:rFonts w:ascii="Arial" w:cs="Arial" w:eastAsia="Arial" w:hAnsi="Arial"/>
          <w:sz w:val="16"/>
          <w:szCs w:val="16"/>
          <w:color w:val="auto"/>
        </w:rPr>
        <w:t>. This ASU provides guidance to customers about whether a cloud computing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software. If the arrangement includes a software license, the customer should account for the software license element of the arrangement consistent with the acquisition of other software licenses. If the arrangement does not include a software license, the customer should account for the arrangement as a service contract. For public business entities, it is effective for fiscal years, and interim periods within those fiscal years, beginning after December 15, 2015. We adopted this ASU as of August 1, 2016, noting no impact on our consolidated financial statements.</w:t>
      </w:r>
    </w:p>
    <w:p>
      <w:pPr>
        <w:spacing w:after="0" w:line="16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This ASU is part of the FASB’s simplification initiative aimed at reducing complexity in accounting standards. It requires all deferred tax assets and liabilities, and any related valuation allowance, to be classified as noncurrent on the balance sheet. The classification change for all deferred taxes as noncurrent simplifies entities’ processes as it eliminates the need to separately identify the net current and net noncurrent deferred tax asset or liability in each jurisdiction and allocate valuation allowances. For public business entities, it is effective for annual reporting periods beginning after December 15, 2016 and interim periods therein. Early adoption is permitted. We early adopted this ASU as of August 1, 2016, noting no material impact on our consolidated financial statements.</w:t>
      </w:r>
    </w:p>
    <w:p>
      <w:pPr>
        <w:spacing w:after="0" w:line="18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main difference between previous guidance and ASU 2016-02 is the recognition of lease assets and lease liabilities by lessees for those leases classified as operating leases under previous accounting guidance. ASU 2016-02 retains the distinction between finance leases and operating leases. The classification criteria for distinguishing between finance leases and operating leases are substantially similar to the previous leases guidance. In transition, lessees and lessors are required to recognize and measure leases at the beginning of the earliest period presented using a modified retrospective approach. For public business entities, it is effective for annual periods beginning after December 15, 2018, and interim periods therein. Early adoption is permitted. We are currently evaluating the potential impact of this ASU on our consolidated financial statements.</w:t>
      </w:r>
    </w:p>
    <w:p>
      <w:pPr>
        <w:spacing w:after="0" w:line="178"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In March 2016, the FASB issued ASU 2016-09. This ASU simplifies various aspects related to how share-based payments are accounted for and presented in the financial statements, including income taxes, forfeitures, and statutory tax withholding requirements. For public business entities, it is effective for annual periods beginning after December 15, 2016, and interim periods therein. Early adoption is permitted. We adopted ASU 2016-09 as of August 1, 2017, resulting in the impact discussed in Note 2 (under Stock-Based Compensation) to our consolidated financial statements.</w:t>
      </w:r>
    </w:p>
    <w:p>
      <w:pPr>
        <w:spacing w:after="0" w:line="154"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ASU amends guidance on reporting credit losses for assets held at amortized cost basis and available-for-sale debt securities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For public business entities, it is effective for fiscal years beginning after December 15, 2019, including interim periods within those fiscal years. Early adoption is permitted. We are currently evaluating the potential impact of this ASU on our consolidated financial statements.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(a consensus of the Emerging Issues Task Force)</w:t>
      </w:r>
      <w:r>
        <w:rPr>
          <w:rFonts w:ascii="Arial" w:cs="Arial" w:eastAsia="Arial" w:hAnsi="Arial"/>
          <w:sz w:val="18"/>
          <w:szCs w:val="18"/>
          <w:color w:val="auto"/>
        </w:rPr>
        <w:t>. This ASU provides guidance to decrease the diversity in practice in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are presented and classified in the statement of cash flows. For public business entities, it is effective for fiscal years beginning after December 15, 2017, and interim periods within those fiscal years. Early adoption permitted. We are currently evaluating the potential impact of this ASU on our consolidated financial statements.</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 (a consensus of the FASB</w:t>
      </w:r>
      <w:r>
        <w:rPr>
          <w:rFonts w:ascii="Arial" w:cs="Arial" w:eastAsia="Arial" w:hAnsi="Arial"/>
          <w:sz w:val="18"/>
          <w:szCs w:val="18"/>
          <w:color w:val="auto"/>
        </w:rPr>
        <w:t xml:space="preserve"> </w:t>
      </w:r>
      <w:r>
        <w:rPr>
          <w:rFonts w:ascii="Arial" w:cs="Arial" w:eastAsia="Arial" w:hAnsi="Arial"/>
          <w:sz w:val="18"/>
          <w:szCs w:val="18"/>
          <w:i w:val="1"/>
          <w:iCs w:val="1"/>
          <w:color w:val="auto"/>
        </w:rPr>
        <w:t>Emerging Issues Task Force)</w:t>
      </w:r>
      <w:r>
        <w:rPr>
          <w:rFonts w:ascii="Arial" w:cs="Arial" w:eastAsia="Arial" w:hAnsi="Arial"/>
          <w:sz w:val="18"/>
          <w:szCs w:val="18"/>
          <w:color w:val="auto"/>
        </w:rPr>
        <w:t>, which updates the classification of restricted cash in the statement of cash flows. For public business entities, it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years beginning after December 15, 2017, and interim periods therein. Early adoption is permitted. We are currently evaluating the potential impact of this ASU on our consolidated financial statements.</w:t>
      </w:r>
    </w:p>
    <w:p>
      <w:pPr>
        <w:spacing w:after="0" w:line="18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clarity in applying the guidance in Topic 718 around modifications of share-based payment awards. For public business entities, it is effective for fiscal years beginning after December 15, 2017, and interim periods within those fiscal years. Early adoption is permitted. We are currently evaluating the potential impact of this ASU on our consolidated financial statements.</w:t>
      </w:r>
    </w:p>
    <w:p>
      <w:pPr>
        <w:spacing w:after="0" w:line="187"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This ASU reduces the complexity associated with an issuer’s accounting for certain financial instruments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of liabilities and equity. Specifically, the FASB determined that a down round feature would no longer cause a freestanding equity-linked financial instrument (or an embedded conversion option) to be accounted for as a derivative liability at fair value with changes in fair value recognized in current earnings. For public business entities, it is effective for fiscal years beginning after December 15, 2018, and interim periods therein. Early adoption is permitted. We are currently evaluating the potential impact of this ASU on our consolidated financial statements.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Fair value is defined as the exchange price that would be received from sale of an asset or paid to transfer a liability in the principal or most advantageous market for the asset or liability in an orderly transaction between market participants on the measurement date. We measure our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64" w:lineRule="exact"/>
        <w:rPr>
          <w:sz w:val="20"/>
          <w:szCs w:val="20"/>
          <w:color w:val="auto"/>
        </w:rPr>
      </w:pPr>
    </w:p>
    <w:p>
      <w:pPr>
        <w:ind w:left="1060" w:hanging="424"/>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I—Observable inputs are unadjusted quoted prices in active markets for identical assets or liabilities;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II—Observable inputs are quoted prices for similar assets and liabilities in active markets or inputs other than quoted prices that are observable for the assets or liabilities, either directly or indirectly through market corroboration, for substantially the full term of the financial instruments; and</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our own assumptions used to measure assets and liabilities at fair value and require significant management judgment or estimation.</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classify cash equivalents, which are comprised of highly liquid money market funds, within Level I of the fair value hierarchy because they are valued based on quoted market prices in active markets.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Assets that are measured at fair value on a recurring basis consist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July 31, 2016</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Level I</w:t>
            </w:r>
          </w:p>
        </w:tc>
        <w:tc>
          <w:tcPr>
            <w:tcW w:w="80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Level II</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III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6"/>
              </w:rPr>
              <w:t>$ 86,547</w:t>
            </w:r>
          </w:p>
        </w:tc>
        <w:tc>
          <w:tcPr>
            <w:tcW w:w="1080" w:type="dxa"/>
            <w:vAlign w:val="bottom"/>
            <w:gridSpan w:val="4"/>
          </w:tcPr>
          <w:p>
            <w:pPr>
              <w:jc w:val="center"/>
              <w:ind w:left="272"/>
              <w:spacing w:after="0"/>
              <w:rPr>
                <w:sz w:val="20"/>
                <w:szCs w:val="20"/>
                <w:color w:val="auto"/>
              </w:rPr>
            </w:pPr>
            <w:r>
              <w:rPr>
                <w:rFonts w:ascii="Arial" w:cs="Arial" w:eastAsia="Arial" w:hAnsi="Arial"/>
                <w:sz w:val="18"/>
                <w:szCs w:val="18"/>
                <w:color w:val="auto"/>
                <w:w w:val="96"/>
              </w:rPr>
              <w:t>$ 86,547</w:t>
            </w:r>
          </w:p>
        </w:tc>
        <w:tc>
          <w:tcPr>
            <w:tcW w:w="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July 31, 2017</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Level I</w:t>
            </w:r>
          </w:p>
        </w:tc>
        <w:tc>
          <w:tcPr>
            <w:tcW w:w="80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Level II</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III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6"/>
              </w:rPr>
              <w:t>$ 72,441</w:t>
            </w:r>
          </w:p>
        </w:tc>
        <w:tc>
          <w:tcPr>
            <w:tcW w:w="1080" w:type="dxa"/>
            <w:vAlign w:val="bottom"/>
            <w:gridSpan w:val="4"/>
          </w:tcPr>
          <w:p>
            <w:pPr>
              <w:jc w:val="center"/>
              <w:ind w:left="272"/>
              <w:spacing w:after="0"/>
              <w:rPr>
                <w:sz w:val="20"/>
                <w:szCs w:val="20"/>
                <w:color w:val="auto"/>
              </w:rPr>
            </w:pPr>
            <w:r>
              <w:rPr>
                <w:rFonts w:ascii="Arial" w:cs="Arial" w:eastAsia="Arial" w:hAnsi="Arial"/>
                <w:sz w:val="18"/>
                <w:szCs w:val="18"/>
                <w:color w:val="auto"/>
                <w:w w:val="96"/>
              </w:rPr>
              <w:t>$ 72,441</w:t>
            </w:r>
          </w:p>
        </w:tc>
        <w:tc>
          <w:tcPr>
            <w:tcW w:w="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January 31, 2018</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Level I</w:t>
            </w:r>
          </w:p>
        </w:tc>
        <w:tc>
          <w:tcPr>
            <w:tcW w:w="80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Level II</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III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6"/>
              </w:rPr>
              <w:t>$ 61,258</w:t>
            </w:r>
          </w:p>
        </w:tc>
        <w:tc>
          <w:tcPr>
            <w:tcW w:w="1080" w:type="dxa"/>
            <w:vAlign w:val="bottom"/>
            <w:gridSpan w:val="4"/>
          </w:tcPr>
          <w:p>
            <w:pPr>
              <w:jc w:val="center"/>
              <w:ind w:left="272"/>
              <w:spacing w:after="0"/>
              <w:rPr>
                <w:sz w:val="20"/>
                <w:szCs w:val="20"/>
                <w:color w:val="auto"/>
              </w:rPr>
            </w:pPr>
            <w:r>
              <w:rPr>
                <w:rFonts w:ascii="Arial" w:cs="Arial" w:eastAsia="Arial" w:hAnsi="Arial"/>
                <w:sz w:val="18"/>
                <w:szCs w:val="18"/>
                <w:color w:val="auto"/>
                <w:w w:val="96"/>
              </w:rPr>
              <w:t>$ 61,258</w:t>
            </w:r>
          </w:p>
        </w:tc>
        <w:tc>
          <w:tcPr>
            <w:tcW w:w="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w:t>
            </w: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July 31,</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6"/>
          </w:tcPr>
          <w:p>
            <w:pPr>
              <w:ind w:left="1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Useful Life</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5"/>
            <w:vMerge w:val="restart"/>
          </w:tcPr>
          <w:p>
            <w:pPr>
              <w:jc w:val="center"/>
              <w:ind w:left="172"/>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Hosting equipment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 years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20,241</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1,167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3,999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1,099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1"/>
              </w:rPr>
              <w:t>Shorter of</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useful life</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or lease term</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2,023</w:t>
            </w: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30,443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(10,627)</w:t>
            </w:r>
          </w:p>
        </w:tc>
        <w:tc>
          <w:tcPr>
            <w:tcW w:w="48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(17,304)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(21,212)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13,139</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Depreciation and amortization expense was $2.9 million, $4.9 million and $6.8 million for fiscal 2015, 2016 and 2017, respectively, and $3.3 million and $3.9 million for the six months ended January 31, 2017 and 2018,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lease our office space under various operating lease agreements expiring at various dates through April 2021. Certain of these lease agreements have escalating rent payments. We recognize rent expense under such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agreements on a straight-line basis over the lease term, and the difference between the rent paid and the straight-line rent is recorded as deferred rent, which is included in accrued expenses and other current liabilities (current portion) and other noncurrent liabilities (noncurrent portion) in the consolidated balance sheets.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80" w:type="dxa"/>
            <w:vAlign w:val="bottom"/>
          </w:tcPr>
          <w:p>
            <w:pPr>
              <w:ind w:left="420"/>
              <w:spacing w:after="0"/>
              <w:rPr>
                <w:sz w:val="20"/>
                <w:szCs w:val="20"/>
                <w:color w:val="auto"/>
              </w:rPr>
            </w:pPr>
            <w:r>
              <w:rPr>
                <w:rFonts w:ascii="Arial" w:cs="Arial" w:eastAsia="Arial" w:hAnsi="Arial"/>
                <w:sz w:val="18"/>
                <w:szCs w:val="18"/>
                <w:color w:val="auto"/>
                <w:w w:val="97"/>
              </w:rPr>
              <w:t>As of July 31, 2017, the aggregate future minimum payments under non-cancelable operating leases consist of the following: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July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vMerge w:val="restart"/>
          </w:tcPr>
          <w:p>
            <w:pPr>
              <w:ind w:left="420"/>
              <w:spacing w:after="0"/>
              <w:rPr>
                <w:sz w:val="20"/>
                <w:szCs w:val="20"/>
                <w:color w:val="auto"/>
              </w:rPr>
            </w:pPr>
            <w:r>
              <w:rPr>
                <w:rFonts w:ascii="Arial" w:cs="Arial" w:eastAsia="Arial" w:hAnsi="Arial"/>
                <w:sz w:val="18"/>
                <w:szCs w:val="18"/>
                <w:color w:val="auto"/>
                <w:w w:val="94"/>
              </w:rPr>
              <w:t>As of January 31, 2018, the aggregate future minimum payments under non-cancelable operating leases consist of the following: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8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July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2018 (remaining six months)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Rent expense was $0.7 million, $1.4 million and $1.7 million for fiscal 2015, 2016 and 2017, respectively, and $0.8 million and $1.1 million for the six months ended January 31, 2017 and 2018,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Data Center Contract Commitments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enter into long-term non-cancelable agreements with providers in various countries to purchase data center capacity, such as bandwidth and colocation space, for our cloud platform. Bandwidth and colocation costs are recorded as cost of revenue in the consolidated statements of operations. Such costs totaled $4.3 million, $5.6 million and $6.9 million for fiscal 2015, 2016 and 2017, respectively, and $3.1 million and $4.3 million for the six months ended January 31, 2017 and 2018, respectively.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July 31, 2017, future minimum payments under non-cancelable data center contracts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Data Center</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Contracts</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July 31,</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2018</w:t>
            </w:r>
          </w:p>
        </w:tc>
        <w:tc>
          <w:tcPr>
            <w:tcW w:w="6740" w:type="dxa"/>
            <w:vAlign w:val="bottom"/>
            <w:gridSpan w:val="2"/>
          </w:tcPr>
          <w:p>
            <w:pPr>
              <w:ind w:left="66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2020</w:t>
            </w:r>
          </w:p>
        </w:tc>
        <w:tc>
          <w:tcPr>
            <w:tcW w:w="6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740" w:type="dxa"/>
            <w:vAlign w:val="bottom"/>
            <w:gridSpan w:val="2"/>
            <w:shd w:val="clear" w:color="auto" w:fill="CCEEFF"/>
          </w:tcPr>
          <w:p>
            <w:pPr>
              <w:ind w:left="66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740" w:type="dxa"/>
            <w:vAlign w:val="bottom"/>
            <w:gridSpan w:val="2"/>
          </w:tcPr>
          <w:p>
            <w:pPr>
              <w:ind w:left="1880"/>
              <w:spacing w:after="0"/>
              <w:rPr>
                <w:sz w:val="20"/>
                <w:szCs w:val="20"/>
                <w:color w:val="auto"/>
              </w:rPr>
            </w:pPr>
            <w:r>
              <w:rPr>
                <w:rFonts w:ascii="Arial" w:cs="Arial" w:eastAsia="Arial" w:hAnsi="Arial"/>
                <w:sz w:val="18"/>
                <w:szCs w:val="18"/>
                <w:color w:val="auto"/>
              </w:rPr>
              <w:t>F-21</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January 31, 2018, future minimum payments under non-cancelable data center contracts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Data Center</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Contracts</w:t>
            </w: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940" w:type="dxa"/>
            <w:vAlign w:val="bottom"/>
            <w:gridSpan w:val="4"/>
          </w:tcPr>
          <w:p>
            <w:pPr>
              <w:jc w:val="center"/>
              <w:ind w:left="3836"/>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July 31,</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2018 (remaining six months)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to purchase products and services such as technology equipment, office renovations, corporate events and consulting services. As of July 31, 2016, July 31, 2017 and January 31, 2018, we had outstanding non-cancelable purchase obligations with a term of 12 months or longer of $1.1 million, $2.2 million and $3.0 million, respectively.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In January 2015, we entered into a $15.0 million Loan and Security Agreement (the “Line of Credit”) with Silicon Valley Bank, as amended, with a two-year term, interest due monthly and principal due upon maturity. Borrowings under the Line of Credit bore interest at the prime rate per annum, as published by the Wall Street Journal, and were collateralized by substantially all of our assets, except for intellectual property. Under this agreement, we were subject to certain reporting and financial covenants. In fiscal 2015, we borrowed $5.5 million under the Line of Credit, which was fully repaid within the same fiscal year. Related interest expense was not material to the periods presented. The Line of Credit was terminated in April 2016.</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Symantec Litigation</w:t>
      </w:r>
    </w:p>
    <w:p>
      <w:pPr>
        <w:spacing w:after="0" w:line="117"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We are currently involved in legal proceedings with Symantec Corporation (“Symantec”). On December 12, 2016, Symantec filed a complaint (“Symantec Case 1”), in the U.S. District Court for the District of Delaware alleging that “Zscaler’s cloud security platform” infringes U.S. Patent Nos. 6,279,113, 7,203,959 (“959 patent”), 7,246,227 (“227 patent”), 7,392,543, 7,735,116 (“116 patent”), 8,181,036 and 8,661,498. The complaint seeks compensatory damages, an injunction, enhanced damages, and attorney fees. We believe our technology does not infringe Symantec’s asserted patents and that Symantec’s patents are invalid. We have filed a motion to dismiss the 959, 227 and certain claims of the 116 patents as invalid based on unpatentable subject matter. On August 2, 2017, the court granted our motion to transfer Symantec Case 1 from the District of Delaware to the Northern District of California. The Markman claim construction hearing for Symantec Case 1 is scheduled for June 19, 2018.</w:t>
      </w:r>
    </w:p>
    <w:p>
      <w:pPr>
        <w:spacing w:after="0" w:line="16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On April 18, 2017, Symantec filed a second complaint (“Symantec Case 2”), in the U.S. District Court for the District of Delaware alleging that “Zscaler’s cloud security platform” infringes U.S. Patent Nos. 6,285,658 (“658 patent”), 7,360,249, 7,587,488 (“488 patent”), 8,316,429 (“429 patent”), 8,316,446 (“466 patent”), 8,402,540 and 9,525,696. The complaint seeks compensatory damages, an injunction, enhanced damages and attorney fees.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On June 22, 2017, Symantec filed a notice of voluntary dismissal of its complaint in Symantec Case 2 along with a new complaint alleging infringement of the same patents. In the new complaint in Symantec Case 2, Symantec added Symantec Limited as a plaintiff and also alleged willful infringement of the 429 and 446 patents. We believe our technology does not infringe Symantec’s asserted patents and that Symantec’s patents are invalid. We have filed a motion to dismiss the 658, 429, 446 and 488 patents as invalid based on unpatentable subject matter. On July 31, 2017, the court granted our motion to transfer Symantec Case 2 from the District of Delaware to the Northern District of California. The Markman claim construction hearing for Symantec Case 2 is scheduled for March 19, 2019.</w:t>
      </w:r>
    </w:p>
    <w:p>
      <w:pPr>
        <w:spacing w:after="0" w:line="193"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We have also received letters from Symantec alleging that our “cloud security platform” infringes U.S. Patent Nos. 7,031,327, 7,496,661, 7,543,036 and 7,624,110. We believe that our technology does not infringe Symantec’s asserted patents and that these patents are invalid.</w:t>
      </w:r>
    </w:p>
    <w:p>
      <w:pPr>
        <w:spacing w:after="0" w:line="14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not recorded a liability with respect to Symantec Case 1 or Case 2 based on our determination that a loss in either case is not probable (though it may be reasonably possible) under the applicable accounting standards.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are vigorously defending Symantec Case 1 and Case 2. Given the early stage in the litigation, although a loss may be reasonably possible, we are unable to predict the likelihood of success of Symantec’s infringement claims or estimate a range of loss.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Finjan Litigation</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are currently involved in legal proceedings with Finjan. On December 5, 2017, Finjan filed a complaint, in the U.S. District Court for the Northern District of California alleging that Zscaler’s “Internet Access Bundles,” “Private Access Bundle,” “Zscaler Enforcement Node,” “Secure Web Gateway,” “Cloud Firewall,” “Cloud Sandbox” and “Cloud Architecture products and services” infringe U.S. Patent Nos. 6,804,780, 7,647,633, 8,677,494 and 7,975,305. The complaint seeks compensatory damages, an injunction, enhanced damages and attorney fees. While the range of potential loss resulting from the lawsuit cannot be reasonably estimated, we recorded legal expenses and related accruals of $2.5 million and $0.7 million for fiscal 2017 and for the six months ended January 31, 2018, respectively, related to past negotiations with Finjan.</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intend to vigorously pursue our defenses. Given the early stage in the litigation, we are unable to predict the likelihood of success of Finjan’s infringement claims.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Litigation and Claims</w:t>
      </w:r>
    </w:p>
    <w:p>
      <w:pPr>
        <w:spacing w:after="0" w:line="11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In addition, from time to time we are a party to various litigation matters and subject to claims that arise in the ordinary course of business. In addition, third parties may from time to time assert claims against us in the form of letters and other communications. For any claims for which we believe a liability is both probable and reasonably estimable, we record a liability in the period for which we make this determination. Except as otherwise described above, there is no pending or threatened legal proceeding to which we are a party that, in our opinion, is likely to have a material adverse effect on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Redeemable Convertible Preferred Stock</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July 2015, we entered into a Series D preferred stock purchase agreement, which authorized the sale and issuance of up to 11,154,240 shares of preferred stock at $8.9652 per share. We sold 9,481,103 shares of Series D redeemable convertible preferred stock for total gross proceeds of $85.0 million and incurred related issuance costs of $0.3 million.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 September 2015, we amended our Amended and Restated Certificate of Incorporation and increased the number of Series D preferred stock authorized for sale and issuance to 12,492,749 shares. We also amended our Series D preferred stock purchase agreement to permit the sale of an additional 2,788,560 shares of Series D redeemable convertible preferred stock at $8.9652 per share for total gross proceeds of $25.0 million. Related issuance costs were immaterial.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July 31, 2016, our convertible preferred stock consists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Issued and</w:t>
            </w:r>
          </w:p>
        </w:tc>
        <w:tc>
          <w:tcPr>
            <w:tcW w:w="19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Liquidation</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Issue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19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Preference</w:t>
            </w:r>
          </w:p>
        </w:tc>
        <w:tc>
          <w:tcPr>
            <w:tcW w:w="1260" w:type="dxa"/>
            <w:vAlign w:val="bottom"/>
            <w:gridSpan w:val="3"/>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5"/>
          </w:tcPr>
          <w:p>
            <w:pPr>
              <w:ind w:left="4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B</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30,200</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D</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118,436</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118,700</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191,407</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July 31, 2017, our convertible preferred stock consists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Issued and</w:t>
            </w:r>
          </w:p>
        </w:tc>
        <w:tc>
          <w:tcPr>
            <w:tcW w:w="19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Liquidation</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Issue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19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Preference</w:t>
            </w:r>
          </w:p>
        </w:tc>
        <w:tc>
          <w:tcPr>
            <w:tcW w:w="1260" w:type="dxa"/>
            <w:vAlign w:val="bottom"/>
            <w:gridSpan w:val="3"/>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5"/>
          </w:tcPr>
          <w:p>
            <w:pPr>
              <w:ind w:left="4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B</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30,200</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D</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127,985</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128,196</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200,977</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January 31, 2018, our convertible preferred stock consists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Issued and</w:t>
            </w:r>
          </w:p>
        </w:tc>
        <w:tc>
          <w:tcPr>
            <w:tcW w:w="19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Liquidation</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Issue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19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Preference</w:t>
            </w:r>
          </w:p>
        </w:tc>
        <w:tc>
          <w:tcPr>
            <w:tcW w:w="1260" w:type="dxa"/>
            <w:vAlign w:val="bottom"/>
            <w:gridSpan w:val="3"/>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4"/>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gridSpan w:val="5"/>
          </w:tcPr>
          <w:p>
            <w:pPr>
              <w:jc w:val="center"/>
              <w:ind w:left="342"/>
              <w:spacing w:after="0"/>
              <w:rPr>
                <w:sz w:val="20"/>
                <w:szCs w:val="20"/>
                <w:color w:val="auto"/>
              </w:rPr>
            </w:pPr>
            <w:r>
              <w:rPr>
                <w:rFonts w:ascii="Arial" w:cs="Arial" w:eastAsia="Arial" w:hAnsi="Arial"/>
                <w:sz w:val="14"/>
                <w:szCs w:val="14"/>
                <w:b w:val="1"/>
                <w:bCs w:val="1"/>
                <w:color w:val="auto"/>
                <w:w w:val="91"/>
              </w:rPr>
              <w:t>(in thousands, except per share data)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B</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30,200</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37,980</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Series D</w:t>
            </w:r>
          </w:p>
        </w:tc>
        <w:tc>
          <w:tcPr>
            <w:tcW w:w="18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133,267</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206,086</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206,447</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Accretion to the redemption price of Series C and D redeemable convertible preferred stock was $0.1 million, $8.6 million and $9.6 million for fiscal 2015, 2016 and 2017, respectively, and $4.7 million and $5.1 million for the six months ended January 31, 2017 and 2018, respectively. Accretion is recognized as a reduction of additional paid-in capital with a corresponding increase to the carrying value of Series C and D redeemable convertible preferred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our convertible preferred stock have various rights, preferences and privileges, which are summarized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Each share of our preferred stock is convertible, at the option of its holder, into the number of fully paid and non-assessable shares of common stock, which results from dividing the applicable original issue price per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by the applicable conversion price per share on the date that the share certificate is surrendered for conversion. As of July 31, 2016, July 31, 2017 and January 31, 2018, the conversion prices per share for all shares of preferred stock were equal to the original issue prices, and the rate at which each share would convert into common stock was one-for-one. The conversion prices of the Series A, B, C and D convertible preferred stock will be adjusted for specified dilutive issuances, stock splits, combinations and noncash dividends. In addition, the conversion price for the Series D redeemable convertible preferred stock will be adjusted in the event of an IPO.</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Each share of preferred stock will automatically convert (1) immediately prior to the closing of the sale of our common stock in a firm commitment underwritten IPO, provided that the IPO involves a pre-IPO valuation of the Company equal to or greater than $750 million and the net proceeds to the Company are not less than $75.0 million or (2) upon a request for such conversion from the holders of a majority of each series of preferred stock then outstanding.</w:t>
      </w:r>
    </w:p>
    <w:p>
      <w:pPr>
        <w:spacing w:after="0" w:line="18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In the event of an IPO in which all of the Series D redeemable convertible preferred stock are to be converted to common stock in which the initial offering price to the public (prior to any underwriting discounts) is less than $11.2065 (as adjusted for stock splits, stock dividends, reclassification and the like), then the conversion price for each share of Series D redeemable convertible preferred stock shall be adjusted immediately prior to the conversion of the Series D redeemable convertible preferred stock into common stock in connection with the IPO. The conversion price will be a conversion price that results in each share of Series D redeemable convertible preferred stock converting into that number of shares (including fractional shares) of common stock as would have a deemed value (number of shares of common stock issued upon conversion of one share of Series D redeemable convertible preferred stock multiplied by the IPO price) equal to $11.2065 (as adjusted for stock splits, stock dividends, reclassification and the like).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Each holder of the Series A, B, C and D convertible preferred stock shall be entitled to receive, out of any funds legally available, noncumulative dividends at the rate of $0.0142875, $0.0972, $0.412305 and $0.71721 per share, respectively, per annum, payable in preference and priority to any payment of any dividends on common stock when and as declared by the board of directors. 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 No dividends are payable to Series A or Series B convertible preferred stock unless dividends on the Series C and D redeemable convertible preferred stock have been declared and all declared dividends have been paid or set aside for payment to the shareholders of Series C and D redeemable convertible preferred stock. The right to receive dividends on shares of preferred stock is not cumulative. No dividends have been declared as of the date of the issuance of these consolidated financial statements.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In the event of any liquidation, dissolution or winding up of the Company, holders of Series A, B, C and D convertible preferred stock are entitled to receive, in preference to holders of the common stock, the amount per share of each share of preferred stock held by them equal to the greater of</w:t>
      </w:r>
    </w:p>
    <w:p>
      <w:pPr>
        <w:jc w:val="both"/>
        <w:ind w:left="200" w:firstLine="4"/>
        <w:spacing w:after="0" w:line="252" w:lineRule="auto"/>
        <w:tabs>
          <w:tab w:leader="none" w:pos="46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sum of the liquidation preference, which is $0.178575 for a Series A share, $1.215 for a Series B share, $5.14965 for a Series C share and $8.9652 plus 8% compounded annually from the initial issuance date for a Series D share, plus all declared but unpaid dividends or (b) the amount that would be received on such share of redeemable convertible preferred stock if such share were converted to a share of common stock immediately prior to such liquidation event. Such amounts will be adjusted for any stock split, stock dividends, combination of shares, reorganization, recapitalization, reclassification or other similar event. All remaining assets will then be distributed pro rata to holders of common stock. In accordance with our Certificate of Incorporation, as amended, a liquidation event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includes a sale, transfer or license of all or substantially all of its assets; a merger or consolidation with another entity; the transfer of 50% or more of its voting stock; or a liquidation, dissolution or winding up of the Company. A liquidation event is deemed to be outside the control of the Company.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holders of Series A, B, C and D convertible preferred stock are entitled to the number of votes equal to the number of shares of common stock into which such preferred stock is convertible. Fractional votes are not permitted. The holders of the preferred stock are entitled to vote on all matters on which the common stockholders are entitled to vote. So long as at least 1,333,333 shares (as adjusted for recapitalization) of each of the Series A, B, C and D convertible preferred stock remain outstanding, the holders of each of the Series A, B, C and D convertible preferred stock, voting as a separate class, are entitled to select one member of our board of directors at each meeting or pursuant to each consent of our stockholders for the election of directors.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Series C redeemable convertible preferred stock is redeemable at any time after the sixth anniversary of the initial issuance of the Series D redeemable convertible preferred stock, at the written election of the holders of at least a majority of the then outstanding shares of Series C redeemable convertible preferred stock. Series D redeemable convertible preferred stock is redeemable at any time after the sixth anniversary of the initial issuance of the Series D redeemable convertible preferred stock, at the written election of the holders of at least a majority of the then outstanding shares of Series D redeemable convertible preferred stock. The redemption price per share for Series C equals to the original issue price of $5.14965 plus the amount equal to all declared and unpaid dividends. The redemption price per share for Series D equals to the original issue price of $8.9652 plus 8% per annum, compounded annually, from the issuance date through the redemption date of July 24, 2021. As the redemption of Series C and D is not solely within the control of the issuer and is contingent only on the passage of time, it is probable that the instrument will become redeemable. Therefore, both Series C and D redeemable convertible preferred stock are being accreted to their redemption prices utilizing the effective interest method.</w:t>
      </w:r>
    </w:p>
    <w:p>
      <w:pPr>
        <w:spacing w:after="0" w:line="16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While Series A, B, C and D convertible preferred stock do not have mandatory redemption provisions, they are contingently redeemable upon a deemed liquidation event.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redemption provisions of the Series C and Series D redeemable convertible preferred stock are considered provisions that are not solely within our control. Also, the deemed liquidation preference provisions of the Series A, B, C and D convertible preferred stock are considered contingent redemption provisions that are not solely within our control. Accordingly, our convertible preferred stock has been presented outside of permanent equity in the mezzanine section of the consolidated balance sheets.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Common Stock</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As of July 31, 2016, July 31, 2017 and January 31, 2018, the number of shares of common stock authorized was 130,000,000 shares, and the number of shares of common stock issued and outstanding was 30,331,024 shares, 32,359,120 shares and 32,830,757 shares, respectively. Our common stock is not redeemable and common stockholders are entitled to one vote for each share of common stock held.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reserved shares of common stock, on an as-if converted basis, for future issuance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July 31,</w:t>
            </w:r>
          </w:p>
        </w:tc>
        <w:tc>
          <w:tcPr>
            <w:tcW w:w="10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3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 convertible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Conversion of Series B convertible preferred stock</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24,856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Remaining shares available for future issuance under the 2007 Plan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shares of common stock reserved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84,659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2007 Stock Plan</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 September 2007, our board of directors adopted the 2007 Stock Plan (the “2007 Plan”). Under the 2007 Plan, the board of directors may grant stock options and stock purchase rights to eligible employees, directors and consultants to promote the success of our business. Stock options granted under the 2007 Plan generally vest over four years with 25% of the option shares vesting one year from the date of grant and then ratably over the following 36 months. Options expire seven years after the date of grant.</w:t>
      </w:r>
    </w:p>
    <w:p>
      <w:pPr>
        <w:spacing w:after="0" w:line="187" w:lineRule="exact"/>
        <w:rPr>
          <w:sz w:val="20"/>
          <w:szCs w:val="20"/>
          <w:color w:val="auto"/>
        </w:rPr>
      </w:pPr>
    </w:p>
    <w:p>
      <w:pPr>
        <w:jc w:val="center"/>
        <w:ind w:left="860" w:right="20"/>
        <w:spacing w:after="0" w:line="449" w:lineRule="auto"/>
        <w:rPr>
          <w:sz w:val="20"/>
          <w:szCs w:val="20"/>
          <w:color w:val="auto"/>
        </w:rPr>
      </w:pPr>
      <w:r>
        <w:rPr>
          <w:rFonts w:ascii="Arial" w:cs="Arial" w:eastAsia="Arial" w:hAnsi="Arial"/>
          <w:sz w:val="18"/>
          <w:szCs w:val="18"/>
          <w:color w:val="auto"/>
        </w:rPr>
        <w:t>Stock options that are forfeited or cancelled shall become available for future grant or sale under the 2007 Plan unless the 2007 Plan is terminated. F-27</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activity under the 2007 Plan and related information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3"/>
              </w:rPr>
              <w:t>Stock Options Outstanding</w:t>
            </w:r>
          </w:p>
        </w:tc>
        <w:tc>
          <w:tcPr>
            <w:tcW w:w="1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2"/>
              </w:rPr>
              <w:t>Outstanding</w:t>
            </w:r>
          </w:p>
        </w:tc>
        <w:tc>
          <w:tcPr>
            <w:tcW w:w="20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Weighted-Average</w:t>
            </w:r>
          </w:p>
        </w:tc>
        <w:tc>
          <w:tcPr>
            <w:tcW w:w="142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Weighted-Average</w:t>
            </w:r>
          </w:p>
        </w:tc>
        <w:tc>
          <w:tcPr>
            <w:tcW w:w="940" w:type="dxa"/>
            <w:vAlign w:val="bottom"/>
            <w:gridSpan w:val="4"/>
            <w:vMerge w:val="restart"/>
          </w:tcPr>
          <w:p>
            <w:pPr>
              <w:jc w:val="center"/>
              <w:ind w:left="12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2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Remaining</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information:</w:t>
            </w:r>
          </w:p>
        </w:tc>
        <w:tc>
          <w:tcPr>
            <w:tcW w:w="6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Available</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tcPr>
          <w:p>
            <w:pPr>
              <w:ind w:left="780"/>
              <w:spacing w:after="0" w:line="149" w:lineRule="exact"/>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spacing w:after="0"/>
              <w:rPr>
                <w:sz w:val="12"/>
                <w:szCs w:val="12"/>
                <w:color w:val="auto"/>
              </w:rPr>
            </w:pPr>
          </w:p>
        </w:tc>
        <w:tc>
          <w:tcPr>
            <w:tcW w:w="14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Contractual Term</w:t>
            </w:r>
          </w:p>
        </w:tc>
        <w:tc>
          <w:tcPr>
            <w:tcW w:w="2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15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For Grant</w:t>
            </w:r>
          </w:p>
        </w:tc>
        <w:tc>
          <w:tcPr>
            <w:tcW w:w="2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Pr>
          <w:p>
            <w:pPr>
              <w:ind w:left="880"/>
              <w:spacing w:after="0"/>
              <w:rPr>
                <w:sz w:val="20"/>
                <w:szCs w:val="20"/>
                <w:color w:val="auto"/>
              </w:rPr>
            </w:pPr>
            <w:r>
              <w:rPr>
                <w:rFonts w:ascii="Arial" w:cs="Arial" w:eastAsia="Arial" w:hAnsi="Arial"/>
                <w:sz w:val="14"/>
                <w:szCs w:val="14"/>
                <w:b w:val="1"/>
                <w:bCs w:val="1"/>
                <w:color w:val="auto"/>
              </w:rPr>
              <w:t>Price</w:t>
            </w:r>
          </w:p>
        </w:tc>
        <w:tc>
          <w:tcPr>
            <w:tcW w:w="7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August 1, 2014</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2,764</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4,108</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0.91</w:t>
            </w:r>
          </w:p>
        </w:tc>
        <w:tc>
          <w:tcPr>
            <w:tcW w:w="1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5.4</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280"/>
              <w:spacing w:after="0"/>
              <w:rPr>
                <w:sz w:val="20"/>
                <w:szCs w:val="20"/>
                <w:color w:val="auto"/>
              </w:rPr>
            </w:pPr>
            <w:r>
              <w:rPr>
                <w:rFonts w:ascii="Arial" w:cs="Arial" w:eastAsia="Arial" w:hAnsi="Arial"/>
                <w:sz w:val="14"/>
                <w:szCs w:val="14"/>
                <w:color w:val="auto"/>
              </w:rPr>
              <w:t>Increase in 2007 Plan authorized shares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6,503</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 granted</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2.36</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exercised</w:t>
            </w:r>
          </w:p>
        </w:tc>
        <w:tc>
          <w:tcPr>
            <w:tcW w:w="6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(3,632)</w:t>
            </w:r>
          </w:p>
        </w:tc>
        <w:tc>
          <w:tcPr>
            <w:tcW w:w="60" w:type="dxa"/>
            <w:vAlign w:val="bottom"/>
          </w:tcPr>
          <w:p>
            <w:pPr>
              <w:spacing w:after="0"/>
              <w:rPr>
                <w:sz w:val="12"/>
                <w:szCs w:val="12"/>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1.98</w:t>
            </w:r>
          </w:p>
        </w:tc>
        <w:tc>
          <w:tcPr>
            <w:tcW w:w="14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unvested shares</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0.57</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cancelled/forfeited/expired</w:t>
            </w:r>
          </w:p>
        </w:tc>
        <w:tc>
          <w:tcPr>
            <w:tcW w:w="6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(389)</w:t>
            </w:r>
          </w:p>
        </w:tc>
        <w:tc>
          <w:tcPr>
            <w:tcW w:w="60" w:type="dxa"/>
            <w:vAlign w:val="bottom"/>
          </w:tcPr>
          <w:p>
            <w:pPr>
              <w:spacing w:after="0"/>
              <w:rPr>
                <w:sz w:val="13"/>
                <w:szCs w:val="13"/>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1.19</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July 31, 2015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4,613</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6,069</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1.68</w:t>
            </w:r>
          </w:p>
        </w:tc>
        <w:tc>
          <w:tcPr>
            <w:tcW w:w="1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280"/>
              <w:spacing w:after="0"/>
              <w:rPr>
                <w:sz w:val="20"/>
                <w:szCs w:val="20"/>
                <w:color w:val="auto"/>
              </w:rPr>
            </w:pPr>
            <w:r>
              <w:rPr>
                <w:rFonts w:ascii="Arial" w:cs="Arial" w:eastAsia="Arial" w:hAnsi="Arial"/>
                <w:sz w:val="14"/>
                <w:szCs w:val="14"/>
                <w:color w:val="auto"/>
              </w:rPr>
              <w:t>Increase in 2007 Plan authorized shares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2,333</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 granted</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(6,676)</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6,676</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4.35</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exercised</w:t>
            </w:r>
          </w:p>
        </w:tc>
        <w:tc>
          <w:tcPr>
            <w:tcW w:w="6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(2,108)</w:t>
            </w:r>
          </w:p>
        </w:tc>
        <w:tc>
          <w:tcPr>
            <w:tcW w:w="60" w:type="dxa"/>
            <w:vAlign w:val="bottom"/>
          </w:tcPr>
          <w:p>
            <w:pPr>
              <w:spacing w:after="0"/>
              <w:rPr>
                <w:sz w:val="12"/>
                <w:szCs w:val="12"/>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2.92</w:t>
            </w:r>
          </w:p>
        </w:tc>
        <w:tc>
          <w:tcPr>
            <w:tcW w:w="14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unvested shares</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2.34</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cancelled/forfeited/expired</w:t>
            </w:r>
          </w:p>
        </w:tc>
        <w:tc>
          <w:tcPr>
            <w:tcW w:w="6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(1,261)</w:t>
            </w:r>
          </w:p>
        </w:tc>
        <w:tc>
          <w:tcPr>
            <w:tcW w:w="60" w:type="dxa"/>
            <w:vAlign w:val="bottom"/>
          </w:tcPr>
          <w:p>
            <w:pPr>
              <w:spacing w:after="0"/>
              <w:rPr>
                <w:sz w:val="13"/>
                <w:szCs w:val="13"/>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2.49</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July 31, 2016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2,782</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9,376</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3.19</w:t>
            </w:r>
          </w:p>
        </w:tc>
        <w:tc>
          <w:tcPr>
            <w:tcW w:w="1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280"/>
              <w:spacing w:after="0"/>
              <w:rPr>
                <w:sz w:val="20"/>
                <w:szCs w:val="20"/>
                <w:color w:val="auto"/>
              </w:rPr>
            </w:pPr>
            <w:r>
              <w:rPr>
                <w:rFonts w:ascii="Arial" w:cs="Arial" w:eastAsia="Arial" w:hAnsi="Arial"/>
                <w:sz w:val="14"/>
                <w:szCs w:val="14"/>
                <w:color w:val="auto"/>
              </w:rPr>
              <w:t>Increase in 2007 Plan authorized shares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5,667</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 granted</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(8,579)</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8,579</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5.65</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exercised</w:t>
            </w:r>
          </w:p>
        </w:tc>
        <w:tc>
          <w:tcPr>
            <w:tcW w:w="6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(2,128)</w:t>
            </w:r>
          </w:p>
        </w:tc>
        <w:tc>
          <w:tcPr>
            <w:tcW w:w="60" w:type="dxa"/>
            <w:vAlign w:val="bottom"/>
          </w:tcPr>
          <w:p>
            <w:pPr>
              <w:spacing w:after="0"/>
              <w:rPr>
                <w:sz w:val="12"/>
                <w:szCs w:val="12"/>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3.60</w:t>
            </w:r>
          </w:p>
        </w:tc>
        <w:tc>
          <w:tcPr>
            <w:tcW w:w="14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unvested shares</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2.63</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cancelled/forfeited/expired</w:t>
            </w:r>
          </w:p>
        </w:tc>
        <w:tc>
          <w:tcPr>
            <w:tcW w:w="6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60" w:type="dxa"/>
            <w:vAlign w:val="bottom"/>
          </w:tcPr>
          <w:p>
            <w:pPr>
              <w:spacing w:after="0"/>
              <w:rPr>
                <w:sz w:val="13"/>
                <w:szCs w:val="13"/>
                <w:color w:val="auto"/>
              </w:rPr>
            </w:pP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3.84</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July 31, 2017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15,058</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4.50</w:t>
            </w:r>
          </w:p>
        </w:tc>
        <w:tc>
          <w:tcPr>
            <w:tcW w:w="1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280"/>
              <w:spacing w:after="0"/>
              <w:rPr>
                <w:sz w:val="20"/>
                <w:szCs w:val="20"/>
                <w:color w:val="auto"/>
              </w:rPr>
            </w:pPr>
            <w:r>
              <w:rPr>
                <w:rFonts w:ascii="Arial" w:cs="Arial" w:eastAsia="Arial" w:hAnsi="Arial"/>
                <w:sz w:val="14"/>
                <w:szCs w:val="14"/>
                <w:color w:val="auto"/>
              </w:rPr>
              <w:t>Increase in 2007 Plan authorized shares (unaudited)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3,333</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options granted (unaudited)</w:t>
            </w:r>
          </w:p>
        </w:tc>
        <w:tc>
          <w:tcPr>
            <w:tcW w:w="15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(2,046)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2,046</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8.45</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exercised (unaudited)</w:t>
            </w:r>
          </w:p>
        </w:tc>
        <w:tc>
          <w:tcPr>
            <w:tcW w:w="6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(1,021)</w:t>
            </w: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2.97</w:t>
            </w:r>
          </w:p>
        </w:tc>
        <w:tc>
          <w:tcPr>
            <w:tcW w:w="14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unvested shares (unaudited)</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6.03</w:t>
            </w:r>
          </w:p>
        </w:tc>
        <w:tc>
          <w:tcPr>
            <w:tcW w:w="1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 options cancelled/forfeited/expired (unaudited)</w:t>
            </w:r>
          </w:p>
        </w:tc>
        <w:tc>
          <w:tcPr>
            <w:tcW w:w="62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1,134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(1,134)</w:t>
            </w:r>
          </w:p>
        </w:tc>
        <w:tc>
          <w:tcPr>
            <w:tcW w:w="13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5"/>
              </w:rPr>
              <w:t>5.59</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31, 2018 (unaudited)</w:t>
            </w:r>
          </w:p>
        </w:tc>
        <w:tc>
          <w:tcPr>
            <w:tcW w:w="6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3,709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14,949</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5"/>
              </w:rPr>
              <w:t>5.06</w:t>
            </w:r>
          </w:p>
        </w:tc>
        <w:tc>
          <w:tcPr>
            <w:tcW w:w="1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5.4</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Vested and expected to vest as of July 31, 2017</w:t>
            </w: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68"/>
              <w:spacing w:after="0"/>
              <w:rPr>
                <w:sz w:val="20"/>
                <w:szCs w:val="20"/>
                <w:color w:val="auto"/>
              </w:rPr>
            </w:pPr>
            <w:r>
              <w:rPr>
                <w:rFonts w:ascii="Arial" w:cs="Arial" w:eastAsia="Arial" w:hAnsi="Arial"/>
                <w:sz w:val="14"/>
                <w:szCs w:val="14"/>
                <w:color w:val="auto"/>
                <w:w w:val="95"/>
              </w:rPr>
              <w:t>4.37</w:t>
            </w:r>
          </w:p>
        </w:tc>
        <w:tc>
          <w:tcPr>
            <w:tcW w:w="1420" w:type="dxa"/>
            <w:vAlign w:val="bottom"/>
            <w:vMerge w:val="restart"/>
          </w:tcPr>
          <w:p>
            <w:pPr>
              <w:jc w:val="right"/>
              <w:ind w:right="168"/>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12,959</w:t>
            </w:r>
          </w:p>
        </w:tc>
        <w:tc>
          <w:tcPr>
            <w:tcW w:w="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50,515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Exercisable as of July 31, 2017</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5,907</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68"/>
              <w:spacing w:after="0" w:line="143" w:lineRule="exact"/>
              <w:rPr>
                <w:sz w:val="20"/>
                <w:szCs w:val="20"/>
                <w:color w:val="auto"/>
              </w:rPr>
            </w:pPr>
            <w:r>
              <w:rPr>
                <w:rFonts w:ascii="Arial" w:cs="Arial" w:eastAsia="Arial" w:hAnsi="Arial"/>
                <w:sz w:val="14"/>
                <w:szCs w:val="14"/>
                <w:color w:val="auto"/>
                <w:w w:val="95"/>
              </w:rPr>
              <w:t>3.67</w:t>
            </w:r>
          </w:p>
        </w:tc>
        <w:tc>
          <w:tcPr>
            <w:tcW w:w="1420" w:type="dxa"/>
            <w:vAlign w:val="bottom"/>
            <w:shd w:val="clear" w:color="auto" w:fill="CCEEFF"/>
          </w:tcPr>
          <w:p>
            <w:pPr>
              <w:jc w:val="right"/>
              <w:ind w:right="168"/>
              <w:spacing w:after="0" w:line="143" w:lineRule="exact"/>
              <w:rPr>
                <w:sz w:val="20"/>
                <w:szCs w:val="20"/>
                <w:color w:val="auto"/>
              </w:rPr>
            </w:pPr>
            <w:r>
              <w:rPr>
                <w:rFonts w:ascii="Arial" w:cs="Arial" w:eastAsia="Arial" w:hAnsi="Arial"/>
                <w:sz w:val="14"/>
                <w:szCs w:val="14"/>
                <w:color w:val="auto"/>
              </w:rPr>
              <w:t>4.9</w:t>
            </w:r>
          </w:p>
        </w:tc>
        <w:tc>
          <w:tcPr>
            <w:tcW w:w="3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27,135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Exercisable as of January 31, 2018 (unaudited)</w:t>
            </w: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68"/>
              <w:spacing w:after="0"/>
              <w:rPr>
                <w:sz w:val="20"/>
                <w:szCs w:val="20"/>
                <w:color w:val="auto"/>
              </w:rPr>
            </w:pPr>
            <w:r>
              <w:rPr>
                <w:rFonts w:ascii="Arial" w:cs="Arial" w:eastAsia="Arial" w:hAnsi="Arial"/>
                <w:sz w:val="14"/>
                <w:szCs w:val="14"/>
                <w:color w:val="auto"/>
                <w:w w:val="95"/>
              </w:rPr>
              <w:t>3.77</w:t>
            </w:r>
          </w:p>
        </w:tc>
        <w:tc>
          <w:tcPr>
            <w:tcW w:w="1420" w:type="dxa"/>
            <w:vAlign w:val="bottom"/>
            <w:vMerge w:val="restart"/>
          </w:tcPr>
          <w:p>
            <w:pPr>
              <w:jc w:val="right"/>
              <w:ind w:right="16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5,816</w:t>
            </w:r>
          </w:p>
        </w:tc>
        <w:tc>
          <w:tcPr>
            <w:tcW w:w="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28,326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aggregate intrinsic value of the options exercised represents the difference between the estimated fair value of our common stock on the date of exercise and the exercise price of the options. The weighted-average grant-date fair value per share of awards granted was $0.81, $1.68 and $2.10 for fiscal 2015, 2016 and 2017, respectively, and $1.80 and $3.12 for the six months ended January 31, 2017 and 2018, respectively.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Early Exercise of Employee Options and Notes Receivable</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The 2007 Plan allows for the early exercise of stock options for certain individuals as determined by the board of directors. The consideration received for an early exercise of an option is considered to be a deposit of the exercise price and the related dollar amount is recorded as a liability and reflected as liability for early exercise of unvested stock options in the consolidated balance sheets. This liability is reclassified to additional paid-in capital as the awards vest. If a stock option is early exercised, the unvested shares may be repurchased by us in case of employment termination for any reason, including death and disability, at the price paid by the purchaser for such shares. In fiscal 2015, 2016 and 2017, we issued 2,770,000 shares, 1,260,000 shares and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76" w:lineRule="auto"/>
        <w:rPr>
          <w:sz w:val="20"/>
          <w:szCs w:val="20"/>
          <w:color w:val="auto"/>
        </w:rPr>
      </w:pPr>
      <w:r>
        <w:rPr>
          <w:rFonts w:ascii="Arial" w:cs="Arial" w:eastAsia="Arial" w:hAnsi="Arial"/>
          <w:sz w:val="17"/>
          <w:szCs w:val="17"/>
          <w:color w:val="auto"/>
        </w:rPr>
        <w:t>781,320 shares of common stock for total proceeds of $6.7 million, $5.2 million and $4.7 million, respectively, related to early exercised stock options. In the six months ended January 31, 2017, we did not issue any shares related to early exercised stock options. We issued 179,861 shares of common stock for total proceeds of $0.9 million related to early exercised stock options for the six months ended January 31, 2018. As of July 31, 2016, July 31, 2017 and January 31, 2018, the number of shares of common stock subject to repurchase was 2,367,281 shares, 1,887,638 shares and 1,171,388 shares with an aggregate price of $7.2 million, $8.0 million and $4.5 million, respectively.</w:t>
      </w:r>
    </w:p>
    <w:p>
      <w:pPr>
        <w:spacing w:after="0" w:line="173" w:lineRule="exact"/>
        <w:rPr>
          <w:sz w:val="20"/>
          <w:szCs w:val="20"/>
          <w:color w:val="auto"/>
        </w:rPr>
      </w:pPr>
    </w:p>
    <w:p>
      <w:pPr>
        <w:jc w:val="both"/>
        <w:ind w:left="200" w:right="20" w:firstLine="441"/>
        <w:spacing w:after="0" w:line="287" w:lineRule="auto"/>
        <w:rPr>
          <w:sz w:val="20"/>
          <w:szCs w:val="20"/>
          <w:color w:val="auto"/>
        </w:rPr>
      </w:pPr>
      <w:r>
        <w:rPr>
          <w:rFonts w:ascii="Arial" w:cs="Arial" w:eastAsia="Arial" w:hAnsi="Arial"/>
          <w:sz w:val="16"/>
          <w:szCs w:val="16"/>
          <w:color w:val="auto"/>
        </w:rPr>
        <w:t>We entered into notes receivable agreements with certain of our current and former executives and employees in connection with the exercise of their stock options. During fiscal 2015 and 2016, we issued 2,733,333 shares and 1,076,666 shares of common stock for a total of $6.6 million and $4.4 million, respectively, related to the exercise of unvested stock options via a notes receivable. We did not issue any notes receivable in fiscal 2017 and the six months ended January 31, 2018. These notes bear interest at rates ranging from 1.15% to 2.85% per annum and are due in December 2018, subject to acceleration upon the occurrence of certain events. As the notes receivable are collateralized by the underlying common stock as well as the borrowers’ personal assets, they are considered full recourse. The notes receivable and the accrued interest are presented as contra-equity until the amounts are settled. As of July 31, 2016, July 31, 2017 and January 31, 2018, the carrying amount of outstanding notes receivable, inclusive of accrued interest, was $9.9 million, $7.9 million and $7.8 million, respectively. As of July 31, 2016, July 31, 2017 and January 31, 2018, the balance of accrued interest under these notes was $0.3 million, $0.4 million and $0.5 million, respectively. During the six months ended January 31, 2018, we repurchased a total of 548,611 unvested shares of common stock from certain employees upon termination of their employment services. The total repurchase price was $3.3 million, or $6.03 per share, of which $3.1 million was paid in cash and $0.2 million was settled through a cancellation of the related note receivable. In February 2018, certain borrowers repaid the outstanding principal amount and interest accrued under their loans, totaling $3.9 million.</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fair value of stock options granted to employees is estimated on the grant date using the Black-Scholes option pricing model. This valuation model for stock-based compensation expense requires us to make assumptions and judgments about the variables used in the calculation, including the fair value of the underlying common stock, expected term, the expected volatility of the common stock, a risk-free interest rate and expected dividend yield.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estimate the fair value of employee stock options using the Black-Scholes option pricing model with the following assumptions: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Year Ended July 31,</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Six Months Ended January 31,</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4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13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center"/>
              <w:ind w:left="56"/>
              <w:spacing w:after="0" w:line="142" w:lineRule="exact"/>
              <w:rPr>
                <w:sz w:val="20"/>
                <w:szCs w:val="20"/>
                <w:color w:val="auto"/>
              </w:rPr>
            </w:pPr>
            <w:r>
              <w:rPr>
                <w:rFonts w:ascii="Arial" w:cs="Arial" w:eastAsia="Arial" w:hAnsi="Arial"/>
                <w:sz w:val="14"/>
                <w:szCs w:val="14"/>
                <w:b w:val="1"/>
                <w:bCs w:val="1"/>
                <w:color w:val="auto"/>
                <w:w w:val="89"/>
              </w:rPr>
              <w:t>2017</w:t>
            </w:r>
          </w:p>
        </w:tc>
        <w:tc>
          <w:tcPr>
            <w:tcW w:w="1780" w:type="dxa"/>
            <w:vAlign w:val="bottom"/>
            <w:tcBorders>
              <w:bottom w:val="single" w:sz="8" w:color="auto"/>
            </w:tcBorders>
            <w:gridSpan w:val="2"/>
          </w:tcPr>
          <w:p>
            <w:pPr>
              <w:jc w:val="center"/>
              <w:ind w:left="256"/>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w w:val="91"/>
              </w:rPr>
              <w:t>(unaudited)</w:t>
            </w:r>
          </w:p>
        </w:tc>
        <w:tc>
          <w:tcPr>
            <w:tcW w:w="7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4.6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7"/>
              </w:rPr>
              <w:t>4.6</w:t>
            </w:r>
          </w:p>
        </w:tc>
        <w:tc>
          <w:tcPr>
            <w:tcW w:w="178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5"/>
              </w:rPr>
              <w:t>4.6</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c>
          <w:tcPr>
            <w:tcW w:w="760" w:type="dxa"/>
            <w:vAlign w:val="bottom"/>
          </w:tcPr>
          <w:p>
            <w:pPr>
              <w:ind w:left="20"/>
              <w:spacing w:after="0"/>
              <w:rPr>
                <w:sz w:val="20"/>
                <w:szCs w:val="20"/>
                <w:color w:val="auto"/>
              </w:rPr>
            </w:pPr>
            <w:r>
              <w:rPr>
                <w:rFonts w:ascii="Arial" w:cs="Arial" w:eastAsia="Arial" w:hAnsi="Arial"/>
                <w:sz w:val="18"/>
                <w:szCs w:val="18"/>
                <w:color w:val="auto"/>
              </w:rPr>
              <w:t>- 45.2%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740" w:type="dxa"/>
            <w:vAlign w:val="bottom"/>
          </w:tcPr>
          <w:p>
            <w:pPr>
              <w:ind w:left="20"/>
              <w:spacing w:after="0"/>
              <w:rPr>
                <w:sz w:val="20"/>
                <w:szCs w:val="20"/>
                <w:color w:val="auto"/>
              </w:rPr>
            </w:pPr>
            <w:r>
              <w:rPr>
                <w:rFonts w:ascii="Arial" w:cs="Arial" w:eastAsia="Arial" w:hAnsi="Arial"/>
                <w:sz w:val="18"/>
                <w:szCs w:val="18"/>
                <w:color w:val="auto"/>
              </w:rPr>
              <w:t>- 43.3%</w:t>
            </w:r>
          </w:p>
        </w:tc>
        <w:tc>
          <w:tcPr>
            <w:tcW w:w="120" w:type="dxa"/>
            <w:vAlign w:val="bottom"/>
          </w:tcPr>
          <w:p>
            <w:pPr>
              <w:spacing w:after="0"/>
              <w:rPr>
                <w:sz w:val="18"/>
                <w:szCs w:val="18"/>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0"/>
              </w:rPr>
              <w:t>43.3%</w:t>
            </w: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c>
          <w:tcPr>
            <w:tcW w:w="780" w:type="dxa"/>
            <w:vAlign w:val="bottom"/>
          </w:tcPr>
          <w:p>
            <w:pPr>
              <w:ind w:left="40"/>
              <w:spacing w:after="0"/>
              <w:rPr>
                <w:sz w:val="20"/>
                <w:szCs w:val="20"/>
                <w:color w:val="auto"/>
              </w:rPr>
            </w:pPr>
            <w:r>
              <w:rPr>
                <w:rFonts w:ascii="Arial" w:cs="Arial" w:eastAsia="Arial" w:hAnsi="Arial"/>
                <w:sz w:val="18"/>
                <w:szCs w:val="18"/>
                <w:color w:val="auto"/>
              </w:rPr>
              <w:t>- 41.5%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 - 1.7%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1"/>
              </w:rPr>
              <w:t>1.1% - 1.6%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- 2.6%</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2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color w:val="auto"/>
                <w:w w:val="92"/>
              </w:rPr>
              <w:t>0.0%</w:t>
            </w:r>
          </w:p>
        </w:tc>
        <w:tc>
          <w:tcPr>
            <w:tcW w:w="17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0.0%</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2007 Plan allows for the grant of stock purchase rights, which are rights to purchase restricted common stock (restricted stock) to employees at the current fair value of the common stock. The restricted stock will generally be subject to a four-year vesting period, with 25% of the shares vesting after one year of employment and monthly thereafter over the remaining three years. Upon an employee’s termination, we have the option to</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repurchase unvested shares at a price per share equal to the lesser of the fair market value of the shares at the time of the repurchase or the original purchase price. There was no restricted stock activity in the periods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During fiscal 2015, 2016 and 2017, we recognized stock-based compensation expense, net of estimated forfeitures. Beginning with our first quarter of fiscal 2018, upon adoption of ASU 2016-09, as further discussed in Note 2 (under Stock-Based Compensation) to our consolidated financial statements, we have elected to account for forfeitures of awards as incurred instead of estimating the number of awards expected to be forfeited.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components of stock-based compensation expense recognized in the consolidated statements of operations: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Year Ended July 31,</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3"/>
            <w:vMerge w:val="restart"/>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As of January 31, 2018, the unrecognized stock-based compensation cost related to unvested stock options totaled $22.1 million, which is expected to be recognized over a weighted-average period of three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pacing w:after="0" w:line="12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We consider all series of our convertible preferred stock to be participating securities. Under the two-class method, the net loss attributable to common stockholders is not allocated to the convertible preferred stock as the holders of our convertible preferred stock do not have a contractual obligation to share in our losses.</w:t>
      </w:r>
    </w:p>
    <w:p>
      <w:pPr>
        <w:spacing w:after="0" w:line="187"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our convertible preferred stock, stock options and early exercised stock options are considered to be potential common stock equivalents but have been excluded from the calculation of diluted net loss per share attributable to common stockholders as their effect is antidilutive.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 Ended July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8"/>
          </w:tcPr>
          <w:p>
            <w:pPr>
              <w:jc w:val="right"/>
              <w:ind w:right="437"/>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Accretion of Series C and D redeemable convertible preferred stock</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Weighted-average shares used in computing net loss per share</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Since we were in a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Year Ended July 31,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9"/>
              </w:rPr>
              <w:t>(in thousands)</w:t>
            </w:r>
          </w:p>
        </w:tc>
        <w:tc>
          <w:tcPr>
            <w:tcW w:w="13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69,712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72,501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6,069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9,376</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80,230</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84,244</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89,447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84,759</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have presented the unaudited pro forma basic and diluted net loss per share for fiscal 2017 and the six months ended January 31, 2018, which has been computed to give effect to the conversion of our convertible preferred stock into common stock. The unaudited pro forma net loss per share for fiscal 2017 and for the six months ended January 31, 2018 has been computed to give effect to the automatic conversion of our convertible preferred stock into common stock as though the conversion had occurred as of the beginning of the period.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our unaudited pro forma basic and diluted net loss per share: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5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July 31, 2017</w:t>
            </w:r>
          </w:p>
        </w:tc>
        <w:tc>
          <w:tcPr>
            <w:tcW w:w="30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31, 2018</w:t>
            </w:r>
          </w:p>
        </w:tc>
      </w:tr>
      <w:tr>
        <w:trPr>
          <w:trHeight w:val="119"/>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(in thousands, except</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147"/>
              <w:spacing w:after="0"/>
              <w:rPr>
                <w:sz w:val="20"/>
                <w:szCs w:val="20"/>
                <w:color w:val="auto"/>
              </w:rPr>
            </w:pPr>
            <w:r>
              <w:rPr>
                <w:rFonts w:ascii="Arial" w:cs="Arial" w:eastAsia="Arial" w:hAnsi="Arial"/>
                <w:sz w:val="14"/>
                <w:szCs w:val="14"/>
                <w:b w:val="1"/>
                <w:bCs w:val="1"/>
                <w:color w:val="auto"/>
              </w:rPr>
              <w:t>per share data)</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(45,030)</w:t>
            </w:r>
          </w:p>
        </w:tc>
        <w:tc>
          <w:tcPr>
            <w:tcW w:w="340" w:type="dxa"/>
            <w:vAlign w:val="bottom"/>
          </w:tcPr>
          <w:p>
            <w:pPr>
              <w:spacing w:after="0"/>
              <w:rPr>
                <w:sz w:val="18"/>
                <w:szCs w:val="18"/>
                <w:color w:val="auto"/>
              </w:rPr>
            </w:pPr>
          </w:p>
        </w:tc>
        <w:tc>
          <w:tcPr>
            <w:tcW w:w="7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(23,022)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Series C and D redeemable convertible preferred stock</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(17,913)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w w:val="92"/>
              </w:rPr>
              <w:t>Weighted-average shares used in computing net loss per share attributable to common stockholders, basic</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31,125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assumed conversion of our convertible preferred stock</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103,626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jc w:val="both"/>
        <w:ind w:left="200" w:right="20" w:firstLine="441"/>
        <w:spacing w:after="0" w:line="272"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which makes significant changes to the U.S. tax code. The Tax Act contains several key tax provisions that affect us, including, but not limited to, reducing the U.S. federal corporate tax rate from 34% to 21% for tax years beginning after December 31, 2017, imposing a one-time repatriation tax on deemed repatriated earnings and changing rules related to uses and limitations of net operating loss carryforwards created in tax years beginning after December 31, 2017. On December 22, 2017, the Securities and Exchange Commission issued Staff Accounting Bulletin No. 118, Income Tax Accounting Implications of the Tax Cuts and Jobs Act (“SAB 118”), which provides guidance on accounting for the Tax Act’s impact and allows registrants to record provisional amounts during a measurement period not to extend beyond one year of the enactment date.</w:t>
      </w:r>
    </w:p>
    <w:p>
      <w:pPr>
        <w:spacing w:after="0" w:line="178" w:lineRule="exact"/>
        <w:rPr>
          <w:sz w:val="20"/>
          <w:szCs w:val="20"/>
          <w:color w:val="auto"/>
        </w:rPr>
      </w:pPr>
    </w:p>
    <w:p>
      <w:pPr>
        <w:jc w:val="both"/>
        <w:ind w:left="200" w:right="20" w:firstLine="441"/>
        <w:spacing w:after="0" w:line="253" w:lineRule="auto"/>
        <w:rPr>
          <w:sz w:val="20"/>
          <w:szCs w:val="20"/>
          <w:color w:val="auto"/>
        </w:rPr>
      </w:pPr>
      <w:r>
        <w:rPr>
          <w:rFonts w:ascii="Arial" w:cs="Arial" w:eastAsia="Arial" w:hAnsi="Arial"/>
          <w:sz w:val="18"/>
          <w:szCs w:val="18"/>
          <w:color w:val="auto"/>
        </w:rPr>
        <w:t>We have not completed our accounting assessment for the effects of the Tax Act; however, based on our initial assessment, we have determined that the Tax Act did not have a material impact on our consolidated financial statements in our fiscal quarter ending January 31, 2018, the period in which the legislation was enacted. We currently maintain a full valuation allowance recorded against our U.S. federal deferred tax assets and we anticipate incurring a loss in fiscal 2018. As such, the remeasurement of the deferred tax assets and related valuation allowance is not expected to have a material impact to the financial statements in fiscal 2018, other than disclosures in our year-end financial statements. Because of our full valuation allowance, there is no tax expense associated with the one-time transition tax. We expect to complete our assessment within the measurement period in accordance with SAB 118. Our assessment of the impact of the Tax Act may materially differ from our provisional assessment during the measurement period due to, among other things, further refinement in our calculations, changes in interpretations and assumptions we have made, or guidance that may be issued.</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geographical breakdown of the income (loss) before the provision for income taxes: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Year Ended July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International</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(17,267)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the provision for income taxes:</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Year Ended July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93"/>
              </w:rPr>
              <w:t>Six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6"/>
          </w:tcPr>
          <w:p>
            <w:pPr>
              <w:jc w:val="center"/>
              <w:ind w:left="114"/>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214</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358</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tax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deferred tax expense</w:t>
            </w:r>
          </w:p>
        </w:tc>
        <w:tc>
          <w:tcPr>
            <w:tcW w:w="98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provision for income taxes</w:t>
            </w:r>
          </w:p>
        </w:tc>
        <w:tc>
          <w:tcPr>
            <w:tcW w:w="15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6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20" w:type="dxa"/>
            <w:vAlign w:val="bottom"/>
            <w:gridSpan w:val="12"/>
          </w:tcPr>
          <w:p>
            <w:pPr>
              <w:ind w:left="420"/>
              <w:spacing w:after="0"/>
              <w:rPr>
                <w:sz w:val="20"/>
                <w:szCs w:val="20"/>
                <w:color w:val="auto"/>
              </w:rPr>
            </w:pPr>
            <w:r>
              <w:rPr>
                <w:rFonts w:ascii="Arial" w:cs="Arial" w:eastAsia="Arial" w:hAnsi="Arial"/>
                <w:sz w:val="18"/>
                <w:szCs w:val="18"/>
                <w:color w:val="auto"/>
                <w:w w:val="91"/>
              </w:rPr>
              <w:t>The following table presents the reconciliation of the statutory federal income tax rate to our effective tax rate: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9"/>
          </w:tcPr>
          <w:p>
            <w:pPr>
              <w:ind w:left="540"/>
              <w:spacing w:after="0"/>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State income taxes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its annual effective tax rate, adjusted for discrete items, if any, that arise during the period. Each quarter, we update our estimate of the annual effective tax rate, and if the estimated annual effective tax rate changes, we make a cumulative adjustment in such period.</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quarterly tax provision, and estimate of our annual effective tax rate, is subject to variation due to several factors, including variability in pre-tax income (or loss), the mix of jurisdictions to which such income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relates, changes in how we do business, and tax law developments. Our estimated effective tax rate for the year differs from the U.S. statutory rate of 34% primarily due to the benefit of a portion of our earnings being taxed at rates lower than the U.S. statutory rate.</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Tax expense was $0.4 million and $0.6 million for the six months ended January 31, 2017 and 2018, respectively. The tax expense for the six months ended January 31, 2017 was attributable to our foreign operations. Our tax expense for the six months ended January 31, 2018 was attributable to our foreign operations offset by an excess tax benefit from stock-based compensation deductions.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the tax effects of temporary differences that give rise to significant portions of our deferred tax assets and liabilities: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b w:val="1"/>
                <w:bCs w:val="1"/>
                <w:color w:val="auto"/>
                <w:w w:val="97"/>
              </w:rPr>
              <w:t>July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right"/>
              <w:ind w:right="491"/>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Net operating losses and credit carryover</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38,268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47,860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63,852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(40,299)</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(51,493)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Deferred contract acquisition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U.S. income tax has not been recognized on the excess of the amount for financial reporting over the tax basis of investments in foreign subsidiaries that is indefinitely reinvested outside the U.S. Generally, such amounts become subject to U.S. taxation upon the remittance of dividends and under certain other circumstances. This temporary difference, as well as the unrecognized deferred tax liability, are not material for the periods presented.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change in the valuation allowance: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 Ended July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Additions charged to expense</w:t>
            </w:r>
          </w:p>
        </w:tc>
        <w:tc>
          <w:tcPr>
            <w:tcW w:w="2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realization of deferred tax assets is dependent upon the generation of sufficient taxable income of the appropriate character in future periods. We regularly assess the ability to realize our deferred tax assets and establish a valuation allowance if it is more-likely-than-not that some portion of the deferred tax assets will not be realized. We weigh all available positive and negative evidence, including our earnings history and results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recent operations, scheduled reversals of deferred tax liabilities, projected future taxable income, and tax planning strategies. Due to the weight of objectively verifiable negative evidence, including our history of losses, we believe that it is more likely than not that our U.S. federal and, state deferred tax assets will not be realized as of July 31, 2016 and 2017, and as such, we have maintained a full valuation allowance against such deferred tax assets.</w:t>
      </w:r>
    </w:p>
    <w:p>
      <w:pPr>
        <w:spacing w:after="0" w:line="14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our projections for growth. In the event we determine that we will be able to realize all or part of our net deferred tax assets in the future, the valuation allowance against deferred tax assets will be reversed in the period in which we make such determination. The release of a valuation allowance against deferred tax assets may cause greater volatility in the effective tax rate in the periods in which the valuation allowance is released. The valuation allowance against our U.S. federal and state deferred tax assets increased by $8.8 million and $11.2 million during fiscal 2016 and 2017, respectively. The increase in the valuation allowance for both periods was related to tax losses for which insufficient positive evidence exists to support their realizability.</w:t>
      </w:r>
    </w:p>
    <w:p>
      <w:pPr>
        <w:spacing w:after="0" w:line="179"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As of July 31, 2016 and 2017, we have net operating loss carryforwards for U.S. federal income tax purposes of $104.5 million and $150.0 million, respectively, which are available to offset future federal taxable income. The net operating losses for federal purposes will begin expiring in 2027. As of July 31, 2016 and 2017, we have net operating loss carryforwards for state income tax purposes of $49.9 million and $68.3 million, respectively. The net operating losses for state purposes will begin expiring at different periods beginning in 2024.</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As a result of certain realization requirements of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table of deferred tax assets and liabilities does not include certain deferred tax assets as of July 31, 2017, that arose directly from tax deductions related to stock-based compensation which was in excess of the amount recognized for financial reporting. Additional paid-in capital will be increased by $0.9 million if and when such deferred tax assets are ultimately realized.</w:t>
      </w:r>
    </w:p>
    <w:p>
      <w:pPr>
        <w:spacing w:after="0" w:line="18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As a result of the adoption of ASU 2016-09 on August 1, 2017, as further discussed in Note 2 (under Stock-Based Compensation) to the consolidated financial statements, we recognized a total U.S. federal and state deferred tax asset of $0.9 million for such previously unrecognized excess tax benefits which is offset by our U.S. federal and state valuation allowance. Under ASU 2016-09, the excess tax benefits and deficiencies are recognized in the period in which they occur. In the six months ended January 31, 2018, we recognized an immaterial amount of net excess tax benefit.</w:t>
      </w:r>
    </w:p>
    <w:p>
      <w:pPr>
        <w:spacing w:after="0" w:line="154"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Federal and state tax laws impose restrictions on the utilization of net operating loss carryforwards in the event of a change in ownership of the Company as defined by the Internal Revenue Code, Section 382. Under Section 382 of the Code, substantial changes in our ownership and the ownership of acquired companies may limit the amount of net operating loss carry-forwards that are available to offset taxable income. The annual limitation would not automatically result in the loss of net operating loss carry-forwards but may limit the amount available in any given future period. Additional limitations on the use of these tax attributes could occur in the event of possible disputes arising in examination from various taxing authorities.</w:t>
      </w:r>
    </w:p>
    <w:p>
      <w:pPr>
        <w:spacing w:after="0" w:line="19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recognize an uncertain tax position only if it is more likely than not that the position is sustainable upon examination by the taxing authority, based on the technical merits. We recognize interest and penalties associated with tax matters as part of the income tax provision. Our estimate of the potential outcome of any uncertain tax position is subject to management’s assessment of relevant risks, facts and circumstances existing at that time. For the periods presented, there are no material unrecognized benefits nor interest and penalties associated with these unrecognized tax benefits recorded in the consolidated financial statements.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Segment and Geographic Information</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Our chief operating decision maker (“CODM”) is our chief executive officer. We derive our revenue primarily from sales of subscription services to our cloud platform and related support services. Our CODM reviews financial information presented on a consolidated basis for the purposes of allocating resources and evaluating financial performance. Accordingly, we determined that we operate as one operating segment.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2 to our consolidated financial statements for revenue by geography.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long-lived assets are composed of property and equipment, net, and are summarized by geographic area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July 31,</w:t>
            </w:r>
          </w:p>
        </w:tc>
        <w:tc>
          <w:tcPr>
            <w:tcW w:w="560" w:type="dxa"/>
            <w:vAlign w:val="bottom"/>
            <w:tcBorders>
              <w:bottom w:val="single" w:sz="8" w:color="auto"/>
            </w:tcBorders>
          </w:tcPr>
          <w:p>
            <w:pPr>
              <w:spacing w:after="0"/>
              <w:rPr>
                <w:sz w:val="14"/>
                <w:szCs w:val="14"/>
                <w:color w:val="auto"/>
              </w:rPr>
            </w:pPr>
          </w:p>
        </w:tc>
        <w:tc>
          <w:tcPr>
            <w:tcW w:w="16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8"/>
              </w:rPr>
              <w:t>January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2017</w:t>
            </w: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(unaudited)</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 of the world</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 net</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13,139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401(k) Plan</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We have a defined-contribution plan intended to qualify under Section 401 of the Internal Revenue Code (the “401(k) Plan”). We contracted with a third-party provider to act as a custodian and trustee, and to process and maintain the records of participant data. Substantially all the expenses incurred for administrating the 401(k) Plan are paid by us. We have not made any matching contributions to date.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In November 2016, we recorded $4.4 million of stock-based compensation expense within research and development expense in the consolidated statements of operations associated with a one-time secondary stock purchase transaction which was executed among certain of our employees and certain of our affiliated stockholders, including entities controlled by Jay Chaudhry, our president, chief executive officer and chairman of our board of directors, and Lane Bess, a member of our board of directors. We assessed the impact of this transaction as holders of economic interest in our company acquired shares from our employees at a price in excess of fair value of such shares. Accordingly, we recognized such excess value as stock-based compensation expense.</w:t>
      </w:r>
    </w:p>
    <w:p>
      <w:pPr>
        <w:spacing w:after="0" w:line="193"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have entered into notes receivable agreements with certain of our current and former executives and employees in connection with the exercise of their stock options. Refer to Note 8 to our consolidated financial statements for further details.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evaluated subsequent events through October 2, 2017, the date on which the annual audited consolidated financial statements were issued.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Subsequent Events (unaudited)</w:t>
      </w:r>
    </w:p>
    <w:p>
      <w:pPr>
        <w:spacing w:after="0" w:line="121"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In preparing the unaudited interim consolidated financial statements as of January 31, 2018 and for the six months ended January 31, 2017 and 2018, we have evaluated subsequent events through February 16, 2018, the date the unaudited interim consolidated financial statements were available for issuance. In connection with the reissuance of the unaudited interim consolidated financial statements to reflect the 2-for-3 reverse stock split as described in Note 2, we have evaluated subsequent events through March 5, 2018, the date the unaudited interim consolidated financial statements were available to be reissued.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In March 2018, our Board of Directors approved an amendment to the Company’s amended and restated certificate of incorporation effecting a 2-for-3 reverse stock split of the Company’s issued and outstanding shares of common stock and convertible preferred stock and decreasing the number of authorized shares. The reverse stock split was effected on March 1, 2018. The par value of the common and redeemable convertible preferred stock was not adjusted as a result of the reverse stock split. All issued and outstanding share and per share amounts included in the accompanying consolidated financial statements have been adjusted to reflect this reverse stock split for all periods presented.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Subsequent to January 31, 2018 to March 5, 2018, we granted 2,965,890 stock options with an exercise price of $11.00 per share under the 2007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March 2018, our Board of Directors approved the adoption of the 2018 Equity Incentive Plan (the “2018 Plan”). A total of 12,700,000 shares of common stock are available for issuance under the 2018 Plan.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March 2018, our Board of Directors approved the adoption of the Fiscal Year 2018 Employee Stock Purchase Plan, (the “ESPP”), which is subject to the approval of our stockholders and will become effective with our initial public offering. A total of 2,200,000 shares of common stock are available for sale under the ESPP.</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9">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229235</wp:posOffset>
            </wp:positionV>
            <wp:extent cx="5831840" cy="74955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79">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228600</wp:posOffset>
            </wp:positionV>
            <wp:extent cx="5831840" cy="74955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table sets forth all expenses to be paid by the Registrant, other than underwriting discounts and commissions, upon the completion of this offering. All amounts shown are estimates except for the SEC registration fee, the FINRA filing fee and the exchange listing fee.</w:t>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53"/>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53"/>
        <w:spacing w:after="0"/>
        <w:rPr>
          <w:sz w:val="20"/>
          <w:szCs w:val="20"/>
          <w:color w:val="auto"/>
        </w:rPr>
      </w:pPr>
      <w:r>
        <w:rPr>
          <w:rFonts w:ascii="Arial" w:cs="Arial" w:eastAsia="Arial" w:hAnsi="Arial"/>
          <w:sz w:val="14"/>
          <w:szCs w:val="14"/>
          <w:b w:val="1"/>
          <w:bCs w:val="1"/>
          <w:color w:val="auto"/>
        </w:rPr>
        <w:t>to be Paid</w:t>
      </w:r>
    </w:p>
    <w:p>
      <w:pPr>
        <w:spacing w:after="0" w:line="9" w:lineRule="exact"/>
        <w:rPr>
          <w:sz w:val="20"/>
          <w:szCs w:val="20"/>
          <w:color w:val="auto"/>
        </w:rPr>
      </w:pPr>
    </w:p>
    <w:p>
      <w:pPr>
        <w:ind w:left="327" w:hanging="327"/>
        <w:spacing w:after="0"/>
        <w:tabs>
          <w:tab w:leader="none" w:pos="32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25,772</w:t>
      </w:r>
    </w:p>
    <w:p>
      <w:pPr>
        <w:spacing w:after="0" w:line="30" w:lineRule="exact"/>
        <w:rPr>
          <w:rFonts w:ascii="Arial" w:cs="Arial" w:eastAsia="Arial" w:hAnsi="Arial"/>
          <w:sz w:val="16"/>
          <w:szCs w:val="16"/>
          <w:color w:val="auto"/>
        </w:rPr>
      </w:pPr>
    </w:p>
    <w:p>
      <w:pPr>
        <w:ind w:left="327"/>
        <w:spacing w:after="0"/>
        <w:rPr>
          <w:rFonts w:ascii="Arial" w:cs="Arial" w:eastAsia="Arial" w:hAnsi="Arial"/>
          <w:sz w:val="16"/>
          <w:szCs w:val="16"/>
          <w:color w:val="auto"/>
        </w:rPr>
      </w:pPr>
      <w:r>
        <w:rPr>
          <w:rFonts w:ascii="Arial" w:cs="Arial" w:eastAsia="Arial" w:hAnsi="Arial"/>
          <w:sz w:val="16"/>
          <w:szCs w:val="16"/>
          <w:color w:val="auto"/>
        </w:rPr>
        <w:t>31,550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225,000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406,456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2,640,000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764,722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232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$5,500,000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5232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734" w:lineRule="exact"/>
        <w:rPr>
          <w:sz w:val="20"/>
          <w:szCs w:val="20"/>
          <w:color w:val="auto"/>
        </w:rPr>
      </w:pPr>
    </w:p>
    <w:p>
      <w:pPr>
        <w:sectPr>
          <w:pgSz w:w="11900" w:h="16838" w:orient="portrait"/>
          <w:cols w:equalWidth="0" w:num="2">
            <w:col w:w="9613" w:space="720"/>
            <w:col w:w="887"/>
          </w:cols>
          <w:pgMar w:left="240" w:top="460" w:right="439" w:bottom="1440" w:gutter="0" w:footer="0" w:header="0"/>
          <w:type w:val="continuous"/>
        </w:sectPr>
      </w:pPr>
    </w:p>
    <w:p>
      <w:pPr>
        <w:jc w:val="both"/>
        <w:ind w:left="200" w:firstLine="441"/>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the completion of this offering, as permitted by Section 102(b)(7) of the Delaware General Corporation Law, the Registrant’s amended and restated certificate of incorporation will include provisions that eliminate the personal liability of its directors and officers for monetary damages for breach of their fiduciary duty as directors and officers.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the amended and restated certificate of incorporation and amended and restated bylaws of the Registrant will provide that:</w:t>
      </w:r>
    </w:p>
    <w:p>
      <w:pPr>
        <w:spacing w:after="0" w:line="76" w:lineRule="exact"/>
        <w:rPr>
          <w:sz w:val="20"/>
          <w:szCs w:val="20"/>
          <w:color w:val="auto"/>
        </w:rPr>
      </w:pPr>
    </w:p>
    <w:p>
      <w:pPr>
        <w:jc w:val="both"/>
        <w:ind w:left="1060" w:hanging="424"/>
        <w:spacing w:after="0" w:line="25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3"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permitted by applicable law.</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 will not be obligated pursuant to the amended and restated bylaws to indemnify a person with respect to proceedings initiated by that person, except with respect to proceedings authorized by the Registrant’s board of directors or brought to enforce a right to indemnification.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64"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rights conferred in the amended and restated certificate of incorporation and amended and restated bylaws are not exclusive, and the Registrant is authorized to enter into indemnification agreements with its directors, officers, employees, and agents and to obtain insurance to indemnify such persons.</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to provide for certain additional procedural protections. The Registrant also maintains directors and officers insurance to insure such persons against certain liabilities.</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 as amended (Securities Act).</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August 1, 2014, the Registrant issued the following unregistered securities: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Issuances</w:t>
      </w:r>
    </w:p>
    <w:p>
      <w:pPr>
        <w:spacing w:after="0" w:line="11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From July 2015 through September 2015, the Registrant sold an aggregate of 12,269,663 shares of its Series D redeemable convertible preferred stock to five accredited investors at a purchase price of $8.9652 per share, for an aggregate purchase price of $109,999,992.</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 and Common Stock Issuances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From August 1, 2014 through January 31, 2018, the Registrant granted to its officers, directors, employees, consultants and other service providers options or restricted stock to purchase an aggregate of 23,348,430 shares of common stock at exercise prices ranging from $1.79 to $8.64 per share under its 2007 Stock Plan.</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From August 1, 2014 through January 31, 2018, the Registrant issued and sold to its officers, directors, employees, consultants and other service providers an aggregate of 8,888,415 shares of common stock upon exercise of options or issuance of restricted stock under its 2007 Stock Plan at exercise prices ranging from $0.02 to $6.18 per share, for a weighted-average exercise price of $2.70 per share.</w:t>
      </w:r>
    </w:p>
    <w:p>
      <w:pPr>
        <w:spacing w:after="0" w:line="18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Registrant believes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Registrant filed the exhibits listed on the accompanying Exhibit Index of this Registration Statement, which is incorporated by reference herein.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640" w:firstLine="428"/>
        <w:spacing w:after="0" w:line="259" w:lineRule="auto"/>
        <w:tabs>
          <w:tab w:leader="none" w:pos="132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640" w:firstLine="428"/>
        <w:spacing w:after="0" w:line="264" w:lineRule="auto"/>
        <w:tabs>
          <w:tab w:leader="none" w:pos="13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80" w:type="dxa"/>
            <w:vAlign w:val="bottom"/>
            <w:gridSpan w:val="25"/>
          </w:tcPr>
          <w:p>
            <w:pPr>
              <w:ind w:left="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00" w:type="dxa"/>
            <w:vAlign w:val="bottom"/>
            <w:gridSpan w:val="2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Number</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100" w:type="dxa"/>
            <w:vAlign w:val="bottom"/>
            <w:gridSpan w:val="2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2"/>
                <w:szCs w:val="22"/>
                <w:color w:val="auto"/>
              </w:rPr>
            </w:pPr>
          </w:p>
        </w:tc>
        <w:tc>
          <w:tcPr>
            <w:tcW w:w="9680" w:type="dxa"/>
            <w:vAlign w:val="bottom"/>
            <w:gridSpan w:val="33"/>
          </w:tcPr>
          <w:p>
            <w:pPr>
              <w:spacing w:after="0"/>
              <w:rPr>
                <w:rFonts w:ascii="Arial" w:cs="Arial" w:eastAsia="Arial" w:hAnsi="Arial"/>
                <w:sz w:val="18"/>
                <w:szCs w:val="18"/>
                <w:color w:val="0000EE"/>
              </w:rPr>
            </w:pPr>
            <w:hyperlink r:id="rId301">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680" w:type="dxa"/>
            <w:vAlign w:val="bottom"/>
            <w:gridSpan w:val="33"/>
          </w:tcPr>
          <w:p>
            <w:pPr>
              <w:spacing w:after="0"/>
              <w:rPr>
                <w:rFonts w:ascii="Arial" w:cs="Arial" w:eastAsia="Arial" w:hAnsi="Arial"/>
                <w:sz w:val="18"/>
                <w:szCs w:val="18"/>
                <w:color w:val="0000EE"/>
              </w:rPr>
            </w:pPr>
            <w:hyperlink r:id="rId302">
              <w:r>
                <w:rPr>
                  <w:rFonts w:ascii="Arial" w:cs="Arial" w:eastAsia="Arial" w:hAnsi="Arial"/>
                  <w:sz w:val="18"/>
                  <w:szCs w:val="18"/>
                  <w:color w:val="0000EE"/>
                </w:rPr>
                <w:t>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340" w:type="dxa"/>
            <w:vAlign w:val="bottom"/>
            <w:tcBorders>
              <w:bottom w:val="single" w:sz="8" w:color="0000EE"/>
            </w:tcBorders>
            <w:gridSpan w:val="31"/>
          </w:tcPr>
          <w:p>
            <w:pPr>
              <w:spacing w:after="0"/>
              <w:rPr>
                <w:rFonts w:ascii="Arial" w:cs="Arial" w:eastAsia="Arial" w:hAnsi="Arial"/>
                <w:sz w:val="18"/>
                <w:szCs w:val="18"/>
                <w:color w:val="0000EE"/>
                <w:w w:val="91"/>
              </w:rPr>
            </w:pPr>
            <w:hyperlink r:id="rId303">
              <w:r>
                <w:rPr>
                  <w:rFonts w:ascii="Arial" w:cs="Arial" w:eastAsia="Arial" w:hAnsi="Arial"/>
                  <w:sz w:val="18"/>
                  <w:szCs w:val="18"/>
                  <w:color w:val="0000EE"/>
                  <w:w w:val="91"/>
                </w:rPr>
                <w:t>Form of Amended and Restated Certificate of Incorporation of the Registrant, to be in effect upon the completion of this offering.</w:t>
              </w:r>
            </w:hyperlink>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3400" w:type="dxa"/>
            <w:vAlign w:val="bottom"/>
            <w:tcBorders>
              <w:bottom w:val="single" w:sz="8" w:color="0000EE"/>
            </w:tcBorders>
            <w:gridSpan w:val="8"/>
          </w:tcPr>
          <w:p>
            <w:pPr>
              <w:spacing w:after="0"/>
              <w:rPr>
                <w:rFonts w:ascii="Arial" w:cs="Arial" w:eastAsia="Arial" w:hAnsi="Arial"/>
                <w:sz w:val="18"/>
                <w:szCs w:val="18"/>
                <w:color w:val="0000EE"/>
                <w:w w:val="91"/>
              </w:rPr>
            </w:pPr>
            <w:hyperlink r:id="rId304">
              <w:r>
                <w:rPr>
                  <w:rFonts w:ascii="Arial" w:cs="Arial" w:eastAsia="Arial" w:hAnsi="Arial"/>
                  <w:sz w:val="18"/>
                  <w:szCs w:val="18"/>
                  <w:color w:val="0000EE"/>
                  <w:w w:val="91"/>
                </w:rPr>
                <w:t>Bylaws of the Registrant, as currently in effect.</w:t>
              </w:r>
            </w:hyperlink>
          </w:p>
        </w:tc>
        <w:tc>
          <w:tcPr>
            <w:tcW w:w="62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7900" w:type="dxa"/>
            <w:vAlign w:val="bottom"/>
            <w:tcBorders>
              <w:bottom w:val="single" w:sz="8" w:color="0000EE"/>
            </w:tcBorders>
            <w:gridSpan w:val="29"/>
          </w:tcPr>
          <w:p>
            <w:pPr>
              <w:spacing w:after="0"/>
              <w:rPr>
                <w:rFonts w:ascii="Arial" w:cs="Arial" w:eastAsia="Arial" w:hAnsi="Arial"/>
                <w:sz w:val="18"/>
                <w:szCs w:val="18"/>
                <w:color w:val="0000EE"/>
                <w:w w:val="91"/>
              </w:rPr>
            </w:pPr>
            <w:hyperlink r:id="rId305">
              <w:r>
                <w:rPr>
                  <w:rFonts w:ascii="Arial" w:cs="Arial" w:eastAsia="Arial" w:hAnsi="Arial"/>
                  <w:sz w:val="18"/>
                  <w:szCs w:val="18"/>
                  <w:color w:val="0000EE"/>
                  <w:w w:val="91"/>
                </w:rPr>
                <w:t>Form of Amended and Restated Bylaws of the Registrant, to be in effect upon the completion of this offering.</w:t>
              </w:r>
            </w:hyperlink>
          </w:p>
        </w:tc>
        <w:tc>
          <w:tcPr>
            <w:tcW w:w="1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680" w:type="dxa"/>
            <w:vAlign w:val="bottom"/>
            <w:gridSpan w:val="33"/>
          </w:tcPr>
          <w:p>
            <w:pPr>
              <w:spacing w:after="0"/>
              <w:rPr>
                <w:rFonts w:ascii="Arial" w:cs="Arial" w:eastAsia="Arial" w:hAnsi="Arial"/>
                <w:sz w:val="18"/>
                <w:szCs w:val="18"/>
                <w:color w:val="0000EE"/>
                <w:w w:val="90"/>
              </w:rPr>
            </w:pPr>
            <w:hyperlink r:id="rId306">
              <w:r>
                <w:rPr>
                  <w:rFonts w:ascii="Arial" w:cs="Arial" w:eastAsia="Arial" w:hAnsi="Arial"/>
                  <w:sz w:val="18"/>
                  <w:szCs w:val="18"/>
                  <w:color w:val="0000EE"/>
                  <w:w w:val="90"/>
                </w:rPr>
                <w:t>Amended and Restated Investors’ Rights Agreement among the Registrant and certain holders of its capital stock, dated as of July 24,</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06">
              <w:r>
                <w:rPr>
                  <w:rFonts w:ascii="Arial" w:cs="Arial" w:eastAsia="Arial" w:hAnsi="Arial"/>
                  <w:sz w:val="18"/>
                  <w:szCs w:val="18"/>
                  <w:color w:val="0000EE"/>
                  <w:w w:val="84"/>
                </w:rPr>
                <w:t>2015.</w:t>
              </w:r>
            </w:hyperlink>
          </w:p>
        </w:tc>
        <w:tc>
          <w:tcPr>
            <w:tcW w:w="14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Arial" w:cs="Arial" w:eastAsia="Arial" w:hAnsi="Arial"/>
                <w:sz w:val="18"/>
                <w:szCs w:val="18"/>
                <w:color w:val="0000EE"/>
                <w:w w:val="91"/>
              </w:rPr>
            </w:pPr>
            <w:hyperlink r:id="rId307">
              <w:r>
                <w:rPr>
                  <w:rFonts w:ascii="Arial" w:cs="Arial" w:eastAsia="Arial" w:hAnsi="Arial"/>
                  <w:sz w:val="18"/>
                  <w:szCs w:val="18"/>
                  <w:color w:val="0000EE"/>
                  <w:w w:val="91"/>
                </w:rPr>
                <w:t>Form of common stock certificate of the Registrant.</w:t>
              </w:r>
            </w:hyperlink>
          </w:p>
        </w:tc>
        <w:tc>
          <w:tcPr>
            <w:tcW w:w="59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Opinion of Wilson Sonsini Goodrich &amp; Rosati, P.C.</w:t>
            </w:r>
          </w:p>
        </w:tc>
        <w:tc>
          <w:tcPr>
            <w:tcW w:w="59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7760" w:type="dxa"/>
            <w:vAlign w:val="bottom"/>
            <w:tcBorders>
              <w:bottom w:val="single" w:sz="8" w:color="0000EE"/>
            </w:tcBorders>
            <w:gridSpan w:val="28"/>
          </w:tcPr>
          <w:p>
            <w:pPr>
              <w:spacing w:after="0"/>
              <w:rPr>
                <w:rFonts w:ascii="Arial" w:cs="Arial" w:eastAsia="Arial" w:hAnsi="Arial"/>
                <w:sz w:val="18"/>
                <w:szCs w:val="18"/>
                <w:color w:val="0000EE"/>
                <w:w w:val="90"/>
              </w:rPr>
            </w:pPr>
            <w:hyperlink r:id="rId308">
              <w:r>
                <w:rPr>
                  <w:rFonts w:ascii="Arial" w:cs="Arial" w:eastAsia="Arial" w:hAnsi="Arial"/>
                  <w:sz w:val="18"/>
                  <w:szCs w:val="18"/>
                  <w:color w:val="0000EE"/>
                  <w:w w:val="90"/>
                </w:rPr>
                <w:t>Form of Indemnification Agreement between the Registrant and each of its directors and executive officers.</w:t>
              </w:r>
            </w:hyperlink>
          </w:p>
        </w:tc>
        <w:tc>
          <w:tcPr>
            <w:tcW w:w="1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89"/>
              </w:rPr>
            </w:pPr>
            <w:hyperlink r:id="rId309">
              <w:r>
                <w:rPr>
                  <w:rFonts w:ascii="Arial" w:cs="Arial" w:eastAsia="Arial" w:hAnsi="Arial"/>
                  <w:sz w:val="18"/>
                  <w:szCs w:val="18"/>
                  <w:color w:val="0000EE"/>
                  <w:w w:val="89"/>
                </w:rPr>
                <w:t>Fiscal Year 2018 Equity Incentive Plan and related form agreements.</w:t>
              </w:r>
            </w:hyperlink>
          </w:p>
        </w:tc>
        <w:tc>
          <w:tcPr>
            <w:tcW w:w="47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Fiscal Year 2018 Employee Stock Purchase Plan and related form agreements.</w:t>
            </w:r>
          </w:p>
        </w:tc>
        <w:tc>
          <w:tcPr>
            <w:tcW w:w="40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3320" w:type="dxa"/>
            <w:vAlign w:val="bottom"/>
            <w:tcBorders>
              <w:bottom w:val="single" w:sz="8" w:color="0000EE"/>
            </w:tcBorders>
            <w:gridSpan w:val="7"/>
          </w:tcPr>
          <w:p>
            <w:pPr>
              <w:spacing w:after="0"/>
              <w:rPr>
                <w:rFonts w:ascii="Arial" w:cs="Arial" w:eastAsia="Arial" w:hAnsi="Arial"/>
                <w:sz w:val="18"/>
                <w:szCs w:val="18"/>
                <w:color w:val="0000EE"/>
                <w:w w:val="88"/>
              </w:rPr>
            </w:pPr>
            <w:hyperlink r:id="rId310">
              <w:r>
                <w:rPr>
                  <w:rFonts w:ascii="Arial" w:cs="Arial" w:eastAsia="Arial" w:hAnsi="Arial"/>
                  <w:sz w:val="18"/>
                  <w:szCs w:val="18"/>
                  <w:color w:val="0000EE"/>
                  <w:w w:val="88"/>
                </w:rPr>
                <w:t>2007 Stock Plan and related form agreements.</w:t>
              </w:r>
            </w:hyperlink>
          </w:p>
        </w:tc>
        <w:tc>
          <w:tcPr>
            <w:tcW w:w="636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2940" w:type="dxa"/>
            <w:vAlign w:val="bottom"/>
            <w:tcBorders>
              <w:bottom w:val="single" w:sz="8" w:color="0000EE"/>
            </w:tcBorders>
            <w:gridSpan w:val="5"/>
          </w:tcPr>
          <w:p>
            <w:pPr>
              <w:spacing w:after="0"/>
              <w:rPr>
                <w:rFonts w:ascii="Arial" w:cs="Arial" w:eastAsia="Arial" w:hAnsi="Arial"/>
                <w:sz w:val="18"/>
                <w:szCs w:val="18"/>
                <w:color w:val="0000EE"/>
                <w:w w:val="90"/>
              </w:rPr>
            </w:pPr>
            <w:hyperlink r:id="rId311">
              <w:r>
                <w:rPr>
                  <w:rFonts w:ascii="Arial" w:cs="Arial" w:eastAsia="Arial" w:hAnsi="Arial"/>
                  <w:sz w:val="18"/>
                  <w:szCs w:val="18"/>
                  <w:color w:val="0000EE"/>
                  <w:w w:val="90"/>
                </w:rPr>
                <w:t>Employee Incentive Compensation Plan.</w:t>
              </w:r>
            </w:hyperlink>
          </w:p>
        </w:tc>
        <w:tc>
          <w:tcPr>
            <w:tcW w:w="674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680" w:type="dxa"/>
            <w:vAlign w:val="bottom"/>
            <w:gridSpan w:val="33"/>
          </w:tcPr>
          <w:p>
            <w:pPr>
              <w:spacing w:after="0"/>
              <w:rPr>
                <w:rFonts w:ascii="Arial" w:cs="Arial" w:eastAsia="Arial" w:hAnsi="Arial"/>
                <w:sz w:val="18"/>
                <w:szCs w:val="18"/>
                <w:color w:val="0000EE"/>
              </w:rPr>
            </w:pPr>
            <w:hyperlink r:id="rId312">
              <w:r>
                <w:rPr>
                  <w:rFonts w:ascii="Arial" w:cs="Arial" w:eastAsia="Arial" w:hAnsi="Arial"/>
                  <w:sz w:val="18"/>
                  <w:szCs w:val="18"/>
                  <w:color w:val="0000EE"/>
                </w:rPr>
                <w:t>Sales Compensation Plan.</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2960" w:type="dxa"/>
            <w:vAlign w:val="bottom"/>
            <w:tcBorders>
              <w:bottom w:val="single" w:sz="8" w:color="0000EE"/>
            </w:tcBorders>
            <w:gridSpan w:val="6"/>
          </w:tcPr>
          <w:p>
            <w:pPr>
              <w:spacing w:after="0"/>
              <w:rPr>
                <w:rFonts w:ascii="Arial" w:cs="Arial" w:eastAsia="Arial" w:hAnsi="Arial"/>
                <w:sz w:val="18"/>
                <w:szCs w:val="18"/>
                <w:color w:val="0000EE"/>
                <w:w w:val="89"/>
              </w:rPr>
            </w:pPr>
            <w:hyperlink r:id="rId313">
              <w:r>
                <w:rPr>
                  <w:rFonts w:ascii="Arial" w:cs="Arial" w:eastAsia="Arial" w:hAnsi="Arial"/>
                  <w:sz w:val="18"/>
                  <w:szCs w:val="18"/>
                  <w:color w:val="0000EE"/>
                  <w:w w:val="89"/>
                </w:rPr>
                <w:t>Change of Control and Severance Policy.</w:t>
              </w:r>
            </w:hyperlink>
          </w:p>
        </w:tc>
        <w:tc>
          <w:tcPr>
            <w:tcW w:w="672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680" w:type="dxa"/>
            <w:vAlign w:val="bottom"/>
            <w:gridSpan w:val="33"/>
          </w:tcPr>
          <w:p>
            <w:pPr>
              <w:spacing w:after="0"/>
              <w:rPr>
                <w:rFonts w:ascii="Arial" w:cs="Arial" w:eastAsia="Arial" w:hAnsi="Arial"/>
                <w:sz w:val="18"/>
                <w:szCs w:val="18"/>
                <w:color w:val="0000EE"/>
              </w:rPr>
            </w:pPr>
            <w:hyperlink r:id="rId314">
              <w:r>
                <w:rPr>
                  <w:rFonts w:ascii="Arial" w:cs="Arial" w:eastAsia="Arial" w:hAnsi="Arial"/>
                  <w:sz w:val="18"/>
                  <w:szCs w:val="18"/>
                  <w:color w:val="0000EE"/>
                </w:rPr>
                <w:t>Employment Agreement between the Registrant and Jagtar S. Chaudhry, dated as of August 23, 2017.</w:t>
              </w:r>
            </w:hyperlink>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7320" w:type="dxa"/>
            <w:vAlign w:val="bottom"/>
            <w:tcBorders>
              <w:top w:val="single" w:sz="8" w:color="0000EE"/>
            </w:tcBorders>
            <w:gridSpan w:val="25"/>
          </w:tcPr>
          <w:p>
            <w:pPr>
              <w:spacing w:after="0"/>
              <w:rPr>
                <w:rFonts w:ascii="Arial" w:cs="Arial" w:eastAsia="Arial" w:hAnsi="Arial"/>
                <w:sz w:val="18"/>
                <w:szCs w:val="18"/>
                <w:color w:val="0000EE"/>
              </w:rPr>
            </w:pPr>
            <w:hyperlink r:id="rId315">
              <w:r>
                <w:rPr>
                  <w:rFonts w:ascii="Arial" w:cs="Arial" w:eastAsia="Arial" w:hAnsi="Arial"/>
                  <w:sz w:val="18"/>
                  <w:szCs w:val="18"/>
                  <w:color w:val="0000EE"/>
                </w:rPr>
                <w:t>Offer Letter between the Registrant and Manoj Apte, dated as of June 19, 2008.</w:t>
              </w:r>
            </w:hyperlink>
          </w:p>
        </w:tc>
        <w:tc>
          <w:tcPr>
            <w:tcW w:w="2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4"/>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920" w:type="dxa"/>
            <w:vAlign w:val="bottom"/>
            <w:gridSpan w:val="10"/>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10.10+*</w:t>
            </w:r>
          </w:p>
        </w:tc>
        <w:tc>
          <w:tcPr>
            <w:tcW w:w="9680" w:type="dxa"/>
            <w:vAlign w:val="bottom"/>
            <w:gridSpan w:val="33"/>
          </w:tcPr>
          <w:p>
            <w:pPr>
              <w:spacing w:after="0"/>
              <w:rPr>
                <w:rFonts w:ascii="Arial" w:cs="Arial" w:eastAsia="Arial" w:hAnsi="Arial"/>
                <w:sz w:val="18"/>
                <w:szCs w:val="18"/>
                <w:color w:val="0000EE"/>
              </w:rPr>
            </w:pPr>
            <w:hyperlink r:id="rId316">
              <w:r>
                <w:rPr>
                  <w:rFonts w:ascii="Arial" w:cs="Arial" w:eastAsia="Arial" w:hAnsi="Arial"/>
                  <w:sz w:val="18"/>
                  <w:szCs w:val="18"/>
                  <w:color w:val="0000EE"/>
                </w:rPr>
                <w:t>Offer Letter between the Registrant and Remo Canessa, dated as of January 8, 2017.</w:t>
              </w:r>
            </w:hyperlink>
          </w:p>
        </w:tc>
        <w:tc>
          <w:tcPr>
            <w:tcW w:w="0" w:type="dxa"/>
            <w:vAlign w:val="bottom"/>
          </w:tcPr>
          <w:p>
            <w:pPr>
              <w:spacing w:after="0"/>
              <w:rPr>
                <w:sz w:val="1"/>
                <w:szCs w:val="1"/>
                <w:color w:val="auto"/>
              </w:rPr>
            </w:pPr>
          </w:p>
        </w:tc>
      </w:tr>
      <w:tr>
        <w:trPr>
          <w:trHeight w:val="20"/>
        </w:trPr>
        <w:tc>
          <w:tcPr>
            <w:tcW w:w="1120" w:type="dxa"/>
            <w:vAlign w:val="bottom"/>
            <w:gridSpan w:val="4"/>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920" w:type="dxa"/>
            <w:vAlign w:val="bottom"/>
            <w:gridSpan w:val="10"/>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10.11+*</w:t>
            </w:r>
          </w:p>
        </w:tc>
        <w:tc>
          <w:tcPr>
            <w:tcW w:w="9680" w:type="dxa"/>
            <w:vAlign w:val="bottom"/>
            <w:gridSpan w:val="33"/>
          </w:tcPr>
          <w:p>
            <w:pPr>
              <w:spacing w:after="0"/>
              <w:rPr>
                <w:rFonts w:ascii="Arial" w:cs="Arial" w:eastAsia="Arial" w:hAnsi="Arial"/>
                <w:sz w:val="18"/>
                <w:szCs w:val="18"/>
                <w:color w:val="0000EE"/>
              </w:rPr>
            </w:pPr>
            <w:hyperlink r:id="rId317">
              <w:r>
                <w:rPr>
                  <w:rFonts w:ascii="Arial" w:cs="Arial" w:eastAsia="Arial" w:hAnsi="Arial"/>
                  <w:sz w:val="18"/>
                  <w:szCs w:val="18"/>
                  <w:color w:val="0000EE"/>
                </w:rPr>
                <w:t>Offer Letter between the Registrant and Robert Schlossman, dated as of December 22, 2015.</w:t>
              </w:r>
            </w:hyperlink>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10.12+*</w:t>
            </w:r>
          </w:p>
        </w:tc>
        <w:tc>
          <w:tcPr>
            <w:tcW w:w="59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318">
              <w:r>
                <w:rPr>
                  <w:rFonts w:ascii="Arial" w:cs="Arial" w:eastAsia="Arial" w:hAnsi="Arial"/>
                  <w:sz w:val="18"/>
                  <w:szCs w:val="18"/>
                  <w:color w:val="0000EE"/>
                  <w:w w:val="90"/>
                </w:rPr>
                <w:t>Offer Letter between the Registrant and Amit Sinha, dated as of October 18, 2010.</w:t>
              </w:r>
            </w:hyperlink>
          </w:p>
        </w:tc>
        <w:tc>
          <w:tcPr>
            <w:tcW w:w="720" w:type="dxa"/>
            <w:vAlign w:val="bottom"/>
            <w:tcBorders>
              <w:top w:val="single" w:sz="8" w:color="0000EE"/>
            </w:tcBorders>
            <w:gridSpan w:val="7"/>
          </w:tcPr>
          <w:p>
            <w:pPr>
              <w:spacing w:after="0"/>
              <w:rPr>
                <w:sz w:val="24"/>
                <w:szCs w:val="24"/>
                <w:color w:val="auto"/>
              </w:rPr>
            </w:pPr>
          </w:p>
        </w:tc>
        <w:tc>
          <w:tcPr>
            <w:tcW w:w="30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10.13+*</w:t>
            </w:r>
          </w:p>
        </w:tc>
        <w:tc>
          <w:tcPr>
            <w:tcW w:w="6580" w:type="dxa"/>
            <w:vAlign w:val="bottom"/>
            <w:tcBorders>
              <w:bottom w:val="single" w:sz="8" w:color="0000EE"/>
            </w:tcBorders>
            <w:gridSpan w:val="22"/>
          </w:tcPr>
          <w:p>
            <w:pPr>
              <w:spacing w:after="0"/>
              <w:rPr>
                <w:rFonts w:ascii="Arial" w:cs="Arial" w:eastAsia="Arial" w:hAnsi="Arial"/>
                <w:sz w:val="18"/>
                <w:szCs w:val="18"/>
                <w:color w:val="0000EE"/>
                <w:w w:val="90"/>
              </w:rPr>
            </w:pPr>
            <w:hyperlink r:id="rId319">
              <w:r>
                <w:rPr>
                  <w:rFonts w:ascii="Arial" w:cs="Arial" w:eastAsia="Arial" w:hAnsi="Arial"/>
                  <w:sz w:val="18"/>
                  <w:szCs w:val="18"/>
                  <w:color w:val="0000EE"/>
                  <w:w w:val="90"/>
                </w:rPr>
                <w:t>Offer Letter between the Registrant and William E. Welch, dated as of November 25, 2014.</w:t>
              </w:r>
            </w:hyperlink>
          </w:p>
        </w:tc>
        <w:tc>
          <w:tcPr>
            <w:tcW w:w="31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10.14+*</w:t>
            </w:r>
          </w:p>
        </w:tc>
        <w:tc>
          <w:tcPr>
            <w:tcW w:w="9680" w:type="dxa"/>
            <w:vAlign w:val="bottom"/>
            <w:gridSpan w:val="33"/>
          </w:tcPr>
          <w:p>
            <w:pPr>
              <w:spacing w:after="0"/>
              <w:rPr>
                <w:rFonts w:ascii="Arial" w:cs="Arial" w:eastAsia="Arial" w:hAnsi="Arial"/>
                <w:sz w:val="18"/>
                <w:szCs w:val="18"/>
                <w:color w:val="0000EE"/>
              </w:rPr>
            </w:pPr>
            <w:hyperlink r:id="rId320">
              <w:r>
                <w:rPr>
                  <w:rFonts w:ascii="Arial" w:cs="Arial" w:eastAsia="Arial" w:hAnsi="Arial"/>
                  <w:sz w:val="18"/>
                  <w:szCs w:val="18"/>
                  <w:color w:val="0000EE"/>
                </w:rPr>
                <w:t>Offer Letter between the Registrant and Karen Blasing, dated as of December 23, 2016.</w:t>
              </w:r>
            </w:hyperlink>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10.15+*</w:t>
            </w:r>
          </w:p>
        </w:tc>
        <w:tc>
          <w:tcPr>
            <w:tcW w:w="6300" w:type="dxa"/>
            <w:vAlign w:val="bottom"/>
            <w:tcBorders>
              <w:top w:val="single" w:sz="8" w:color="0000EE"/>
            </w:tcBorders>
            <w:gridSpan w:val="21"/>
          </w:tcPr>
          <w:p>
            <w:pPr>
              <w:spacing w:after="0"/>
              <w:rPr>
                <w:rFonts w:ascii="Arial" w:cs="Arial" w:eastAsia="Arial" w:hAnsi="Arial"/>
                <w:sz w:val="18"/>
                <w:szCs w:val="18"/>
                <w:color w:val="0000EE"/>
                <w:w w:val="91"/>
              </w:rPr>
            </w:pPr>
            <w:hyperlink r:id="rId321">
              <w:r>
                <w:rPr>
                  <w:rFonts w:ascii="Arial" w:cs="Arial" w:eastAsia="Arial" w:hAnsi="Arial"/>
                  <w:sz w:val="18"/>
                  <w:szCs w:val="18"/>
                  <w:color w:val="0000EE"/>
                  <w:w w:val="91"/>
                </w:rPr>
                <w:t>Offer Letter between the Registrant and Andrew Brown, dated as of October 14, 2015.</w:t>
              </w:r>
            </w:hyperlink>
          </w:p>
        </w:tc>
        <w:tc>
          <w:tcPr>
            <w:tcW w:w="3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4"/>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920" w:type="dxa"/>
            <w:vAlign w:val="bottom"/>
            <w:gridSpan w:val="10"/>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10.16+*</w:t>
            </w:r>
          </w:p>
        </w:tc>
        <w:tc>
          <w:tcPr>
            <w:tcW w:w="6260" w:type="dxa"/>
            <w:vAlign w:val="bottom"/>
            <w:tcBorders>
              <w:bottom w:val="single" w:sz="8" w:color="0000EE"/>
            </w:tcBorders>
            <w:gridSpan w:val="20"/>
          </w:tcPr>
          <w:p>
            <w:pPr>
              <w:spacing w:after="0"/>
              <w:rPr>
                <w:rFonts w:ascii="Arial" w:cs="Arial" w:eastAsia="Arial" w:hAnsi="Arial"/>
                <w:sz w:val="18"/>
                <w:szCs w:val="18"/>
                <w:color w:val="0000EE"/>
                <w:w w:val="90"/>
              </w:rPr>
            </w:pPr>
            <w:hyperlink r:id="rId322">
              <w:r>
                <w:rPr>
                  <w:rFonts w:ascii="Arial" w:cs="Arial" w:eastAsia="Arial" w:hAnsi="Arial"/>
                  <w:sz w:val="18"/>
                  <w:szCs w:val="18"/>
                  <w:color w:val="0000EE"/>
                  <w:w w:val="90"/>
                </w:rPr>
                <w:t>Offer Letter between the Registrant and Scott Darling, dated as of November 16, 2016.</w:t>
              </w:r>
            </w:hyperlink>
          </w:p>
        </w:tc>
        <w:tc>
          <w:tcPr>
            <w:tcW w:w="3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10.17+*</w:t>
            </w:r>
          </w:p>
        </w:tc>
        <w:tc>
          <w:tcPr>
            <w:tcW w:w="6600" w:type="dxa"/>
            <w:vAlign w:val="bottom"/>
            <w:tcBorders>
              <w:bottom w:val="single" w:sz="8" w:color="0000EE"/>
            </w:tcBorders>
            <w:gridSpan w:val="23"/>
          </w:tcPr>
          <w:p>
            <w:pPr>
              <w:spacing w:after="0"/>
              <w:rPr>
                <w:rFonts w:ascii="Arial" w:cs="Arial" w:eastAsia="Arial" w:hAnsi="Arial"/>
                <w:sz w:val="18"/>
                <w:szCs w:val="18"/>
                <w:color w:val="0000EE"/>
                <w:w w:val="89"/>
              </w:rPr>
            </w:pPr>
            <w:hyperlink r:id="rId323">
              <w:r>
                <w:rPr>
                  <w:rFonts w:ascii="Arial" w:cs="Arial" w:eastAsia="Arial" w:hAnsi="Arial"/>
                  <w:sz w:val="18"/>
                  <w:szCs w:val="18"/>
                  <w:color w:val="0000EE"/>
                  <w:w w:val="89"/>
                </w:rPr>
                <w:t>Offer Letter between the Registrant and Charles Giancarlo, dated as of November 22, 2016.</w:t>
              </w:r>
            </w:hyperlink>
          </w:p>
        </w:tc>
        <w:tc>
          <w:tcPr>
            <w:tcW w:w="3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10.18*</w:t>
            </w:r>
          </w:p>
        </w:tc>
        <w:tc>
          <w:tcPr>
            <w:tcW w:w="520" w:type="dxa"/>
            <w:vAlign w:val="bottom"/>
          </w:tcPr>
          <w:p>
            <w:pPr>
              <w:spacing w:after="0"/>
              <w:rPr>
                <w:sz w:val="24"/>
                <w:szCs w:val="24"/>
                <w:color w:val="auto"/>
              </w:rPr>
            </w:pPr>
          </w:p>
        </w:tc>
        <w:tc>
          <w:tcPr>
            <w:tcW w:w="7940" w:type="dxa"/>
            <w:vAlign w:val="bottom"/>
            <w:tcBorders>
              <w:bottom w:val="single" w:sz="8" w:color="0000EE"/>
            </w:tcBorders>
            <w:gridSpan w:val="30"/>
          </w:tcPr>
          <w:p>
            <w:pPr>
              <w:spacing w:after="0"/>
              <w:rPr>
                <w:rFonts w:ascii="Arial" w:cs="Arial" w:eastAsia="Arial" w:hAnsi="Arial"/>
                <w:sz w:val="18"/>
                <w:szCs w:val="18"/>
                <w:color w:val="0000EE"/>
                <w:w w:val="89"/>
              </w:rPr>
            </w:pPr>
            <w:hyperlink r:id="rId324">
              <w:r>
                <w:rPr>
                  <w:rFonts w:ascii="Arial" w:cs="Arial" w:eastAsia="Arial" w:hAnsi="Arial"/>
                  <w:sz w:val="18"/>
                  <w:szCs w:val="18"/>
                  <w:color w:val="0000EE"/>
                  <w:w w:val="89"/>
                </w:rPr>
                <w:t>Office Lease Agreement, by and between the Registrant and SRI Eleven Row LLC, dated as of June 30, 2015.</w:t>
              </w:r>
            </w:hyperlink>
          </w:p>
        </w:tc>
        <w:tc>
          <w:tcPr>
            <w:tcW w:w="1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24"/>
                <w:szCs w:val="24"/>
                <w:color w:val="auto"/>
              </w:rPr>
            </w:pPr>
          </w:p>
        </w:tc>
        <w:tc>
          <w:tcPr>
            <w:tcW w:w="9680" w:type="dxa"/>
            <w:vAlign w:val="bottom"/>
            <w:tcBorders>
              <w:bottom w:val="single" w:sz="8" w:color="0000EE"/>
            </w:tcBorders>
            <w:gridSpan w:val="33"/>
          </w:tcPr>
          <w:p>
            <w:pPr>
              <w:spacing w:after="0"/>
              <w:rPr>
                <w:rFonts w:ascii="Arial" w:cs="Arial" w:eastAsia="Arial" w:hAnsi="Arial"/>
                <w:sz w:val="18"/>
                <w:szCs w:val="18"/>
                <w:color w:val="0000EE"/>
                <w:w w:val="90"/>
              </w:rPr>
            </w:pPr>
            <w:hyperlink r:id="rId325">
              <w:r>
                <w:rPr>
                  <w:rFonts w:ascii="Arial" w:cs="Arial" w:eastAsia="Arial" w:hAnsi="Arial"/>
                  <w:sz w:val="18"/>
                  <w:szCs w:val="18"/>
                  <w:color w:val="0000EE"/>
                  <w:w w:val="90"/>
                </w:rPr>
                <w:t>First Amendment to Office Lease Agreement, by and between the Registrant and SRI Eleven Row LLC, dated as of October 30, 2015.</w:t>
              </w:r>
            </w:hyperlink>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10.20*</w:t>
            </w:r>
          </w:p>
        </w:tc>
        <w:tc>
          <w:tcPr>
            <w:tcW w:w="520" w:type="dxa"/>
            <w:vAlign w:val="bottom"/>
          </w:tcPr>
          <w:p>
            <w:pPr>
              <w:spacing w:after="0"/>
              <w:rPr>
                <w:sz w:val="24"/>
                <w:szCs w:val="24"/>
                <w:color w:val="auto"/>
              </w:rPr>
            </w:pPr>
          </w:p>
        </w:tc>
        <w:tc>
          <w:tcPr>
            <w:tcW w:w="9680" w:type="dxa"/>
            <w:vAlign w:val="bottom"/>
            <w:gridSpan w:val="33"/>
          </w:tcPr>
          <w:p>
            <w:pPr>
              <w:spacing w:after="0"/>
              <w:rPr>
                <w:rFonts w:ascii="Arial" w:cs="Arial" w:eastAsia="Arial" w:hAnsi="Arial"/>
                <w:sz w:val="18"/>
                <w:szCs w:val="18"/>
                <w:color w:val="0000EE"/>
              </w:rPr>
            </w:pPr>
            <w:hyperlink r:id="rId326">
              <w:r>
                <w:rPr>
                  <w:rFonts w:ascii="Arial" w:cs="Arial" w:eastAsia="Arial" w:hAnsi="Arial"/>
                  <w:sz w:val="18"/>
                  <w:szCs w:val="18"/>
                  <w:color w:val="0000EE"/>
                </w:rPr>
                <w:t>Office Lease by and between the Registrant and US ER America Center 2, LLC, dated as of June 9, 2017.</w:t>
              </w:r>
            </w:hyperlink>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327">
              <w:r>
                <w:rPr>
                  <w:rFonts w:ascii="Arial" w:cs="Arial" w:eastAsia="Arial" w:hAnsi="Arial"/>
                  <w:sz w:val="18"/>
                  <w:szCs w:val="18"/>
                  <w:color w:val="0000EE"/>
                  <w:w w:val="90"/>
                </w:rPr>
                <w:t>List of subsidiaries of the Registrant.</w:t>
              </w:r>
            </w:hyperlink>
          </w:p>
        </w:tc>
        <w:tc>
          <w:tcPr>
            <w:tcW w:w="4960" w:type="dxa"/>
            <w:vAlign w:val="bottom"/>
            <w:tcBorders>
              <w:top w:val="single" w:sz="8" w:color="0000EE"/>
            </w:tcBorders>
            <w:gridSpan w:val="23"/>
          </w:tcPr>
          <w:p>
            <w:pPr>
              <w:spacing w:after="0"/>
              <w:rPr>
                <w:sz w:val="24"/>
                <w:szCs w:val="24"/>
                <w:color w:val="auto"/>
              </w:rPr>
            </w:pPr>
          </w:p>
        </w:tc>
        <w:tc>
          <w:tcPr>
            <w:tcW w:w="2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5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1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55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Consent of Wilson Sonsini Goodrich &amp; Rosati, P.C. (included in Exhibit 5.1).</w:t>
            </w:r>
          </w:p>
        </w:tc>
        <w:tc>
          <w:tcPr>
            <w:tcW w:w="41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3"/>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7760" w:type="dxa"/>
            <w:vAlign w:val="bottom"/>
            <w:tcBorders>
              <w:bottom w:val="single" w:sz="8" w:color="0000EE"/>
            </w:tcBorders>
            <w:gridSpan w:val="28"/>
          </w:tcPr>
          <w:p>
            <w:pPr>
              <w:spacing w:after="0"/>
              <w:rPr>
                <w:rFonts w:ascii="Arial" w:cs="Arial" w:eastAsia="Arial" w:hAnsi="Arial"/>
                <w:sz w:val="18"/>
                <w:szCs w:val="18"/>
                <w:color w:val="0000EE"/>
                <w:w w:val="91"/>
              </w:rPr>
            </w:pPr>
            <w:hyperlink r:id="rId328">
              <w:r>
                <w:rPr>
                  <w:rFonts w:ascii="Arial" w:cs="Arial" w:eastAsia="Arial" w:hAnsi="Arial"/>
                  <w:sz w:val="18"/>
                  <w:szCs w:val="18"/>
                  <w:color w:val="0000EE"/>
                  <w:w w:val="91"/>
                </w:rPr>
                <w:t>Power of Attorney (see the signature page to the original filing of this Registration Statement on Form S-1).</w:t>
              </w:r>
            </w:hyperlink>
          </w:p>
        </w:tc>
        <w:tc>
          <w:tcPr>
            <w:tcW w:w="1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ectPr>
          <w:pgSz w:w="11900" w:h="16838" w:orient="portrait"/>
          <w:cols w:equalWidth="0" w:num="1">
            <w:col w:w="11000"/>
          </w:cols>
          <w:pgMar w:left="240" w:top="459" w:right="6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on Form S-1 to be signed on its behalf by the undersigned, thereunto duly authorized, in San Jose, California, on the 13th day of March,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ZSCALER,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Jagtar S. Chaudhry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Jagtar S. Chaudhry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President, Chief Executive Officer and Chairman of the</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7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/s/ Jagtar S. Chaudhry</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7"/>
              </w:rPr>
              <w:t>President, Chief Executive Officer and Chairman of</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Jagtar S. Chaudhry</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8"/>
              </w:rPr>
              <w:t>the Board of Directors (Principal Executive Officer)</w:t>
            </w:r>
          </w:p>
        </w:tc>
        <w:tc>
          <w:tcPr>
            <w:tcW w:w="202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6"/>
              </w:rPr>
              <w:t>/s/ Remo Canessa</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8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Remo Canessa</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(Principal Accounting and Financial Officer)</w:t>
            </w: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6"/>
              </w:rPr>
              <w:t>Lane Bess</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2"/>
              </w:rPr>
              <w:t>Karen Blasing</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5"/>
              </w:rPr>
              <w:t>Andrew Brown</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3"/>
              </w:rPr>
              <w:t>Scott Darling</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0"/>
              </w:rPr>
              <w:t>Charles Giancarlo</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Nehal Raj</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2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24"/>
        </w:trPr>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38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4"/>
              </w:rPr>
              <w:t>Amit Sinha</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8"/>
        </w:trPr>
        <w:tc>
          <w:tcPr>
            <w:tcW w:w="4920" w:type="dxa"/>
            <w:vAlign w:val="bottom"/>
            <w:gridSpan w:val="4"/>
          </w:tcPr>
          <w:p>
            <w:pPr>
              <w:spacing w:after="0"/>
              <w:rPr>
                <w:sz w:val="20"/>
                <w:szCs w:val="20"/>
                <w:color w:val="auto"/>
              </w:rPr>
            </w:pPr>
            <w:r>
              <w:rPr>
                <w:rFonts w:ascii="Arial" w:cs="Arial" w:eastAsia="Arial" w:hAnsi="Arial"/>
                <w:sz w:val="18"/>
                <w:szCs w:val="18"/>
                <w:color w:val="auto"/>
              </w:rPr>
              <w:t>* By:  /s/ Jagtar S. Chaudhry</w:t>
            </w: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240"/>
          </w:cols>
          <w:pgMar w:left="240" w:top="460" w:right="4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84500" cy="300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2984500" cy="3003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94304-1050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650.493.9300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650.493.6811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Zscaler,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Rose Orchard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95134</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opinion is furnished to you in connection with the Registration Statement on Form S-1 (Registration No. 333-223072), as amended (the “Registration Statement”), filed by Zscaler, Inc. (the “</w:t>
      </w:r>
      <w:r>
        <w:rPr>
          <w:rFonts w:ascii="Arial" w:cs="Arial" w:eastAsia="Arial" w:hAnsi="Arial"/>
          <w:sz w:val="18"/>
          <w:szCs w:val="18"/>
          <w:b w:val="1"/>
          <w:bCs w:val="1"/>
          <w:color w:val="auto"/>
        </w:rPr>
        <w:t>Company</w:t>
      </w:r>
      <w:r>
        <w:rPr>
          <w:rFonts w:ascii="Arial" w:cs="Arial" w:eastAsia="Arial" w:hAnsi="Arial"/>
          <w:sz w:val="18"/>
          <w:szCs w:val="18"/>
          <w:color w:val="auto"/>
        </w:rPr>
        <w:t>”) with the Securities and Exchange Commission in connection with the registration under the Securities Act of 1933, as amended, of 13,800,000 shares (including up to 1,800,000 shares issuable upon exercise of an option granted to the underwriters by the Company) of the Company’s common stock, $0.001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acting as counsel for the Company in connection with the sale of the Shares.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4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On the basis of the foregoing, we are of the opinion that upon the effectiveness of the Company’s Amended and Restated Certificate of Incorporation, a form of which has been filed as Exhibit 3.2 to the Registration Statement, the Shares have been duly authorized and, when such Shares are issued and paid for in accordance with the terms of the Underwriting Agreement, will be validly issued, fully paid and nonassessable.</w:t>
      </w:r>
    </w:p>
    <w:p>
      <w:pPr>
        <w:spacing w:after="0" w:line="196" w:lineRule="exact"/>
        <w:rPr>
          <w:sz w:val="20"/>
          <w:szCs w:val="20"/>
          <w:color w:val="auto"/>
        </w:rPr>
      </w:pPr>
    </w:p>
    <w:p>
      <w:pPr>
        <w:jc w:val="center"/>
        <w:ind w:right="-19"/>
        <w:spacing w:after="0"/>
        <w:tabs>
          <w:tab w:leader="none" w:pos="140" w:val="left"/>
          <w:tab w:leader="none" w:pos="140" w:val="left"/>
          <w:tab w:leader="none" w:pos="140" w:val="left"/>
          <w:tab w:leader="none" w:pos="140" w:val="left"/>
          <w:tab w:leader="none" w:pos="140" w:val="left"/>
          <w:tab w:leader="none" w:pos="140" w:val="left"/>
          <w:tab w:leader="none" w:pos="140" w:val="left"/>
        </w:tabs>
        <w:rPr>
          <w:sz w:val="20"/>
          <w:szCs w:val="20"/>
          <w:color w:val="auto"/>
        </w:rPr>
      </w:pPr>
      <w:r>
        <w:rPr>
          <w:rFonts w:ascii="Arial" w:cs="Arial" w:eastAsia="Arial" w:hAnsi="Arial"/>
          <w:sz w:val="15"/>
          <w:szCs w:val="15"/>
          <w:color w:val="auto"/>
        </w:rPr>
        <w:t>AUSTIN</w:t>
        <w:tab/>
        <w:t>BEIJING</w:t>
        <w:tab/>
        <w:t>BOSTON</w:t>
        <w:tab/>
        <w:t>BRUSSELS</w:t>
        <w:tab/>
        <w:t>HONG KONG</w:t>
        <w:tab/>
        <w:t>LOS ANGELES</w:t>
        <w:tab/>
        <w:t>NEWYORK</w:t>
      </w:r>
      <w:r>
        <w:rPr>
          <w:sz w:val="20"/>
          <w:szCs w:val="20"/>
          <w:color w:val="auto"/>
        </w:rPr>
        <w:tab/>
      </w:r>
      <w:r>
        <w:rPr>
          <w:rFonts w:ascii="Arial" w:cs="Arial" w:eastAsia="Arial" w:hAnsi="Arial"/>
          <w:sz w:val="14"/>
          <w:szCs w:val="14"/>
          <w:color w:val="auto"/>
        </w:rPr>
        <w:t>PALOALTO</w:t>
      </w:r>
    </w:p>
    <w:p>
      <w:pPr>
        <w:spacing w:after="0" w:line="17" w:lineRule="exact"/>
        <w:rPr>
          <w:sz w:val="20"/>
          <w:szCs w:val="20"/>
          <w:color w:val="auto"/>
        </w:rPr>
      </w:pPr>
    </w:p>
    <w:p>
      <w:pPr>
        <w:jc w:val="center"/>
        <w:spacing w:after="0"/>
        <w:tabs>
          <w:tab w:leader="none" w:pos="120" w:val="left"/>
          <w:tab w:leader="none" w:pos="140" w:val="left"/>
          <w:tab w:leader="none" w:pos="120" w:val="left"/>
          <w:tab w:leader="none" w:pos="140" w:val="left"/>
        </w:tabs>
        <w:rPr>
          <w:sz w:val="20"/>
          <w:szCs w:val="20"/>
          <w:color w:val="auto"/>
        </w:rPr>
      </w:pPr>
      <w:r>
        <w:rPr>
          <w:rFonts w:ascii="Arial" w:cs="Arial" w:eastAsia="Arial" w:hAnsi="Arial"/>
          <w:sz w:val="15"/>
          <w:szCs w:val="15"/>
          <w:color w:val="auto"/>
        </w:rPr>
        <w:t>SAN DIEGO</w:t>
        <w:tab/>
        <w:t>SAN FRANCISCO</w:t>
        <w:tab/>
        <w:t>SEATTLE SHANGHAI</w:t>
        <w:tab/>
        <w:t>WASHINGTON</w:t>
      </w:r>
      <w:r>
        <w:rPr>
          <w:rFonts w:ascii="Arial" w:cs="Arial" w:eastAsia="Arial" w:hAnsi="Arial"/>
          <w:sz w:val="18"/>
          <w:szCs w:val="18"/>
          <w:color w:val="auto"/>
        </w:rPr>
        <w:t>,</w:t>
      </w:r>
      <w:r>
        <w:rPr>
          <w:rFonts w:ascii="Arial" w:cs="Arial" w:eastAsia="Arial" w:hAnsi="Arial"/>
          <w:sz w:val="15"/>
          <w:szCs w:val="15"/>
          <w:color w:val="auto"/>
        </w:rPr>
        <w:t xml:space="preserve"> DC</w:t>
      </w:r>
      <w:r>
        <w:rPr>
          <w:sz w:val="20"/>
          <w:szCs w:val="20"/>
          <w:color w:val="auto"/>
        </w:rPr>
        <w:tab/>
      </w:r>
      <w:r>
        <w:rPr>
          <w:rFonts w:ascii="Arial" w:cs="Arial" w:eastAsia="Arial" w:hAnsi="Arial"/>
          <w:sz w:val="14"/>
          <w:szCs w:val="14"/>
          <w:color w:val="auto"/>
        </w:rPr>
        <w:t>WILMINGTON</w:t>
      </w:r>
      <w:r>
        <w:rPr>
          <w:rFonts w:ascii="Arial" w:cs="Arial" w:eastAsia="Arial" w:hAnsi="Arial"/>
          <w:sz w:val="17"/>
          <w:szCs w:val="17"/>
          <w:color w:val="auto"/>
        </w:rPr>
        <w:t>,</w:t>
      </w:r>
      <w:r>
        <w:rPr>
          <w:rFonts w:ascii="Arial" w:cs="Arial" w:eastAsia="Arial" w:hAnsi="Arial"/>
          <w:sz w:val="14"/>
          <w:szCs w:val="14"/>
          <w:color w:val="auto"/>
        </w:rPr>
        <w:t xml:space="preserve"> DE</w:t>
      </w:r>
    </w:p>
    <w:p>
      <w:pPr>
        <w:sectPr>
          <w:pgSz w:w="11900" w:h="16838" w:orient="portrait"/>
          <w:cols w:equalWidth="0" w:num="1">
            <w:col w:w="11420"/>
          </w:cols>
          <w:pgMar w:left="240" w:top="121"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929765"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40030"/>
                    </a:xfrm>
                    <a:prstGeom prst="rect">
                      <a:avLst/>
                    </a:prstGeom>
                    <a:noFill/>
                  </pic:spPr>
                </pic:pic>
              </a:graphicData>
            </a:graphic>
          </wp:anchor>
        </w:drawing>
        <w:t>Zscaler,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320"/>
          </w:cols>
          <w:pgMar w:left="240" w:top="868"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ZSCALER,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FY2018 EMPLOYEE STOCK PURCHASE PLAN</w:t>
      </w:r>
    </w:p>
    <w:p>
      <w:pPr>
        <w:spacing w:after="0" w:line="229" w:lineRule="exact"/>
        <w:rPr>
          <w:sz w:val="20"/>
          <w:szCs w:val="20"/>
          <w:color w:val="auto"/>
        </w:rPr>
      </w:pPr>
    </w:p>
    <w:p>
      <w:pPr>
        <w:ind w:right="20" w:firstLine="464"/>
        <w:spacing w:after="0" w:line="271" w:lineRule="auto"/>
        <w:tabs>
          <w:tab w:leader="none" w:pos="636"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w:t>
      </w:r>
      <w:r>
        <w:rPr>
          <w:rFonts w:ascii="Arial" w:cs="Arial" w:eastAsia="Arial" w:hAnsi="Arial"/>
          <w:sz w:val="17"/>
          <w:szCs w:val="17"/>
          <w:u w:val="single" w:color="auto"/>
          <w:color w:val="auto"/>
        </w:rPr>
        <w:t>423 Component</w:t>
      </w:r>
      <w:r>
        <w:rPr>
          <w:rFonts w:ascii="Arial" w:cs="Arial" w:eastAsia="Arial" w:hAnsi="Arial"/>
          <w:sz w:val="17"/>
          <w:szCs w:val="17"/>
          <w:color w:val="auto"/>
        </w:rPr>
        <w:t>”) and a component that is not intended to qualify as an “employee stock purchase plan” under Section 423 of the Code (the “</w:t>
      </w:r>
      <w:r>
        <w:rPr>
          <w:rFonts w:ascii="Arial" w:cs="Arial" w:eastAsia="Arial" w:hAnsi="Arial"/>
          <w:sz w:val="17"/>
          <w:szCs w:val="17"/>
          <w:u w:val="single" w:color="auto"/>
          <w:color w:val="auto"/>
        </w:rPr>
        <w:t>Non-423 Component</w:t>
      </w:r>
      <w:r>
        <w:rPr>
          <w:rFonts w:ascii="Arial" w:cs="Arial" w:eastAsia="Arial" w:hAnsi="Arial"/>
          <w:sz w:val="17"/>
          <w:szCs w:val="17"/>
          <w:color w:val="auto"/>
        </w:rPr>
        <w: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Committee designated by the Board to administer the Plan pursuant to Section 14.</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a Subsidiary, in which the Company has an equity or other ownership interest.</w:t>
      </w:r>
    </w:p>
    <w:p>
      <w:pPr>
        <w:spacing w:after="0" w:line="225" w:lineRule="exact"/>
        <w:rPr>
          <w:rFonts w:ascii="Arial" w:cs="Arial" w:eastAsia="Arial" w:hAnsi="Arial"/>
          <w:sz w:val="18"/>
          <w:szCs w:val="18"/>
          <w:color w:val="auto"/>
        </w:rPr>
      </w:pPr>
    </w:p>
    <w:p>
      <w:pPr>
        <w:ind w:right="20" w:firstLine="921"/>
        <w:spacing w:after="0" w:line="264" w:lineRule="auto"/>
        <w:tabs>
          <w:tab w:leader="none" w:pos="115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ind w:right="20" w:firstLine="1492"/>
        <w:spacing w:after="0" w:line="288" w:lineRule="auto"/>
        <w:tabs>
          <w:tab w:leader="none" w:pos="1698" w:val="left"/>
        </w:tabs>
        <w:numPr>
          <w:ilvl w:val="2"/>
          <w:numId w:val="135"/>
        </w:numPr>
        <w:rPr>
          <w:rFonts w:ascii="Arial" w:cs="Arial" w:eastAsia="Arial" w:hAnsi="Arial"/>
          <w:sz w:val="16"/>
          <w:szCs w:val="16"/>
          <w:color w:val="auto"/>
        </w:rPr>
      </w:pPr>
      <w:r>
        <w:rPr>
          <w:rFonts w:ascii="Arial" w:cs="Arial" w:eastAsia="Arial" w:hAnsi="Arial"/>
          <w:sz w:val="16"/>
          <w:szCs w:val="16"/>
          <w:color w:val="auto"/>
        </w:rPr>
        <w:t>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ectPr>
          <w:pgSz w:w="11900" w:h="16838" w:orient="portrait"/>
          <w:cols w:equalWidth="0" w:num="1">
            <w:col w:w="11420"/>
          </w:cols>
          <w:pgMar w:left="240" w:top="121" w:right="239" w:bottom="1440" w:gutter="0" w:footer="0" w:header="0"/>
        </w:sectPr>
      </w:pPr>
    </w:p>
    <w:bookmarkStart w:id="225" w:name="page226"/>
    <w:bookmarkEnd w:id="225"/>
    <w:p>
      <w:pPr>
        <w:ind w:right="100" w:firstLine="1492"/>
        <w:spacing w:after="0" w:line="259" w:lineRule="auto"/>
        <w:tabs>
          <w:tab w:leader="none" w:pos="174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6" w:lineRule="exact"/>
        <w:rPr>
          <w:rFonts w:ascii="Arial" w:cs="Arial" w:eastAsia="Arial" w:hAnsi="Arial"/>
          <w:sz w:val="18"/>
          <w:szCs w:val="18"/>
          <w:color w:val="auto"/>
        </w:rPr>
      </w:pPr>
    </w:p>
    <w:p>
      <w:pPr>
        <w:ind w:firstLine="1492"/>
        <w:spacing w:after="0" w:line="285" w:lineRule="auto"/>
        <w:tabs>
          <w:tab w:leader="none" w:pos="17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w:t>
      </w:r>
    </w:p>
    <w:p>
      <w:pPr>
        <w:spacing w:after="0" w:line="2" w:lineRule="exact"/>
        <w:rPr>
          <w:rFonts w:ascii="Arial" w:cs="Arial" w:eastAsia="Arial" w:hAnsi="Arial"/>
          <w:sz w:val="16"/>
          <w:szCs w:val="16"/>
          <w:color w:val="auto"/>
        </w:rPr>
      </w:pPr>
    </w:p>
    <w:p>
      <w:pPr>
        <w:ind w:right="60" w:firstLine="8"/>
        <w:spacing w:after="0" w:line="281" w:lineRule="auto"/>
        <w:tabs>
          <w:tab w:leader="none" w:pos="28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w:t>
      </w:r>
    </w:p>
    <w:p>
      <w:pPr>
        <w:spacing w:after="0" w:line="2" w:lineRule="exact"/>
        <w:rPr>
          <w:rFonts w:ascii="Arial" w:cs="Arial" w:eastAsia="Arial" w:hAnsi="Arial"/>
          <w:sz w:val="16"/>
          <w:szCs w:val="16"/>
          <w:color w:val="auto"/>
        </w:rPr>
      </w:pPr>
    </w:p>
    <w:p>
      <w:pPr>
        <w:ind w:right="580"/>
        <w:spacing w:after="0" w:line="261" w:lineRule="auto"/>
        <w:rPr>
          <w:rFonts w:ascii="Arial" w:cs="Arial" w:eastAsia="Arial" w:hAnsi="Arial"/>
          <w:sz w:val="16"/>
          <w:szCs w:val="16"/>
          <w:color w:val="auto"/>
        </w:rPr>
      </w:pPr>
      <w:r>
        <w:rPr>
          <w:rFonts w:ascii="Arial" w:cs="Arial" w:eastAsia="Arial" w:hAnsi="Arial"/>
          <w:sz w:val="18"/>
          <w:szCs w:val="18"/>
          <w:color w:val="auto"/>
        </w:rPr>
        <w:t>(3). For purposes of this subsection, gross fair market value means the value of the assets of the Company, or the value of the assets being disposed of, determined without regard to any liabilities associated with such assets.</w:t>
      </w:r>
    </w:p>
    <w:p>
      <w:pPr>
        <w:spacing w:after="0" w:line="184"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U.S. Internal Revenue Service guidance that has been promulgated or may be promulgated thereunder from time to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26" w:name="page227"/>
    <w:bookmarkEnd w:id="226"/>
    <w:p>
      <w:pPr>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firstLine="921"/>
        <w:spacing w:after="0" w:line="264" w:lineRule="auto"/>
        <w:tabs>
          <w:tab w:leader="none" w:pos="11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Zscaler, Inc., a Delaware corporation, or any successor thereto.</w:t>
      </w:r>
    </w:p>
    <w:p>
      <w:pPr>
        <w:spacing w:after="0" w:line="225" w:lineRule="exact"/>
        <w:rPr>
          <w:rFonts w:ascii="Arial" w:cs="Arial" w:eastAsia="Arial" w:hAnsi="Arial"/>
          <w:sz w:val="18"/>
          <w:szCs w:val="18"/>
          <w:color w:val="auto"/>
        </w:rPr>
      </w:pPr>
    </w:p>
    <w:p>
      <w:pPr>
        <w:ind w:right="180" w:firstLine="921"/>
        <w:spacing w:after="0" w:line="259" w:lineRule="auto"/>
        <w:tabs>
          <w:tab w:leader="none" w:pos="11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includes an Eligible Employee’s base straight time gross earnings plus incentive compensation (including bonus and commissions).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186"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rFonts w:ascii="Arial" w:cs="Arial" w:eastAsia="Arial" w:hAnsi="Arial"/>
          <w:sz w:val="18"/>
          <w:szCs w:val="18"/>
          <w:color w:val="auto"/>
        </w:rPr>
      </w:pPr>
    </w:p>
    <w:p>
      <w:pPr>
        <w:ind w:right="60" w:firstLine="921"/>
        <w:spacing w:after="0" w:line="259" w:lineRule="auto"/>
        <w:tabs>
          <w:tab w:leader="none" w:pos="11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86" w:lineRule="exact"/>
        <w:rPr>
          <w:rFonts w:ascii="Arial" w:cs="Arial" w:eastAsia="Arial" w:hAnsi="Arial"/>
          <w:sz w:val="18"/>
          <w:szCs w:val="18"/>
          <w:color w:val="auto"/>
        </w:rPr>
      </w:pPr>
    </w:p>
    <w:p>
      <w:pPr>
        <w:ind w:left="1220" w:hanging="299"/>
        <w:spacing w:after="0"/>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227" w:name="page228"/>
    <w:bookmarkEnd w:id="227"/>
    <w:p>
      <w:pPr>
        <w:ind w:left="-921" w:firstLine="921"/>
        <w:spacing w:after="0" w:line="285" w:lineRule="auto"/>
        <w:tabs>
          <w:tab w:leader="none" w:pos="2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Eligible Employees are participating in that Offering. Each exclusion will be applied with respect to an Offering in a manner complying with U.S. Treasury Regulation Section 1.423-2(e)(2)(ii).</w:t>
      </w:r>
    </w:p>
    <w:p>
      <w:pPr>
        <w:spacing w:after="0" w:line="175" w:lineRule="exact"/>
        <w:rPr>
          <w:rFonts w:ascii="Arial" w:cs="Arial" w:eastAsia="Arial" w:hAnsi="Arial"/>
          <w:sz w:val="16"/>
          <w:szCs w:val="16"/>
          <w:color w:val="auto"/>
        </w:rPr>
      </w:pPr>
    </w:p>
    <w:p>
      <w:pPr>
        <w:ind w:left="259" w:hanging="259"/>
        <w:spacing w:after="0"/>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an Offering Period.</w:t>
      </w:r>
    </w:p>
    <w:p>
      <w:pPr>
        <w:spacing w:after="0" w:line="225" w:lineRule="exact"/>
        <w:rPr>
          <w:rFonts w:ascii="Arial" w:cs="Arial" w:eastAsia="Arial" w:hAnsi="Arial"/>
          <w:sz w:val="18"/>
          <w:szCs w:val="18"/>
          <w:color w:val="auto"/>
        </w:rPr>
      </w:pPr>
    </w:p>
    <w:p>
      <w:pPr>
        <w:ind w:left="259" w:hanging="259"/>
        <w:spacing w:after="0"/>
        <w:tabs>
          <w:tab w:leader="none" w:pos="25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including the rules and regulations promulgated thereunder.</w:t>
      </w:r>
    </w:p>
    <w:p>
      <w:pPr>
        <w:spacing w:after="0" w:line="248" w:lineRule="exact"/>
        <w:rPr>
          <w:rFonts w:ascii="Arial" w:cs="Arial" w:eastAsia="Arial" w:hAnsi="Arial"/>
          <w:sz w:val="16"/>
          <w:szCs w:val="16"/>
          <w:color w:val="auto"/>
        </w:rPr>
      </w:pPr>
    </w:p>
    <w:p>
      <w:pPr>
        <w:ind w:left="-921" w:right="180" w:firstLine="921"/>
        <w:spacing w:after="0" w:line="277" w:lineRule="auto"/>
        <w:tabs>
          <w:tab w:leader="none" w:pos="21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first Trading Day on or after June 15 and December 15 of each Purchase Period. Notwithstanding the foregoing, the first Exercise Date under the Plan will be December 17, 2018.</w:t>
      </w:r>
    </w:p>
    <w:p>
      <w:pPr>
        <w:spacing w:after="0" w:line="170" w:lineRule="exact"/>
        <w:rPr>
          <w:rFonts w:ascii="Arial" w:cs="Arial" w:eastAsia="Arial" w:hAnsi="Arial"/>
          <w:sz w:val="18"/>
          <w:szCs w:val="18"/>
          <w:color w:val="auto"/>
        </w:rPr>
      </w:pPr>
    </w:p>
    <w:p>
      <w:pPr>
        <w:ind w:left="239" w:hanging="239"/>
        <w:spacing w:after="0"/>
        <w:tabs>
          <w:tab w:leader="none" w:pos="23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a share of Common Stock determined as follows:</w:t>
      </w:r>
    </w:p>
    <w:p>
      <w:pPr>
        <w:spacing w:after="0" w:line="117" w:lineRule="exact"/>
        <w:rPr>
          <w:rFonts w:ascii="Arial" w:cs="Arial" w:eastAsia="Arial" w:hAnsi="Arial"/>
          <w:sz w:val="18"/>
          <w:szCs w:val="18"/>
          <w:color w:val="auto"/>
        </w:rPr>
      </w:pPr>
    </w:p>
    <w:p>
      <w:pPr>
        <w:ind w:left="-921" w:right="200" w:firstLine="1492"/>
        <w:spacing w:after="0" w:line="277" w:lineRule="auto"/>
        <w:tabs>
          <w:tab w:leader="none" w:pos="7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purposes of the Enrollment Date of the first Offering Period under the Plan, the Fair Market Value will be the initial price to the public as set forth in the final prospectus included within the Registration Statement.</w:t>
      </w:r>
    </w:p>
    <w:p>
      <w:pPr>
        <w:spacing w:after="0" w:line="102" w:lineRule="exact"/>
        <w:rPr>
          <w:rFonts w:ascii="Arial" w:cs="Arial" w:eastAsia="Arial" w:hAnsi="Arial"/>
          <w:sz w:val="18"/>
          <w:szCs w:val="18"/>
          <w:color w:val="auto"/>
        </w:rPr>
      </w:pPr>
    </w:p>
    <w:p>
      <w:pPr>
        <w:ind w:left="4739" w:hanging="96"/>
        <w:spacing w:after="0"/>
        <w:tabs>
          <w:tab w:leader="none" w:pos="4739" w:val="left"/>
        </w:tabs>
        <w:numPr>
          <w:ilvl w:val="2"/>
          <w:numId w:val="13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59"/>
          </w:cols>
          <w:pgMar w:left="1161" w:top="274" w:right="279" w:bottom="1440" w:gutter="0" w:footer="0" w:header="0"/>
        </w:sectPr>
      </w:pPr>
    </w:p>
    <w:bookmarkStart w:id="228" w:name="page229"/>
    <w:bookmarkEnd w:id="228"/>
    <w:p>
      <w:pPr>
        <w:ind w:right="40" w:firstLine="1492"/>
        <w:spacing w:after="0" w:line="272" w:lineRule="auto"/>
        <w:tabs>
          <w:tab w:leader="none" w:pos="1748"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other purposes,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The Wall Street Journal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177" w:lineRule="exact"/>
        <w:rPr>
          <w:rFonts w:ascii="Arial" w:cs="Arial" w:eastAsia="Arial" w:hAnsi="Arial"/>
          <w:sz w:val="17"/>
          <w:szCs w:val="17"/>
          <w:color w:val="auto"/>
        </w:rPr>
      </w:pPr>
    </w:p>
    <w:p>
      <w:pPr>
        <w:ind w:left="1800" w:hanging="308"/>
        <w:spacing w:after="0"/>
        <w:tabs>
          <w:tab w:leader="none" w:pos="18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70" w:lineRule="exact"/>
        <w:rPr>
          <w:sz w:val="20"/>
          <w:szCs w:val="20"/>
          <w:color w:val="auto"/>
        </w:rPr>
      </w:pPr>
    </w:p>
    <w:p>
      <w:pPr>
        <w:ind w:left="1140" w:hanging="219"/>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225" w:lineRule="exact"/>
        <w:rPr>
          <w:rFonts w:ascii="Arial" w:cs="Arial" w:eastAsia="Arial" w:hAnsi="Arial"/>
          <w:sz w:val="18"/>
          <w:szCs w:val="18"/>
          <w:color w:val="auto"/>
        </w:rPr>
      </w:pPr>
    </w:p>
    <w:p>
      <w:pPr>
        <w:ind w:right="120" w:firstLine="921"/>
        <w:spacing w:after="0" w:line="297" w:lineRule="auto"/>
        <w:tabs>
          <w:tab w:leader="none" w:pos="116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58" w:lineRule="exact"/>
        <w:rPr>
          <w:rFonts w:ascii="Arial" w:cs="Arial" w:eastAsia="Arial" w:hAnsi="Arial"/>
          <w:sz w:val="16"/>
          <w:szCs w:val="16"/>
          <w:color w:val="auto"/>
        </w:rPr>
      </w:pPr>
    </w:p>
    <w:p>
      <w:pPr>
        <w:ind w:firstLine="921"/>
        <w:spacing w:after="0" w:line="293" w:lineRule="auto"/>
        <w:tabs>
          <w:tab w:leader="none" w:pos="120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Periods</w:t>
      </w:r>
      <w:r>
        <w:rPr>
          <w:rFonts w:ascii="Arial" w:cs="Arial" w:eastAsia="Arial" w:hAnsi="Arial"/>
          <w:sz w:val="16"/>
          <w:szCs w:val="16"/>
          <w:color w:val="auto"/>
        </w:rPr>
        <w:t>” means the periods of approximately twenty-four (24) months during which an option granted pursuant to the Plan may be exercised, commencing on the first Trading Day on or after June 15 and December 15 of each year and terminating on the first Trading Day on or after December 15 and June 15, approximately twenty-four (24) months later; provided, however, that the first Offering Period under the Plan will commence with the first Trading Day on or after the date on which the Securities and Exchange Commission declares the Company’s Registration Statement effective and will end on the last Trading Day on or after June 15, 2020 (subject to Section 29), and provided, further, that the second Offering Period under the Plan will commence on the first Trading Day on or after June 15, 2018. The duration and timing of Offering Periods may be changed pursuant to Sections 4, 19 and 29.</w:t>
      </w:r>
    </w:p>
    <w:p>
      <w:pPr>
        <w:spacing w:after="0" w:line="164" w:lineRule="exact"/>
        <w:rPr>
          <w:rFonts w:ascii="Arial" w:cs="Arial" w:eastAsia="Arial" w:hAnsi="Arial"/>
          <w:sz w:val="16"/>
          <w:szCs w:val="16"/>
          <w:color w:val="auto"/>
        </w:rPr>
      </w:pPr>
    </w:p>
    <w:p>
      <w:pPr>
        <w:ind w:left="1180" w:hanging="259"/>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229" w:name="page230"/>
    <w:bookmarkEnd w:id="229"/>
    <w:p>
      <w:pPr>
        <w:ind w:left="716" w:hanging="259"/>
        <w:spacing w:after="0"/>
        <w:tabs>
          <w:tab w:leader="none" w:pos="71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participates in the Plan.</w:t>
      </w:r>
    </w:p>
    <w:p>
      <w:pPr>
        <w:spacing w:after="0" w:line="225" w:lineRule="exact"/>
        <w:rPr>
          <w:rFonts w:ascii="Arial" w:cs="Arial" w:eastAsia="Arial" w:hAnsi="Arial"/>
          <w:sz w:val="18"/>
          <w:szCs w:val="18"/>
          <w:color w:val="auto"/>
        </w:rPr>
      </w:pPr>
    </w:p>
    <w:p>
      <w:pPr>
        <w:ind w:left="696" w:hanging="239"/>
        <w:spacing w:after="0"/>
        <w:tabs>
          <w:tab w:leader="none" w:pos="6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Zscaler, Inc. FY2018 Employee Stock Purchase Plan.</w:t>
      </w:r>
    </w:p>
    <w:p>
      <w:pPr>
        <w:spacing w:after="0" w:line="225" w:lineRule="exact"/>
        <w:rPr>
          <w:sz w:val="20"/>
          <w:szCs w:val="20"/>
          <w:color w:val="auto"/>
        </w:rPr>
      </w:pPr>
    </w:p>
    <w:p>
      <w:pPr>
        <w:ind w:left="-464" w:right="20" w:firstLine="921"/>
        <w:spacing w:after="0" w:line="308" w:lineRule="auto"/>
        <w:tabs>
          <w:tab w:leader="none" w:pos="77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Period</w:t>
      </w:r>
      <w:r>
        <w:rPr>
          <w:rFonts w:ascii="Arial" w:cs="Arial" w:eastAsia="Arial" w:hAnsi="Arial"/>
          <w:sz w:val="17"/>
          <w:szCs w:val="17"/>
          <w:color w:val="auto"/>
        </w:rPr>
        <w:t>” means the approximately 6-month period commencing after one Exercise Date and ending with the next Exercise Date, except that the first Purchase Period of any Offering Period will commence on the Enrollment Date and end with the next Exercise Date.</w:t>
      </w:r>
    </w:p>
    <w:p>
      <w:pPr>
        <w:spacing w:after="0" w:line="146" w:lineRule="exact"/>
        <w:rPr>
          <w:rFonts w:ascii="Arial" w:cs="Arial" w:eastAsia="Arial" w:hAnsi="Arial"/>
          <w:sz w:val="17"/>
          <w:szCs w:val="17"/>
          <w:color w:val="auto"/>
        </w:rPr>
      </w:pPr>
    </w:p>
    <w:p>
      <w:pPr>
        <w:ind w:left="-464" w:firstLine="921"/>
        <w:spacing w:after="0" w:line="259" w:lineRule="auto"/>
        <w:tabs>
          <w:tab w:leader="none" w:pos="7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eighty-five percent (85%) of the Fair Market Value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19.</w:t>
      </w:r>
    </w:p>
    <w:p>
      <w:pPr>
        <w:spacing w:after="0" w:line="186" w:lineRule="exact"/>
        <w:rPr>
          <w:rFonts w:ascii="Arial" w:cs="Arial" w:eastAsia="Arial" w:hAnsi="Arial"/>
          <w:sz w:val="18"/>
          <w:szCs w:val="18"/>
          <w:color w:val="auto"/>
        </w:rPr>
      </w:pPr>
    </w:p>
    <w:p>
      <w:pPr>
        <w:ind w:left="776" w:hanging="319"/>
        <w:spacing w:after="0"/>
        <w:tabs>
          <w:tab w:leader="none" w:pos="77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Registration Statement.</w:t>
      </w:r>
    </w:p>
    <w:p>
      <w:pPr>
        <w:spacing w:after="0" w:line="225" w:lineRule="exact"/>
        <w:rPr>
          <w:rFonts w:ascii="Arial" w:cs="Arial" w:eastAsia="Arial" w:hAnsi="Arial"/>
          <w:sz w:val="18"/>
          <w:szCs w:val="18"/>
          <w:color w:val="auto"/>
        </w:rPr>
      </w:pPr>
    </w:p>
    <w:p>
      <w:pPr>
        <w:ind w:left="-464" w:right="60" w:firstLine="921"/>
        <w:spacing w:after="0" w:line="277" w:lineRule="auto"/>
        <w:tabs>
          <w:tab w:leader="none" w:pos="7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on Form S-1 filed with the Securities and Exchange Commission for the initial public offering of the Common Stock.</w:t>
      </w:r>
    </w:p>
    <w:p>
      <w:pPr>
        <w:spacing w:after="0" w:line="170" w:lineRule="exact"/>
        <w:rPr>
          <w:rFonts w:ascii="Arial" w:cs="Arial" w:eastAsia="Arial" w:hAnsi="Arial"/>
          <w:sz w:val="18"/>
          <w:szCs w:val="18"/>
          <w:color w:val="auto"/>
        </w:rPr>
      </w:pPr>
    </w:p>
    <w:p>
      <w:pPr>
        <w:ind w:left="776" w:hanging="319"/>
        <w:spacing w:after="0"/>
        <w:tabs>
          <w:tab w:leader="none" w:pos="77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736" w:hanging="279"/>
        <w:spacing w:after="0"/>
        <w:tabs>
          <w:tab w:leader="none" w:pos="73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national stock exchange upon which the Common Stock is listed is open for trading.</w:t>
      </w:r>
    </w:p>
    <w:p>
      <w:pPr>
        <w:spacing w:after="0" w:line="225" w:lineRule="exact"/>
        <w:rPr>
          <w:rFonts w:ascii="Arial" w:cs="Arial" w:eastAsia="Arial" w:hAnsi="Arial"/>
          <w:sz w:val="18"/>
          <w:szCs w:val="18"/>
          <w:color w:val="auto"/>
        </w:rPr>
      </w:pPr>
    </w:p>
    <w:p>
      <w:pPr>
        <w:ind w:left="-464" w:right="200" w:firstLine="921"/>
        <w:spacing w:after="0" w:line="264" w:lineRule="auto"/>
        <w:tabs>
          <w:tab w:leader="none" w:pos="7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will include such Treasury Regulation, the section of the Code under which such regulation was promulgated,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76" w:hanging="176"/>
        <w:spacing w:after="0"/>
        <w:tabs>
          <w:tab w:leader="none" w:pos="17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380" w:firstLine="921"/>
        <w:spacing w:after="0" w:line="277" w:lineRule="auto"/>
        <w:tabs>
          <w:tab w:leader="none" w:pos="69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First Offering Period</w:t>
      </w:r>
      <w:r>
        <w:rPr>
          <w:rFonts w:ascii="Arial" w:cs="Arial" w:eastAsia="Arial" w:hAnsi="Arial"/>
          <w:sz w:val="18"/>
          <w:szCs w:val="18"/>
          <w:color w:val="auto"/>
        </w:rPr>
        <w:t>. Any individual who is an Eligible Employee immediately prior to the first Offering Period will be automatically enrolled in the first Offering Period, subject to the requirements of Section 5.</w:t>
      </w:r>
    </w:p>
    <w:p>
      <w:pPr>
        <w:spacing w:after="0" w:line="170" w:lineRule="exact"/>
        <w:rPr>
          <w:rFonts w:ascii="Arial" w:cs="Arial" w:eastAsia="Arial" w:hAnsi="Arial"/>
          <w:sz w:val="18"/>
          <w:szCs w:val="18"/>
          <w:color w:val="auto"/>
        </w:rPr>
      </w:pPr>
    </w:p>
    <w:p>
      <w:pPr>
        <w:ind w:left="-464" w:right="20" w:firstLine="921"/>
        <w:spacing w:after="0" w:line="277" w:lineRule="auto"/>
        <w:tabs>
          <w:tab w:leader="none" w:pos="70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Subsequent Offering Periods</w:t>
      </w:r>
      <w:r>
        <w:rPr>
          <w:rFonts w:ascii="Arial" w:cs="Arial" w:eastAsia="Arial" w:hAnsi="Arial"/>
          <w:sz w:val="18"/>
          <w:szCs w:val="18"/>
          <w:color w:val="auto"/>
        </w:rPr>
        <w:t>. Any Eligible Employee on a given Enrollment Date subsequent to the first Offering Period will be eligible to participate in the Plan, subject to the requirements of Section 5.</w:t>
      </w:r>
    </w:p>
    <w:p>
      <w:pPr>
        <w:spacing w:after="0" w:line="102" w:lineRule="exact"/>
        <w:rPr>
          <w:rFonts w:ascii="Arial" w:cs="Arial" w:eastAsia="Arial" w:hAnsi="Arial"/>
          <w:sz w:val="18"/>
          <w:szCs w:val="18"/>
          <w:color w:val="auto"/>
        </w:rPr>
      </w:pPr>
    </w:p>
    <w:p>
      <w:pPr>
        <w:ind w:left="5196" w:hanging="96"/>
        <w:spacing w:after="0"/>
        <w:tabs>
          <w:tab w:leader="none" w:pos="519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756"/>
          </w:cols>
          <w:pgMar w:left="704" w:top="274" w:right="439" w:bottom="1440" w:gutter="0" w:footer="0" w:header="0"/>
        </w:sectPr>
      </w:pPr>
    </w:p>
    <w:bookmarkStart w:id="230" w:name="page231"/>
    <w:bookmarkEnd w:id="230"/>
    <w:p>
      <w:pPr>
        <w:ind w:left="-464" w:firstLine="921"/>
        <w:spacing w:after="0" w:line="255" w:lineRule="auto"/>
        <w:tabs>
          <w:tab w:leader="none" w:pos="693"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Non-U.S. Employees</w:t>
      </w:r>
      <w:r>
        <w:rPr>
          <w:rFonts w:ascii="Arial" w:cs="Arial" w:eastAsia="Arial" w:hAnsi="Arial"/>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spacing w:after="0" w:line="193" w:lineRule="exact"/>
        <w:rPr>
          <w:rFonts w:ascii="Arial" w:cs="Arial" w:eastAsia="Arial" w:hAnsi="Arial"/>
          <w:sz w:val="18"/>
          <w:szCs w:val="18"/>
          <w:color w:val="auto"/>
        </w:rPr>
      </w:pPr>
    </w:p>
    <w:p>
      <w:pPr>
        <w:ind w:left="-464" w:right="20" w:firstLine="921"/>
        <w:spacing w:after="0" w:line="290" w:lineRule="auto"/>
        <w:tabs>
          <w:tab w:leader="none" w:pos="703"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66" w:lineRule="exact"/>
        <w:rPr>
          <w:rFonts w:ascii="Arial" w:cs="Arial" w:eastAsia="Arial" w:hAnsi="Arial"/>
          <w:sz w:val="16"/>
          <w:szCs w:val="16"/>
          <w:color w:val="auto"/>
        </w:rPr>
      </w:pPr>
    </w:p>
    <w:p>
      <w:pPr>
        <w:ind w:left="-464" w:right="120" w:firstLine="464"/>
        <w:spacing w:after="0" w:line="293" w:lineRule="auto"/>
        <w:tabs>
          <w:tab w:leader="none" w:pos="172"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will be implemented by consecutive, overlapping Offering Periods with a new Offering Period commencing on the first Trading Day on or after June 15 and December 15 each year, or on such other dates as the Administrator will determine; provided, however, that the first Offering Period under the Plan will commence with the first Trading Day on or after the Registration Date, and provided, further, that the second Offering Period under the Plan will commence on June 15, 2018.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64" w:lineRule="exact"/>
        <w:rPr>
          <w:rFonts w:ascii="Arial" w:cs="Arial" w:eastAsia="Arial" w:hAnsi="Arial"/>
          <w:sz w:val="16"/>
          <w:szCs w:val="16"/>
          <w:color w:val="auto"/>
        </w:rPr>
      </w:pPr>
    </w:p>
    <w:p>
      <w:pPr>
        <w:ind w:left="176" w:hanging="176"/>
        <w:spacing w:after="0"/>
        <w:tabs>
          <w:tab w:leader="none" w:pos="17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20" w:firstLine="921"/>
        <w:spacing w:after="0" w:line="293" w:lineRule="auto"/>
        <w:tabs>
          <w:tab w:leader="none" w:pos="693"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First Offering Period</w:t>
      </w:r>
      <w:r>
        <w:rPr>
          <w:rFonts w:ascii="Arial" w:cs="Arial" w:eastAsia="Arial" w:hAnsi="Arial"/>
          <w:sz w:val="16"/>
          <w:szCs w:val="16"/>
          <w:color w:val="auto"/>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the Company’s designated plan administrator (i) no earlier than the effective date of the Form S-8 registration statement with respect to the issuance of Common Stock under this Plan and (ii) no later than ten (10) business days following the effective date of such S-8 registration statement or such date as the Administrator may determine (the “</w:t>
      </w:r>
      <w:r>
        <w:rPr>
          <w:rFonts w:ascii="Arial" w:cs="Arial" w:eastAsia="Arial" w:hAnsi="Arial"/>
          <w:sz w:val="16"/>
          <w:szCs w:val="16"/>
          <w:u w:val="single" w:color="auto"/>
          <w:color w:val="auto"/>
        </w:rPr>
        <w:t>Enrollment Window</w:t>
      </w:r>
      <w:r>
        <w:rPr>
          <w:rFonts w:ascii="Arial" w:cs="Arial" w:eastAsia="Arial" w:hAnsi="Arial"/>
          <w:sz w:val="16"/>
          <w:szCs w:val="16"/>
          <w:color w:val="auto"/>
        </w:rPr>
        <w:t>”). An Eligible Employee’s failure to submit the subscription agreement during the Enrollment Window will result in the automatic termination of such individual’s participation in the first Offering Period.</w:t>
      </w:r>
    </w:p>
    <w:p>
      <w:pPr>
        <w:spacing w:after="0" w:line="97" w:lineRule="exact"/>
        <w:rPr>
          <w:rFonts w:ascii="Arial" w:cs="Arial" w:eastAsia="Arial" w:hAnsi="Arial"/>
          <w:sz w:val="16"/>
          <w:szCs w:val="16"/>
          <w:color w:val="auto"/>
        </w:rPr>
      </w:pPr>
    </w:p>
    <w:p>
      <w:pPr>
        <w:ind w:left="5196" w:hanging="96"/>
        <w:spacing w:after="0"/>
        <w:tabs>
          <w:tab w:leader="none" w:pos="5196" w:val="left"/>
        </w:tabs>
        <w:numPr>
          <w:ilvl w:val="2"/>
          <w:numId w:val="14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36"/>
          </w:cols>
          <w:pgMar w:left="704" w:top="274" w:right="259" w:bottom="1440" w:gutter="0" w:footer="0" w:header="0"/>
        </w:sectPr>
      </w:pPr>
    </w:p>
    <w:bookmarkStart w:id="231" w:name="page232"/>
    <w:bookmarkEnd w:id="231"/>
    <w:p>
      <w:pPr>
        <w:ind w:left="-464" w:firstLine="921"/>
        <w:spacing w:after="0" w:line="259" w:lineRule="auto"/>
        <w:tabs>
          <w:tab w:leader="none" w:pos="703"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Offering Periods</w:t>
      </w:r>
      <w:r>
        <w:rPr>
          <w:rFonts w:ascii="Arial" w:cs="Arial" w:eastAsia="Arial" w:hAnsi="Arial"/>
          <w:sz w:val="18"/>
          <w:szCs w:val="18"/>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86" w:lineRule="exact"/>
        <w:rPr>
          <w:rFonts w:ascii="Arial" w:cs="Arial" w:eastAsia="Arial" w:hAnsi="Arial"/>
          <w:sz w:val="18"/>
          <w:szCs w:val="18"/>
          <w:color w:val="auto"/>
        </w:rPr>
      </w:pPr>
    </w:p>
    <w:p>
      <w:pPr>
        <w:ind w:left="176" w:hanging="176"/>
        <w:spacing w:after="0"/>
        <w:tabs>
          <w:tab w:leader="none" w:pos="17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40" w:firstLine="921"/>
        <w:spacing w:after="0" w:line="255" w:lineRule="auto"/>
        <w:tabs>
          <w:tab w:leader="none" w:pos="68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that he or she receives on the pay day (for illustrative purposes, should a pay day occur on an Exercise Date, a Participant will have any Contributions made on such day applied to his or her account under the then-current Purchase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89" w:lineRule="exact"/>
        <w:rPr>
          <w:rFonts w:ascii="Arial" w:cs="Arial" w:eastAsia="Arial" w:hAnsi="Arial"/>
          <w:sz w:val="18"/>
          <w:szCs w:val="18"/>
          <w:color w:val="auto"/>
        </w:rPr>
      </w:pPr>
    </w:p>
    <w:p>
      <w:pPr>
        <w:ind w:left="-464" w:right="40" w:firstLine="921"/>
        <w:spacing w:after="0" w:line="259" w:lineRule="auto"/>
        <w:tabs>
          <w:tab w:leader="none" w:pos="70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86" w:lineRule="exact"/>
        <w:rPr>
          <w:rFonts w:ascii="Arial" w:cs="Arial" w:eastAsia="Arial" w:hAnsi="Arial"/>
          <w:sz w:val="18"/>
          <w:szCs w:val="18"/>
          <w:color w:val="auto"/>
        </w:rPr>
      </w:pPr>
    </w:p>
    <w:p>
      <w:pPr>
        <w:ind w:left="-464" w:right="580" w:firstLine="921"/>
        <w:spacing w:after="0" w:line="277" w:lineRule="auto"/>
        <w:tabs>
          <w:tab w:leader="none" w:pos="69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02" w:lineRule="exact"/>
        <w:rPr>
          <w:rFonts w:ascii="Arial" w:cs="Arial" w:eastAsia="Arial" w:hAnsi="Arial"/>
          <w:sz w:val="18"/>
          <w:szCs w:val="18"/>
          <w:color w:val="auto"/>
        </w:rPr>
      </w:pPr>
    </w:p>
    <w:p>
      <w:pPr>
        <w:ind w:left="5196" w:hanging="96"/>
        <w:spacing w:after="0"/>
        <w:tabs>
          <w:tab w:leader="none" w:pos="5196" w:val="left"/>
        </w:tabs>
        <w:numPr>
          <w:ilvl w:val="2"/>
          <w:numId w:val="14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36"/>
          </w:cols>
          <w:pgMar w:left="704" w:top="274" w:right="259" w:bottom="1440" w:gutter="0" w:footer="0" w:header="0"/>
        </w:sectPr>
      </w:pPr>
    </w:p>
    <w:bookmarkStart w:id="232" w:name="page233"/>
    <w:bookmarkEnd w:id="232"/>
    <w:p>
      <w:pPr>
        <w:ind w:left="-921" w:right="120" w:firstLine="921"/>
        <w:spacing w:after="0" w:line="269" w:lineRule="auto"/>
        <w:tabs>
          <w:tab w:leader="none" w:pos="247" w:val="left"/>
        </w:tabs>
        <w:numPr>
          <w:ilvl w:val="0"/>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Participant may discontinue his or her participation in the Plan as provided under Section 10. Unless otherwise determined by the Administrator, during a Purchase Period, a Participant may not increase the rate of his or her Contributions and may only decrease the rate of his or her Contributions one (1) time. Any such decrease during a Purchase Period requires the Participant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an applicable Exercise Date.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amend the nature and/or number of Contribution rate changes that may be made by Participants during any Offering Period or Purchase Period and may establish other conditions or limitations as it deems appropriate for Plan administration. Any change in the rate of Contributions made pursuant to this Section 6(d) will be effective as of the first (1st) full payroll period following five (5) business days after the date on which the change is made by the Participant (unless the Administrator, in its sole discretion, elects to process a given change in payroll deduction rate more quickly).</w:t>
      </w:r>
    </w:p>
    <w:p>
      <w:pPr>
        <w:spacing w:after="0" w:line="179" w:lineRule="exact"/>
        <w:rPr>
          <w:rFonts w:ascii="Arial" w:cs="Arial" w:eastAsia="Arial" w:hAnsi="Arial"/>
          <w:sz w:val="17"/>
          <w:szCs w:val="17"/>
          <w:color w:val="auto"/>
        </w:rPr>
      </w:pPr>
    </w:p>
    <w:p>
      <w:pPr>
        <w:ind w:left="-921" w:right="80" w:firstLine="921"/>
        <w:spacing w:after="0" w:line="259" w:lineRule="auto"/>
        <w:tabs>
          <w:tab w:leader="none" w:pos="2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3(d),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86" w:lineRule="exact"/>
        <w:rPr>
          <w:rFonts w:ascii="Arial" w:cs="Arial" w:eastAsia="Arial" w:hAnsi="Arial"/>
          <w:sz w:val="18"/>
          <w:szCs w:val="18"/>
          <w:color w:val="auto"/>
        </w:rPr>
      </w:pPr>
    </w:p>
    <w:p>
      <w:pPr>
        <w:ind w:left="-921" w:right="440" w:firstLine="921"/>
        <w:spacing w:after="0" w:line="286" w:lineRule="auto"/>
        <w:tabs>
          <w:tab w:leader="none" w:pos="21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Notwithstanding any provisions to the contrary in the Plan, the Administrator may allow Participants to participate in the Plan via cash contributions instead of payroll deductions if (i) payroll deductions are not permitted under Applicable Laws, (ii) the Administrator determines that cash contributions are permissible under Section 423 of the Code; or (iii) the Participants are participating in the Non-423 Component.</w:t>
      </w:r>
    </w:p>
    <w:p>
      <w:pPr>
        <w:spacing w:after="0" w:line="165" w:lineRule="exact"/>
        <w:rPr>
          <w:rFonts w:ascii="Arial" w:cs="Arial" w:eastAsia="Arial" w:hAnsi="Arial"/>
          <w:sz w:val="17"/>
          <w:szCs w:val="17"/>
          <w:color w:val="auto"/>
        </w:rPr>
      </w:pPr>
    </w:p>
    <w:p>
      <w:pPr>
        <w:ind w:left="-921" w:firstLine="921"/>
        <w:spacing w:after="0" w:line="289" w:lineRule="auto"/>
        <w:tabs>
          <w:tab w:leader="none" w:pos="2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99" w:lineRule="exact"/>
        <w:rPr>
          <w:rFonts w:ascii="Arial" w:cs="Arial" w:eastAsia="Arial" w:hAnsi="Arial"/>
          <w:sz w:val="16"/>
          <w:szCs w:val="16"/>
          <w:color w:val="auto"/>
        </w:rPr>
      </w:pPr>
    </w:p>
    <w:p>
      <w:pPr>
        <w:ind w:left="4739" w:hanging="96"/>
        <w:spacing w:after="0"/>
        <w:tabs>
          <w:tab w:leader="none" w:pos="473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99"/>
          </w:cols>
          <w:pgMar w:left="1161" w:top="274" w:right="239" w:bottom="1440" w:gutter="0" w:footer="0" w:header="0"/>
        </w:sectPr>
      </w:pPr>
    </w:p>
    <w:bookmarkStart w:id="233" w:name="page234"/>
    <w:bookmarkEnd w:id="233"/>
    <w:p>
      <w:pPr>
        <w:ind w:left="-464" w:firstLine="464"/>
        <w:spacing w:after="0" w:line="269" w:lineRule="auto"/>
        <w:tabs>
          <w:tab w:leader="none" w:pos="172"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of Option</w:t>
      </w:r>
      <w:r>
        <w:rPr>
          <w:rFonts w:ascii="Arial" w:cs="Arial" w:eastAsia="Arial" w:hAnsi="Arial"/>
          <w:sz w:val="17"/>
          <w:szCs w:val="17"/>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3,000 shares of Common Stock (subject to any adjustment pursuant to Section 18)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10. The option will expire on the last day of the Offering Period.</w:t>
      </w:r>
    </w:p>
    <w:p>
      <w:pPr>
        <w:spacing w:after="0" w:line="182" w:lineRule="exact"/>
        <w:rPr>
          <w:rFonts w:ascii="Arial" w:cs="Arial" w:eastAsia="Arial" w:hAnsi="Arial"/>
          <w:sz w:val="17"/>
          <w:szCs w:val="17"/>
          <w:color w:val="auto"/>
        </w:rPr>
      </w:pPr>
    </w:p>
    <w:p>
      <w:pPr>
        <w:ind w:left="176" w:hanging="176"/>
        <w:spacing w:after="0"/>
        <w:tabs>
          <w:tab w:leader="none" w:pos="17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20" w:firstLine="921"/>
        <w:spacing w:after="0" w:line="255" w:lineRule="auto"/>
        <w:tabs>
          <w:tab w:leader="none" w:pos="6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Unless a Participant withdraws from the Plan as provided in Section 10,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as provided in Section 10. Any other funds left over in a Participant’s account after the Exercise Date will be returned to the Participant. During a Participant’s lifetime, a Participant’s option to purchase shares hereunder is exercisable only by him or her.</w:t>
      </w:r>
    </w:p>
    <w:p>
      <w:pPr>
        <w:spacing w:after="0" w:line="189" w:lineRule="exact"/>
        <w:rPr>
          <w:rFonts w:ascii="Arial" w:cs="Arial" w:eastAsia="Arial" w:hAnsi="Arial"/>
          <w:sz w:val="18"/>
          <w:szCs w:val="18"/>
          <w:color w:val="auto"/>
        </w:rPr>
      </w:pPr>
    </w:p>
    <w:p>
      <w:pPr>
        <w:ind w:left="-464" w:right="60" w:firstLine="921"/>
        <w:spacing w:after="0" w:line="287" w:lineRule="auto"/>
        <w:tabs>
          <w:tab w:leader="none" w:pos="70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05" w:lineRule="exact"/>
        <w:rPr>
          <w:rFonts w:ascii="Arial" w:cs="Arial" w:eastAsia="Arial" w:hAnsi="Arial"/>
          <w:sz w:val="16"/>
          <w:szCs w:val="16"/>
          <w:color w:val="auto"/>
        </w:rPr>
      </w:pPr>
    </w:p>
    <w:p>
      <w:pPr>
        <w:ind w:left="5156" w:hanging="101"/>
        <w:spacing w:after="0"/>
        <w:tabs>
          <w:tab w:leader="none" w:pos="515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36"/>
          </w:cols>
          <w:pgMar w:left="704" w:top="274" w:right="259" w:bottom="1440" w:gutter="0" w:footer="0" w:header="0"/>
        </w:sectPr>
      </w:pPr>
    </w:p>
    <w:bookmarkStart w:id="234" w:name="page235"/>
    <w:bookmarkEnd w:id="234"/>
    <w:p>
      <w:pPr>
        <w:ind w:left="-464" w:right="60" w:firstLine="464"/>
        <w:spacing w:after="0" w:line="254" w:lineRule="auto"/>
        <w:tabs>
          <w:tab w:leader="none" w:pos="17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w:t>
      </w:r>
      <w:r>
        <w:rPr>
          <w:rFonts w:ascii="Arial" w:cs="Arial" w:eastAsia="Arial" w:hAnsi="Arial"/>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92" w:lineRule="exact"/>
        <w:rPr>
          <w:rFonts w:ascii="Arial" w:cs="Arial" w:eastAsia="Arial" w:hAnsi="Arial"/>
          <w:sz w:val="18"/>
          <w:szCs w:val="18"/>
          <w:color w:val="auto"/>
        </w:rPr>
      </w:pPr>
    </w:p>
    <w:p>
      <w:pPr>
        <w:ind w:left="276" w:hanging="276"/>
        <w:spacing w:after="0"/>
        <w:tabs>
          <w:tab w:leader="none" w:pos="27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200" w:firstLine="921"/>
        <w:spacing w:after="0" w:line="291" w:lineRule="auto"/>
        <w:tabs>
          <w:tab w:leader="none" w:pos="69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67" w:lineRule="exact"/>
        <w:rPr>
          <w:rFonts w:ascii="Arial" w:cs="Arial" w:eastAsia="Arial" w:hAnsi="Arial"/>
          <w:sz w:val="16"/>
          <w:szCs w:val="16"/>
          <w:color w:val="auto"/>
        </w:rPr>
      </w:pPr>
    </w:p>
    <w:p>
      <w:pPr>
        <w:ind w:left="-464" w:right="20" w:firstLine="921"/>
        <w:spacing w:after="0" w:line="264" w:lineRule="auto"/>
        <w:tabs>
          <w:tab w:leader="none" w:pos="70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181" w:lineRule="exact"/>
        <w:rPr>
          <w:rFonts w:ascii="Arial" w:cs="Arial" w:eastAsia="Arial" w:hAnsi="Arial"/>
          <w:sz w:val="18"/>
          <w:szCs w:val="18"/>
          <w:color w:val="auto"/>
        </w:rPr>
      </w:pPr>
    </w:p>
    <w:p>
      <w:pPr>
        <w:ind w:left="-464" w:firstLine="464"/>
        <w:spacing w:after="0" w:line="286" w:lineRule="auto"/>
        <w:tabs>
          <w:tab w:leader="none" w:pos="255"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Termination and transfer of Employment</w:t>
      </w:r>
      <w:r>
        <w:rPr>
          <w:rFonts w:ascii="Arial" w:cs="Arial" w:eastAsia="Arial" w:hAnsi="Arial"/>
          <w:sz w:val="17"/>
          <w:szCs w:val="17"/>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and such Participant’s option will be automatically terminated.</w:t>
      </w:r>
    </w:p>
    <w:p>
      <w:pPr>
        <w:spacing w:after="0" w:line="97" w:lineRule="exact"/>
        <w:rPr>
          <w:rFonts w:ascii="Arial" w:cs="Arial" w:eastAsia="Arial" w:hAnsi="Arial"/>
          <w:sz w:val="17"/>
          <w:szCs w:val="17"/>
          <w:color w:val="auto"/>
        </w:rPr>
      </w:pPr>
    </w:p>
    <w:p>
      <w:pPr>
        <w:ind w:left="5156" w:hanging="98"/>
        <w:spacing w:after="0"/>
        <w:tabs>
          <w:tab w:leader="none" w:pos="5156" w:val="left"/>
        </w:tabs>
        <w:numPr>
          <w:ilvl w:val="2"/>
          <w:numId w:val="15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36"/>
          </w:cols>
          <w:pgMar w:left="704" w:top="274" w:right="259" w:bottom="1440" w:gutter="0" w:footer="0" w:header="0"/>
        </w:sectPr>
      </w:pPr>
    </w:p>
    <w:bookmarkStart w:id="235" w:name="page236"/>
    <w:bookmarkEnd w:id="235"/>
    <w:p>
      <w:pPr>
        <w:ind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provided by the Administrator, a Participant whose 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178" w:lineRule="exact"/>
        <w:rPr>
          <w:sz w:val="20"/>
          <w:szCs w:val="20"/>
          <w:color w:val="auto"/>
        </w:rPr>
      </w:pPr>
    </w:p>
    <w:p>
      <w:pPr>
        <w:ind w:right="160" w:firstLine="464"/>
        <w:spacing w:after="0" w:line="264" w:lineRule="auto"/>
        <w:tabs>
          <w:tab w:leader="none" w:pos="72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921"/>
        <w:spacing w:after="0" w:line="257" w:lineRule="auto"/>
        <w:tabs>
          <w:tab w:leader="none" w:pos="115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18 hereof, the maximum number of shares of Common Stock that will be made available for sale under the Plan will be 2,200,000 shares of Common Stock. The number of shares of Common Stock available for issuance under the Plan will be increased on the first day of each Fiscal Year beginning with the 2019 Fiscal Year equal to the least of (i) 2,200,000 shares of Common Stock, (ii) one percent (1%) of the outstanding shares of Common Stock on the last day of the immediately preceding Fiscal Year, or (iii) an amount determined by the Administrator.</w:t>
      </w:r>
    </w:p>
    <w:p>
      <w:pPr>
        <w:spacing w:after="0" w:line="188" w:lineRule="exact"/>
        <w:rPr>
          <w:rFonts w:ascii="Arial" w:cs="Arial" w:eastAsia="Arial" w:hAnsi="Arial"/>
          <w:sz w:val="18"/>
          <w:szCs w:val="18"/>
          <w:color w:val="auto"/>
        </w:rPr>
      </w:pPr>
    </w:p>
    <w:p>
      <w:pPr>
        <w:jc w:val="both"/>
        <w:ind w:right="260" w:firstLine="921"/>
        <w:spacing w:after="0" w:line="264" w:lineRule="auto"/>
        <w:tabs>
          <w:tab w:leader="none" w:pos="11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81" w:lineRule="exact"/>
        <w:rPr>
          <w:rFonts w:ascii="Arial" w:cs="Arial" w:eastAsia="Arial" w:hAnsi="Arial"/>
          <w:sz w:val="18"/>
          <w:szCs w:val="18"/>
          <w:color w:val="auto"/>
        </w:rPr>
      </w:pPr>
    </w:p>
    <w:p>
      <w:pPr>
        <w:ind w:firstLine="921"/>
        <w:spacing w:after="0" w:line="277" w:lineRule="auto"/>
        <w:tabs>
          <w:tab w:leader="none" w:pos="115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Shares of Common Stock to be delivered to a Participant under the Plan will be registered in the name of the Participant or in the name of the Participant and his or her spouse.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40"/>
          </w:cols>
          <w:pgMar w:left="240" w:top="274" w:right="319" w:bottom="1440" w:gutter="0" w:footer="0" w:header="0"/>
        </w:sectPr>
      </w:pPr>
    </w:p>
    <w:bookmarkStart w:id="236" w:name="page237"/>
    <w:bookmarkEnd w:id="236"/>
    <w:p>
      <w:pPr>
        <w:ind w:left="-464" w:firstLine="464"/>
        <w:spacing w:after="0" w:line="267" w:lineRule="auto"/>
        <w:tabs>
          <w:tab w:leader="none" w:pos="262"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w:t>
      </w:r>
      <w:r>
        <w:rPr>
          <w:rFonts w:ascii="Arial" w:cs="Arial" w:eastAsia="Arial" w:hAnsi="Arial"/>
          <w:sz w:val="17"/>
          <w:szCs w:val="17"/>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(including, without limitation, to adopt such rules, procedures, sub-plans, and appendices to the subscription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1" w:lineRule="exact"/>
        <w:rPr>
          <w:rFonts w:ascii="Arial" w:cs="Arial" w:eastAsia="Arial" w:hAnsi="Arial"/>
          <w:sz w:val="17"/>
          <w:szCs w:val="17"/>
          <w:color w:val="auto"/>
        </w:rPr>
      </w:pPr>
    </w:p>
    <w:p>
      <w:pPr>
        <w:ind w:left="-464" w:right="120" w:firstLine="464"/>
        <w:spacing w:after="0" w:line="279" w:lineRule="auto"/>
        <w:tabs>
          <w:tab w:leader="none" w:pos="262"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71" w:lineRule="exact"/>
        <w:rPr>
          <w:rFonts w:ascii="Arial" w:cs="Arial" w:eastAsia="Arial" w:hAnsi="Arial"/>
          <w:sz w:val="17"/>
          <w:szCs w:val="17"/>
          <w:color w:val="auto"/>
        </w:rPr>
      </w:pPr>
    </w:p>
    <w:p>
      <w:pPr>
        <w:ind w:left="-464" w:right="200" w:firstLine="464"/>
        <w:spacing w:after="0" w:line="302" w:lineRule="auto"/>
        <w:tabs>
          <w:tab w:leader="none" w:pos="26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54" w:lineRule="exact"/>
        <w:rPr>
          <w:rFonts w:ascii="Arial" w:cs="Arial" w:eastAsia="Arial" w:hAnsi="Arial"/>
          <w:sz w:val="16"/>
          <w:szCs w:val="16"/>
          <w:color w:val="auto"/>
        </w:rPr>
      </w:pPr>
    </w:p>
    <w:p>
      <w:pPr>
        <w:jc w:val="both"/>
        <w:ind w:left="-464" w:right="540" w:firstLine="464"/>
        <w:spacing w:after="0" w:line="264" w:lineRule="auto"/>
        <w:tabs>
          <w:tab w:leader="none" w:pos="26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13" w:lineRule="exact"/>
        <w:rPr>
          <w:rFonts w:ascii="Arial" w:cs="Arial" w:eastAsia="Arial" w:hAnsi="Arial"/>
          <w:sz w:val="18"/>
          <w:szCs w:val="18"/>
          <w:color w:val="auto"/>
        </w:rPr>
      </w:pPr>
    </w:p>
    <w:p>
      <w:pPr>
        <w:ind w:left="5156" w:hanging="101"/>
        <w:spacing w:after="0"/>
        <w:tabs>
          <w:tab w:leader="none" w:pos="515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56"/>
          </w:cols>
          <w:pgMar w:left="704" w:top="274" w:right="239" w:bottom="1440" w:gutter="0" w:footer="0" w:header="0"/>
        </w:sectPr>
      </w:pPr>
    </w:p>
    <w:bookmarkStart w:id="237" w:name="page238"/>
    <w:bookmarkEnd w:id="237"/>
    <w:p>
      <w:pPr>
        <w:ind w:left="276" w:hanging="276"/>
        <w:spacing w:after="0"/>
        <w:tabs>
          <w:tab w:leader="none" w:pos="27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Dissolution,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180" w:firstLine="921"/>
        <w:spacing w:after="0" w:line="293" w:lineRule="auto"/>
        <w:tabs>
          <w:tab w:leader="none" w:pos="693"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64" w:lineRule="exact"/>
        <w:rPr>
          <w:rFonts w:ascii="Arial" w:cs="Arial" w:eastAsia="Arial" w:hAnsi="Arial"/>
          <w:sz w:val="16"/>
          <w:szCs w:val="16"/>
          <w:color w:val="auto"/>
        </w:rPr>
      </w:pPr>
    </w:p>
    <w:p>
      <w:pPr>
        <w:ind w:left="-464" w:right="100" w:firstLine="921"/>
        <w:spacing w:after="0" w:line="273" w:lineRule="auto"/>
        <w:tabs>
          <w:tab w:leader="none" w:pos="703"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8" w:lineRule="exact"/>
        <w:rPr>
          <w:rFonts w:ascii="Arial" w:cs="Arial" w:eastAsia="Arial" w:hAnsi="Arial"/>
          <w:sz w:val="17"/>
          <w:szCs w:val="17"/>
          <w:color w:val="auto"/>
        </w:rPr>
      </w:pPr>
    </w:p>
    <w:p>
      <w:pPr>
        <w:ind w:left="-464" w:right="20" w:firstLine="921"/>
        <w:spacing w:after="0" w:line="272" w:lineRule="auto"/>
        <w:tabs>
          <w:tab w:leader="none" w:pos="693"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7" w:lineRule="exact"/>
        <w:rPr>
          <w:rFonts w:ascii="Arial" w:cs="Arial" w:eastAsia="Arial" w:hAnsi="Arial"/>
          <w:sz w:val="17"/>
          <w:szCs w:val="17"/>
          <w:color w:val="auto"/>
        </w:rPr>
      </w:pPr>
    </w:p>
    <w:p>
      <w:pPr>
        <w:ind w:left="276" w:hanging="276"/>
        <w:spacing w:after="0"/>
        <w:tabs>
          <w:tab w:leader="none" w:pos="27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firstLine="921"/>
        <w:spacing w:after="0" w:line="255" w:lineRule="auto"/>
        <w:tabs>
          <w:tab w:leader="none" w:pos="69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21" w:lineRule="exact"/>
        <w:rPr>
          <w:rFonts w:ascii="Arial" w:cs="Arial" w:eastAsia="Arial" w:hAnsi="Arial"/>
          <w:sz w:val="18"/>
          <w:szCs w:val="18"/>
          <w:color w:val="auto"/>
        </w:rPr>
      </w:pPr>
    </w:p>
    <w:p>
      <w:pPr>
        <w:ind w:left="5156" w:hanging="101"/>
        <w:spacing w:after="0"/>
        <w:tabs>
          <w:tab w:leader="none" w:pos="5156" w:val="left"/>
        </w:tabs>
        <w:numPr>
          <w:ilvl w:val="2"/>
          <w:numId w:val="154"/>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16"/>
          </w:cols>
          <w:pgMar w:left="704" w:top="274" w:right="279" w:bottom="1440" w:gutter="0" w:footer="0" w:header="0"/>
        </w:sectPr>
      </w:pPr>
    </w:p>
    <w:bookmarkStart w:id="238" w:name="page239"/>
    <w:bookmarkEnd w:id="238"/>
    <w:p>
      <w:pPr>
        <w:ind w:firstLine="921"/>
        <w:spacing w:after="0" w:line="255"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9" w:lineRule="exact"/>
        <w:rPr>
          <w:rFonts w:ascii="Arial" w:cs="Arial" w:eastAsia="Arial" w:hAnsi="Arial"/>
          <w:sz w:val="18"/>
          <w:szCs w:val="18"/>
          <w:color w:val="auto"/>
        </w:rPr>
      </w:pPr>
    </w:p>
    <w:p>
      <w:pPr>
        <w:ind w:firstLine="921"/>
        <w:spacing w:after="0" w:line="264" w:lineRule="auto"/>
        <w:tabs>
          <w:tab w:leader="none" w:pos="115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73" w:lineRule="exact"/>
        <w:rPr>
          <w:rFonts w:ascii="Arial" w:cs="Arial" w:eastAsia="Arial" w:hAnsi="Arial"/>
          <w:sz w:val="18"/>
          <w:szCs w:val="18"/>
          <w:color w:val="auto"/>
        </w:rPr>
      </w:pPr>
    </w:p>
    <w:p>
      <w:pPr>
        <w:ind w:right="120" w:firstLine="1492"/>
        <w:spacing w:after="0" w:line="277" w:lineRule="auto"/>
        <w:tabs>
          <w:tab w:leader="none" w:pos="169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0" w:lineRule="exact"/>
        <w:rPr>
          <w:rFonts w:ascii="Arial" w:cs="Arial" w:eastAsia="Arial" w:hAnsi="Arial"/>
          <w:sz w:val="18"/>
          <w:szCs w:val="18"/>
          <w:color w:val="auto"/>
        </w:rPr>
      </w:pPr>
    </w:p>
    <w:p>
      <w:pPr>
        <w:ind w:right="140" w:firstLine="1492"/>
        <w:spacing w:after="0" w:line="277" w:lineRule="auto"/>
        <w:tabs>
          <w:tab w:leader="none" w:pos="174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170" w:lineRule="exact"/>
        <w:rPr>
          <w:rFonts w:ascii="Arial" w:cs="Arial" w:eastAsia="Arial" w:hAnsi="Arial"/>
          <w:sz w:val="18"/>
          <w:szCs w:val="18"/>
          <w:color w:val="auto"/>
        </w:rPr>
      </w:pPr>
    </w:p>
    <w:p>
      <w:pPr>
        <w:ind w:right="100" w:firstLine="1492"/>
        <w:spacing w:after="0" w:line="277" w:lineRule="auto"/>
        <w:tabs>
          <w:tab w:leader="none" w:pos="179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reducing the maximum number of shares of Common Stock a Participant may purchase during any Offering Period or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modifications or amendments will not require stockholder approval or the consent of any Participants.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239" w:name="page240"/>
    <w:bookmarkEnd w:id="239"/>
    <w:p>
      <w:pPr>
        <w:ind w:right="260" w:firstLine="464"/>
        <w:spacing w:after="0" w:line="264" w:lineRule="auto"/>
        <w:tabs>
          <w:tab w:leader="none" w:pos="72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ind w:right="40" w:firstLine="464"/>
        <w:spacing w:after="0" w:line="302" w:lineRule="auto"/>
        <w:tabs>
          <w:tab w:leader="none" w:pos="726"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4"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40" w:firstLine="464"/>
        <w:spacing w:after="0" w:line="270" w:lineRule="auto"/>
        <w:tabs>
          <w:tab w:leader="none" w:pos="72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77" w:lineRule="exact"/>
        <w:rPr>
          <w:rFonts w:ascii="Arial" w:cs="Arial" w:eastAsia="Arial" w:hAnsi="Arial"/>
          <w:sz w:val="17"/>
          <w:szCs w:val="17"/>
          <w:color w:val="auto"/>
        </w:rPr>
      </w:pPr>
    </w:p>
    <w:p>
      <w:pPr>
        <w:ind w:right="240" w:firstLine="464"/>
        <w:spacing w:after="0" w:line="308" w:lineRule="auto"/>
        <w:tabs>
          <w:tab w:leader="none" w:pos="72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will become effective upon the later to occur of (i) its adoption by the Board or (ii) the business day immediately prior to the Registration Date. It will continue in effect for a term of twenty (20) years, unless sooner terminated under Section 19.</w:t>
      </w:r>
    </w:p>
    <w:p>
      <w:pPr>
        <w:spacing w:after="0" w:line="146" w:lineRule="exact"/>
        <w:rPr>
          <w:rFonts w:ascii="Arial" w:cs="Arial" w:eastAsia="Arial" w:hAnsi="Arial"/>
          <w:sz w:val="17"/>
          <w:szCs w:val="17"/>
          <w:color w:val="auto"/>
        </w:rPr>
      </w:pPr>
    </w:p>
    <w:p>
      <w:pPr>
        <w:ind w:firstLine="464"/>
        <w:spacing w:after="0" w:line="308" w:lineRule="auto"/>
        <w:tabs>
          <w:tab w:leader="none" w:pos="72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79" w:lineRule="exact"/>
        <w:rPr>
          <w:rFonts w:ascii="Arial" w:cs="Arial" w:eastAsia="Arial" w:hAnsi="Arial"/>
          <w:sz w:val="17"/>
          <w:szCs w:val="17"/>
          <w:color w:val="auto"/>
        </w:rPr>
      </w:pPr>
    </w:p>
    <w:p>
      <w:pPr>
        <w:ind w:left="5620" w:hanging="101"/>
        <w:spacing w:after="0"/>
        <w:tabs>
          <w:tab w:leader="none" w:pos="5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00"/>
          </w:cols>
          <w:pgMar w:left="240" w:top="274" w:right="259" w:bottom="1440" w:gutter="0" w:footer="0" w:header="0"/>
        </w:sectPr>
      </w:pPr>
    </w:p>
    <w:bookmarkStart w:id="240" w:name="page241"/>
    <w:bookmarkEnd w:id="240"/>
    <w:p>
      <w:pPr>
        <w:ind w:left="-464" w:right="480" w:firstLine="464"/>
        <w:spacing w:after="0" w:line="277" w:lineRule="auto"/>
        <w:tabs>
          <w:tab w:leader="none" w:pos="26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The Plan will be governed by, and construed in accordance with, the laws of the State of California (except its choice-of-law provisions).</w:t>
      </w:r>
    </w:p>
    <w:p>
      <w:pPr>
        <w:spacing w:after="0" w:line="170" w:lineRule="exact"/>
        <w:rPr>
          <w:rFonts w:ascii="Arial" w:cs="Arial" w:eastAsia="Arial" w:hAnsi="Arial"/>
          <w:sz w:val="18"/>
          <w:szCs w:val="18"/>
          <w:color w:val="auto"/>
        </w:rPr>
      </w:pPr>
    </w:p>
    <w:p>
      <w:pPr>
        <w:ind w:left="-464" w:right="80" w:firstLine="464"/>
        <w:spacing w:after="0" w:line="264" w:lineRule="auto"/>
        <w:tabs>
          <w:tab w:leader="none" w:pos="26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181" w:lineRule="exact"/>
        <w:rPr>
          <w:rFonts w:ascii="Arial" w:cs="Arial" w:eastAsia="Arial" w:hAnsi="Arial"/>
          <w:sz w:val="18"/>
          <w:szCs w:val="18"/>
          <w:color w:val="auto"/>
        </w:rPr>
      </w:pPr>
    </w:p>
    <w:p>
      <w:pPr>
        <w:jc w:val="both"/>
        <w:ind w:left="-464" w:right="80" w:firstLine="464"/>
        <w:spacing w:after="0" w:line="264" w:lineRule="auto"/>
        <w:tabs>
          <w:tab w:leader="none" w:pos="26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81" w:lineRule="exact"/>
        <w:rPr>
          <w:rFonts w:ascii="Arial" w:cs="Arial" w:eastAsia="Arial" w:hAnsi="Arial"/>
          <w:sz w:val="18"/>
          <w:szCs w:val="18"/>
          <w:color w:val="auto"/>
        </w:rPr>
      </w:pPr>
    </w:p>
    <w:p>
      <w:pPr>
        <w:ind w:left="276" w:hanging="276"/>
        <w:spacing w:after="0"/>
        <w:tabs>
          <w:tab w:leader="none" w:pos="276"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Compliance with Applicable Laws</w:t>
      </w:r>
      <w:r>
        <w:rPr>
          <w:rFonts w:ascii="Arial" w:cs="Arial" w:eastAsia="Arial" w:hAnsi="Arial"/>
          <w:sz w:val="17"/>
          <w:szCs w:val="17"/>
          <w:color w:val="auto"/>
        </w:rPr>
        <w:t>. The terms of this Plan are intended to comply with all Applicable Laws and will be construed accordingly.</w:t>
      </w:r>
    </w:p>
    <w:p>
      <w:pPr>
        <w:spacing w:after="0" w:line="236" w:lineRule="exact"/>
        <w:rPr>
          <w:rFonts w:ascii="Arial" w:cs="Arial" w:eastAsia="Arial" w:hAnsi="Arial"/>
          <w:sz w:val="17"/>
          <w:szCs w:val="17"/>
          <w:color w:val="auto"/>
        </w:rPr>
      </w:pPr>
    </w:p>
    <w:p>
      <w:pPr>
        <w:ind w:left="-464" w:firstLine="464"/>
        <w:spacing w:after="0" w:line="259" w:lineRule="auto"/>
        <w:tabs>
          <w:tab w:leader="none" w:pos="26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Automatic Transfer to Low Price Offering Period</w:t>
      </w:r>
      <w:r>
        <w:rPr>
          <w:rFonts w:ascii="Arial" w:cs="Arial" w:eastAsia="Arial" w:hAnsi="Arial"/>
          <w:sz w:val="18"/>
          <w:szCs w:val="18"/>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119" w:lineRule="exact"/>
        <w:rPr>
          <w:rFonts w:ascii="Arial" w:cs="Arial" w:eastAsia="Arial" w:hAnsi="Arial"/>
          <w:sz w:val="18"/>
          <w:szCs w:val="18"/>
          <w:color w:val="auto"/>
        </w:rPr>
      </w:pPr>
    </w:p>
    <w:p>
      <w:pPr>
        <w:ind w:left="5156" w:hanging="101"/>
        <w:spacing w:after="0"/>
        <w:tabs>
          <w:tab w:leader="none" w:pos="51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36"/>
          </w:cols>
          <w:pgMar w:left="704" w:top="274" w:right="259" w:bottom="1440" w:gutter="0" w:footer="0" w:header="0"/>
        </w:sectPr>
      </w:pPr>
    </w:p>
    <w:bookmarkStart w:id="241" w:name="page242"/>
    <w:bookmarkEnd w:id="241"/>
    <w:tbl>
      <w:tblPr>
        <w:tblLayout w:type="fixed"/>
        <w:tblInd w:w="4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180" w:type="dxa"/>
            <w:vAlign w:val="bottom"/>
            <w:gridSpan w:val="3"/>
          </w:tcPr>
          <w:p>
            <w:pPr>
              <w:jc w:val="center"/>
              <w:ind w:right="524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gridSpan w:val="4"/>
          </w:tcPr>
          <w:p>
            <w:pPr>
              <w:jc w:val="center"/>
              <w:ind w:right="1900"/>
              <w:spacing w:after="0"/>
              <w:rPr>
                <w:sz w:val="20"/>
                <w:szCs w:val="20"/>
                <w:color w:val="auto"/>
              </w:rPr>
            </w:pPr>
            <w:r>
              <w:rPr>
                <w:rFonts w:ascii="Arial" w:cs="Arial" w:eastAsia="Arial" w:hAnsi="Arial"/>
                <w:sz w:val="18"/>
                <w:szCs w:val="18"/>
                <w:b w:val="1"/>
                <w:bCs w:val="1"/>
                <w:color w:val="auto"/>
              </w:rPr>
              <w:t>ZSCALER, INC.</w:t>
            </w:r>
          </w:p>
        </w:tc>
      </w:tr>
      <w:tr>
        <w:trPr>
          <w:trHeight w:val="324"/>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gridSpan w:val="4"/>
          </w:tcPr>
          <w:p>
            <w:pPr>
              <w:jc w:val="center"/>
              <w:ind w:right="1900"/>
              <w:spacing w:after="0"/>
              <w:rPr>
                <w:sz w:val="20"/>
                <w:szCs w:val="20"/>
                <w:color w:val="auto"/>
              </w:rPr>
            </w:pPr>
            <w:r>
              <w:rPr>
                <w:rFonts w:ascii="Arial" w:cs="Arial" w:eastAsia="Arial" w:hAnsi="Arial"/>
                <w:sz w:val="18"/>
                <w:szCs w:val="18"/>
                <w:b w:val="1"/>
                <w:bCs w:val="1"/>
                <w:color w:val="auto"/>
                <w:w w:val="98"/>
              </w:rPr>
              <w:t>FY2018 EMPLOYEE STOCK PURCHASE PLAN</w:t>
            </w:r>
          </w:p>
        </w:tc>
      </w:tr>
      <w:tr>
        <w:trPr>
          <w:trHeight w:val="324"/>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9"/>
              </w:rPr>
              <w:t>SUBSCRIPTION AGREEMENT FOR U.S. EMPLOYEES</w:t>
            </w:r>
          </w:p>
        </w:tc>
      </w:tr>
      <w:tr>
        <w:trPr>
          <w:trHeight w:val="419"/>
        </w:trPr>
        <w:tc>
          <w:tcPr>
            <w:tcW w:w="1500" w:type="dxa"/>
            <w:vAlign w:val="bottom"/>
            <w:gridSpan w:val="3"/>
          </w:tcPr>
          <w:p>
            <w:pPr>
              <w:spacing w:after="0"/>
              <w:rPr>
                <w:sz w:val="20"/>
                <w:szCs w:val="20"/>
                <w:color w:val="auto"/>
              </w:rPr>
            </w:pPr>
            <w:r>
              <w:rPr>
                <w:rFonts w:ascii="Arial" w:cs="Arial" w:eastAsia="Arial" w:hAnsi="Arial"/>
                <w:sz w:val="18"/>
                <w:szCs w:val="18"/>
                <w:color w:val="auto"/>
                <w:w w:val="95"/>
              </w:rPr>
              <w:t>Original Application</w:t>
            </w:r>
          </w:p>
        </w:tc>
        <w:tc>
          <w:tcPr>
            <w:tcW w:w="3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tcPr>
          <w:p>
            <w:pPr>
              <w:ind w:left="2880"/>
              <w:spacing w:after="0"/>
              <w:rPr>
                <w:sz w:val="20"/>
                <w:szCs w:val="20"/>
                <w:color w:val="auto"/>
              </w:rPr>
            </w:pPr>
            <w:r>
              <w:rPr>
                <w:rFonts w:ascii="Arial" w:cs="Arial" w:eastAsia="Arial" w:hAnsi="Arial"/>
                <w:sz w:val="18"/>
                <w:szCs w:val="18"/>
                <w:color w:val="auto"/>
                <w:w w:val="93"/>
              </w:rPr>
              <w:t>Enrollment Date:</w:t>
            </w:r>
          </w:p>
        </w:tc>
        <w:tc>
          <w:tcPr>
            <w:tcW w:w="1080" w:type="dxa"/>
            <w:vAlign w:val="bottom"/>
            <w:tcBorders>
              <w:bottom w:val="single" w:sz="8" w:color="auto"/>
            </w:tcBorders>
          </w:tcPr>
          <w:p>
            <w:pPr>
              <w:spacing w:after="0"/>
              <w:rPr>
                <w:sz w:val="24"/>
                <w:szCs w:val="24"/>
                <w:color w:val="auto"/>
              </w:rPr>
            </w:pPr>
          </w:p>
        </w:tc>
      </w:tr>
      <w:tr>
        <w:trPr>
          <w:trHeight w:val="453"/>
        </w:trPr>
        <w:tc>
          <w:tcPr>
            <w:tcW w:w="11000" w:type="dxa"/>
            <w:vAlign w:val="bottom"/>
            <w:gridSpan w:val="7"/>
          </w:tcPr>
          <w:p>
            <w:pPr>
              <w:spacing w:after="0"/>
              <w:rPr>
                <w:sz w:val="20"/>
                <w:szCs w:val="20"/>
                <w:color w:val="auto"/>
              </w:rPr>
            </w:pPr>
            <w:r>
              <w:rPr>
                <w:rFonts w:ascii="Arial" w:cs="Arial" w:eastAsia="Arial" w:hAnsi="Arial"/>
                <w:sz w:val="18"/>
                <w:szCs w:val="18"/>
                <w:color w:val="auto"/>
              </w:rPr>
              <w:t>Change in Payroll Deduction Rate</w:t>
            </w:r>
          </w:p>
        </w:tc>
      </w:tr>
      <w:tr>
        <w:trPr>
          <w:trHeight w:val="392"/>
        </w:trPr>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w w:val="92"/>
              </w:rPr>
              <w:t>(“Employee”) hereby elects to participate in the Zscaler, Inc. FY2018 Employee Stock Purchase Plan (the “Plan”) and subscribes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2286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2286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right="440"/>
        <w:spacing w:after="0" w:line="342" w:lineRule="auto"/>
        <w:rPr>
          <w:sz w:val="20"/>
          <w:szCs w:val="20"/>
          <w:color w:val="auto"/>
        </w:rPr>
      </w:pPr>
      <w:r>
        <w:rPr>
          <w:rFonts w:ascii="Arial" w:cs="Arial" w:eastAsia="Arial" w:hAnsi="Arial"/>
          <w:sz w:val="16"/>
          <w:szCs w:val="16"/>
          <w:color w:val="auto"/>
        </w:rPr>
        <w:t>to purchase shares of the Company’s Common Stock in accordance with this Subscription Agreement and the Plan. Unless otherwise defined herein, the terms defined in the FY2018 Employee Stock Purchase Plan (the “Plan”) shall have the same defined meanings in this Subscription Agreement.</w:t>
      </w:r>
    </w:p>
    <w:p>
      <w:pPr>
        <w:spacing w:after="0" w:line="124" w:lineRule="exact"/>
        <w:rPr>
          <w:sz w:val="20"/>
          <w:szCs w:val="20"/>
          <w:color w:val="auto"/>
        </w:rPr>
      </w:pPr>
    </w:p>
    <w:p>
      <w:pPr>
        <w:ind w:left="460"/>
        <w:spacing w:after="0"/>
        <w:tabs>
          <w:tab w:leader="none" w:pos="7180" w:val="left"/>
        </w:tabs>
        <w:rPr>
          <w:sz w:val="20"/>
          <w:szCs w:val="20"/>
          <w:color w:val="auto"/>
        </w:rPr>
      </w:pPr>
      <w:r>
        <w:rPr>
          <w:rFonts w:ascii="Arial" w:cs="Arial" w:eastAsia="Arial" w:hAnsi="Arial"/>
          <w:sz w:val="18"/>
          <w:szCs w:val="18"/>
          <w:color w:val="auto"/>
        </w:rPr>
        <w:t>2. Employee hereby authorizes payroll deductions from each paycheck in the amount of</w:t>
      </w:r>
      <w:r>
        <w:rPr>
          <w:sz w:val="20"/>
          <w:szCs w:val="20"/>
          <w:color w:val="auto"/>
        </w:rPr>
        <w:tab/>
      </w:r>
      <w:r>
        <w:rPr>
          <w:rFonts w:ascii="Arial" w:cs="Arial" w:eastAsia="Arial" w:hAnsi="Arial"/>
          <w:sz w:val="16"/>
          <w:szCs w:val="16"/>
          <w:color w:val="auto"/>
        </w:rPr>
        <w:t>% (from 0 to fifteen percent (15%)) of his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-10160</wp:posOffset>
            </wp:positionV>
            <wp:extent cx="2286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Compensation on each payday during the Offering Period in accordance with the Plan. (Please note that no fractional percentages are permitted.)</w:t>
      </w:r>
    </w:p>
    <w:p>
      <w:pPr>
        <w:spacing w:after="0" w:line="222" w:lineRule="exact"/>
        <w:rPr>
          <w:sz w:val="20"/>
          <w:szCs w:val="20"/>
          <w:color w:val="auto"/>
        </w:rPr>
      </w:pPr>
    </w:p>
    <w:p>
      <w:pPr>
        <w:ind w:right="20" w:firstLine="464"/>
        <w:spacing w:after="0" w:line="264" w:lineRule="auto"/>
        <w:tabs>
          <w:tab w:leader="none" w:pos="6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181" w:lineRule="exact"/>
        <w:rPr>
          <w:rFonts w:ascii="Arial" w:cs="Arial" w:eastAsia="Arial" w:hAnsi="Arial"/>
          <w:sz w:val="18"/>
          <w:szCs w:val="18"/>
          <w:color w:val="auto"/>
        </w:rPr>
      </w:pPr>
    </w:p>
    <w:p>
      <w:pPr>
        <w:ind w:right="100" w:firstLine="464"/>
        <w:spacing w:after="0" w:line="277" w:lineRule="auto"/>
        <w:tabs>
          <w:tab w:leader="none" w:pos="6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Employee has received a copy of the complete Plan and its accompanying prospectus. Employee understands that his or her participation in the Plan is in all respects subject to the terms of the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ind w:left="460"/>
              <w:spacing w:after="0"/>
              <w:rPr>
                <w:sz w:val="20"/>
                <w:szCs w:val="20"/>
                <w:color w:val="auto"/>
              </w:rPr>
            </w:pPr>
            <w:r>
              <w:rPr>
                <w:rFonts w:ascii="Arial" w:cs="Arial" w:eastAsia="Arial" w:hAnsi="Arial"/>
                <w:sz w:val="18"/>
                <w:szCs w:val="18"/>
                <w:color w:val="auto"/>
                <w:w w:val="89"/>
              </w:rPr>
              <w:t>5. Shares of Common Stock purchased by Employee under the Plan should be issued in the name(s) of</w:t>
            </w:r>
          </w:p>
        </w:tc>
        <w:tc>
          <w:tcPr>
            <w:tcW w:w="900" w:type="dxa"/>
            <w:vAlign w:val="bottom"/>
            <w:tcBorders>
              <w:bottom w:val="single" w:sz="8" w:color="auto"/>
            </w:tcBorders>
          </w:tcPr>
          <w:p>
            <w:pPr>
              <w:spacing w:after="0"/>
              <w:rPr>
                <w:sz w:val="17"/>
                <w:szCs w:val="17"/>
                <w:color w:val="auto"/>
              </w:rPr>
            </w:pPr>
          </w:p>
        </w:tc>
        <w:tc>
          <w:tcPr>
            <w:tcW w:w="2100" w:type="dxa"/>
            <w:vAlign w:val="bottom"/>
          </w:tcPr>
          <w:p>
            <w:pPr>
              <w:ind w:left="40"/>
              <w:spacing w:after="0"/>
              <w:rPr>
                <w:sz w:val="20"/>
                <w:szCs w:val="20"/>
                <w:color w:val="auto"/>
              </w:rPr>
            </w:pPr>
            <w:r>
              <w:rPr>
                <w:rFonts w:ascii="Arial" w:cs="Arial" w:eastAsia="Arial" w:hAnsi="Arial"/>
                <w:sz w:val="18"/>
                <w:szCs w:val="18"/>
                <w:color w:val="auto"/>
                <w:w w:val="89"/>
              </w:rPr>
              <w:t>(Employee or Employee and</w:t>
            </w:r>
          </w:p>
        </w:tc>
      </w:t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Spouse only).</w:t>
            </w:r>
          </w:p>
        </w:tc>
        <w:tc>
          <w:tcPr>
            <w:tcW w:w="9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5"/>
        </w:trPr>
        <w:tc>
          <w:tcPr>
            <w:tcW w:w="7900" w:type="dxa"/>
            <w:vAlign w:val="bottom"/>
          </w:tcPr>
          <w:p>
            <w:pPr>
              <w:ind w:left="5580"/>
              <w:spacing w:after="0"/>
              <w:rPr>
                <w:sz w:val="20"/>
                <w:szCs w:val="20"/>
                <w:color w:val="auto"/>
              </w:rPr>
            </w:pPr>
            <w:r>
              <w:rPr>
                <w:rFonts w:ascii="Arial" w:cs="Arial" w:eastAsia="Arial" w:hAnsi="Arial"/>
                <w:sz w:val="18"/>
                <w:szCs w:val="18"/>
                <w:color w:val="auto"/>
              </w:rPr>
              <w:t>A-1</w:t>
            </w: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242" w:name="page243"/>
    <w:bookmarkEnd w:id="242"/>
    <w:p>
      <w:pPr>
        <w:ind w:firstLine="464"/>
        <w:spacing w:after="0" w:line="287" w:lineRule="auto"/>
        <w:tabs>
          <w:tab w:leader="none" w:pos="636"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 </w:t>
      </w:r>
      <w:r>
        <w:rPr>
          <w:rFonts w:ascii="Arial" w:cs="Arial" w:eastAsia="Arial" w:hAnsi="Arial"/>
          <w:sz w:val="16"/>
          <w:szCs w:val="16"/>
          <w:u w:val="single" w:color="auto"/>
          <w:color w:val="auto"/>
        </w:rPr>
        <w:t>Employee hereby agrees to notify the Company in writing within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thirty (30) days after the date of any disposition of such shares and to make adequate provision for federal, state or other tax withholding obligations, if any, that arise upon the disposition of such shares</w:t>
      </w:r>
      <w:r>
        <w:rPr>
          <w:rFonts w:ascii="Arial" w:cs="Arial" w:eastAsia="Arial" w:hAnsi="Arial"/>
          <w:sz w:val="16"/>
          <w:szCs w:val="16"/>
          <w:color w:val="auto"/>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 that if he or she disposes of such shares at any time after the expiration of the two (2)-year and one-(1) year holding periods, he or she will be treated for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168" w:lineRule="exact"/>
        <w:rPr>
          <w:rFonts w:ascii="Arial" w:cs="Arial" w:eastAsia="Arial" w:hAnsi="Arial"/>
          <w:sz w:val="16"/>
          <w:szCs w:val="16"/>
          <w:color w:val="auto"/>
        </w:rPr>
      </w:pPr>
    </w:p>
    <w:p>
      <w:pPr>
        <w:ind w:right="420" w:firstLine="464"/>
        <w:spacing w:after="0" w:line="277" w:lineRule="auto"/>
        <w:tabs>
          <w:tab w:leader="none" w:pos="6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Employee hereby agrees to be bound by the terms of the Plan. The effectiveness of this Subscription Agreement is dependent upon Employee’s eligibility to participate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9756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426720</wp:posOffset>
            </wp:positionV>
            <wp:extent cx="29756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220980</wp:posOffset>
            </wp:positionV>
            <wp:extent cx="29756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14605</wp:posOffset>
            </wp:positionV>
            <wp:extent cx="29756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EMPLOYEE UNDERSTANDS THAT THIS SUBSCRIPTION AGREEMENT WILL REMAIN IN EFFECT THROUGHOUT SUCCESSIVE OFFERING PERIODS UNLESS TERMINATED BY EMPLOYEE.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-10160</wp:posOffset>
            </wp:positionV>
            <wp:extent cx="6858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of Employee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243" w:name="page244"/>
    <w:bookmarkEnd w:id="243"/>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ZSCALER,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FY2018 EMPLOYEE STOCK PURCHASE PLAN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WITHDRAWAL</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Unless otherwise defined herein, the terms defined in the FY2018 Employee Stock Purchase Plan (the “Plan”) shall have the same defined meanings in this Notice of Withdrawal.</w:t>
      </w:r>
    </w:p>
    <w:p>
      <w:pPr>
        <w:spacing w:after="0" w:line="170" w:lineRule="exact"/>
        <w:rPr>
          <w:sz w:val="20"/>
          <w:szCs w:val="20"/>
          <w:color w:val="auto"/>
        </w:rPr>
      </w:pPr>
    </w:p>
    <w:p>
      <w:pPr>
        <w:spacing w:after="0"/>
        <w:tabs>
          <w:tab w:leader="none" w:pos="9920" w:val="left"/>
          <w:tab w:leader="none" w:pos="10560" w:val="left"/>
        </w:tabs>
        <w:rPr>
          <w:sz w:val="20"/>
          <w:szCs w:val="20"/>
          <w:color w:val="auto"/>
        </w:rPr>
      </w:pPr>
      <w:r>
        <w:rPr>
          <w:rFonts w:ascii="Arial" w:cs="Arial" w:eastAsia="Arial" w:hAnsi="Arial"/>
          <w:sz w:val="18"/>
          <w:szCs w:val="18"/>
          <w:color w:val="auto"/>
        </w:rPr>
        <w:t>The undersigned Participant in the Offering Period of the Zscaler, Inc. FY2018 Employee Stock Purchase Plan that began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-10160</wp:posOffset>
            </wp:positionV>
            <wp:extent cx="9715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“Enrollment Date”)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967105</wp:posOffset>
            </wp:positionV>
            <wp:extent cx="28987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649605</wp:posOffset>
            </wp:positionV>
            <wp:extent cx="28987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332105</wp:posOffset>
            </wp:positionV>
            <wp:extent cx="28987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332105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60"/>
          </w:cols>
          <w:pgMar w:left="240" w:top="270" w:right="39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hereby consent to the use in this Amendment No. 2 to the Registration Statement on Form S-1 of Zscaler, Inc. of our report dated October 2, 2017, except with respect to our opinion on the consolidated financial statements insofar as it relates to the change in the manner in which the Company accounts for revenue from contracts with customers as discussed in Note 2 to the consolidated financial statements, as to which the date is December 11, 2017, and except for the effects of the reverse stock split as discussed in Note 2 to the consolidated financial statements, as to which the date is March 5, 2018, relating to the financial statements, which appears in such Registration Statement. We also consent to the reference to us under the heading “Experts” in such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1)"/>
      <w:numFmt w:val="decimal"/>
      <w:start w:val="2"/>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1)"/>
      <w:numFmt w:val="decimal"/>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1)"/>
      <w:numFmt w:val="decimal"/>
      <w:start w:val="1"/>
    </w:lvl>
  </w:abstractNum>
  <w:abstractNum w:abstractNumId="43">
    <w:nsid w:val="7DE67713"/>
    <w:multiLevelType w:val="hybridMultilevel"/>
    <w:lvl w:ilvl="0">
      <w:lvlJc w:val="left"/>
      <w:lvlText w:val="(%1)"/>
      <w:numFmt w:val="decimal"/>
      <w:start w:val="2"/>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1)"/>
      <w:numFmt w:val="decimal"/>
      <w:start w:val="1"/>
    </w:lvl>
  </w:abstractNum>
  <w:abstractNum w:abstractNumId="47">
    <w:nsid w:val="6A3DD3E8"/>
    <w:multiLevelType w:val="hybridMultilevel"/>
    <w:lvl w:ilvl="0">
      <w:lvlJc w:val="left"/>
      <w:lvlText w:val="(%1)"/>
      <w:numFmt w:val="decimal"/>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amp;"/>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lvl w:ilvl="1">
      <w:lvlJc w:val="left"/>
      <w:lvlText w:val="•"/>
      <w:numFmt w:val="bullet"/>
      <w:start w:val="1"/>
    </w:lvl>
  </w:abstractNum>
  <w:abstractNum w:abstractNumId="69">
    <w:nsid w:val="4BD8591A"/>
    <w:multiLevelType w:val="hybridMultilevel"/>
    <w:lvl w:ilvl="0">
      <w:lvlJc w:val="left"/>
      <w:lvlText w:val="•"/>
      <w:numFmt w:val="bullet"/>
      <w:start w:val="1"/>
    </w:lvl>
    <w:lvl w:ilvl="1">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1)"/>
      <w:numFmt w:val="decimal"/>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1)"/>
      <w:numFmt w:val="decimal"/>
      <w:start w:val="1"/>
    </w:lvl>
  </w:abstractNum>
  <w:abstractNum w:abstractNumId="93">
    <w:nsid w:val="17A1B582"/>
    <w:multiLevelType w:val="hybridMultilevel"/>
    <w:lvl w:ilvl="0">
      <w:lvlJc w:val="left"/>
      <w:lvlText w:val="(%1)"/>
      <w:numFmt w:val="decimal"/>
      <w:start w:val="5"/>
    </w:lvl>
  </w:abstractNum>
  <w:abstractNum w:abstractNumId="94">
    <w:nsid w:val="4DF72E4E"/>
    <w:multiLevelType w:val="hybridMultilevel"/>
    <w:lvl w:ilvl="0">
      <w:lvlJc w:val="left"/>
      <w:lvlText w:val="(%1)"/>
      <w:numFmt w:val="decimal"/>
      <w:start w:val="1"/>
    </w:lvl>
  </w:abstractNum>
  <w:abstractNum w:abstractNumId="95">
    <w:nsid w:val="5046B5A9"/>
    <w:multiLevelType w:val="hybridMultilevel"/>
    <w:lvl w:ilvl="0">
      <w:lvlJc w:val="left"/>
      <w:lvlText w:val="(%1)"/>
      <w:numFmt w:val="decimal"/>
      <w:start w:val="2"/>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1)"/>
      <w:numFmt w:val="decimal"/>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
      <w:numFmt w:val="bullet"/>
      <w:start w:val="1"/>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1)"/>
      <w:numFmt w:val="decimal"/>
      <w:start w:val="1"/>
    </w:lvl>
  </w:abstractNum>
  <w:abstractNum w:abstractNumId="105">
    <w:nsid w:val="B37E80A"/>
    <w:multiLevelType w:val="hybridMultilevel"/>
    <w:lvl w:ilvl="0">
      <w:lvlJc w:val="left"/>
      <w:lvlText w:val="(%1)"/>
      <w:numFmt w:val="lowerRoman"/>
      <w:start w:val="3"/>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1)"/>
      <w:numFmt w:val="decimal"/>
      <w:start w:val="1"/>
    </w:lvl>
  </w:abstractNum>
  <w:abstractNum w:abstractNumId="109">
    <w:nsid w:val="BFFAE18"/>
    <w:multiLevelType w:val="hybridMultilevel"/>
    <w:lvl w:ilvl="0">
      <w:lvlJc w:val="left"/>
      <w:lvlText w:val="•"/>
      <w:numFmt w:val="bullet"/>
      <w:start w:val="1"/>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
      <w:numFmt w:val="bullet"/>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
      <w:numFmt w:val="bullet"/>
      <w:start w:val="1"/>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
      <w:numFmt w:val="bullet"/>
      <w:start w:val="1"/>
    </w:lvl>
  </w:abstractNum>
  <w:abstractNum w:abstractNumId="120">
    <w:nsid w:val="7DFF9D09"/>
    <w:multiLevelType w:val="hybridMultilevel"/>
    <w:lvl w:ilvl="0">
      <w:lvlJc w:val="left"/>
      <w:lvlText w:val="•"/>
      <w:numFmt w:val="bullet"/>
      <w:start w:val="1"/>
    </w:lvl>
  </w:abstractNum>
  <w:abstractNum w:abstractNumId="121">
    <w:nsid w:val="754342"/>
    <w:multiLevelType w:val="hybridMultilevel"/>
    <w:lvl w:ilvl="0">
      <w:lvlJc w:val="left"/>
      <w:lvlText w:val="•"/>
      <w:numFmt w:val="bullet"/>
      <w:start w:val="1"/>
    </w:lvl>
  </w:abstractNum>
  <w:abstractNum w:abstractNumId="122">
    <w:nsid w:val="69E7F3E5"/>
    <w:multiLevelType w:val="hybridMultilevel"/>
    <w:lvl w:ilvl="0">
      <w:lvlJc w:val="left"/>
      <w:lvlText w:val="•"/>
      <w:numFmt w:val="bullet"/>
      <w:start w:val="1"/>
    </w:lvl>
  </w:abstractNum>
  <w:abstractNum w:abstractNumId="123">
    <w:nsid w:val="2A6DE806"/>
    <w:multiLevelType w:val="hybridMultilevel"/>
    <w:lvl w:ilvl="0">
      <w:lvlJc w:val="left"/>
      <w:lvlText w:val="(%1)"/>
      <w:numFmt w:val="lowerRoman"/>
      <w:start w:val="1"/>
    </w:lvl>
  </w:abstractNum>
  <w:abstractNum w:abstractNumId="124">
    <w:nsid w:val="1816F8C4"/>
    <w:multiLevelType w:val="hybridMultilevel"/>
    <w:lvl w:ilvl="0">
      <w:lvlJc w:val="left"/>
      <w:lvlText w:val="•"/>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
      <w:numFmt w:val="bullet"/>
      <w:start w:val="1"/>
    </w:lvl>
  </w:abstractNum>
  <w:abstractNum w:abstractNumId="130">
    <w:nsid w:val="F819E7F"/>
    <w:multiLevelType w:val="hybridMultilevel"/>
    <w:lvl w:ilvl="0">
      <w:lvlJc w:val="left"/>
      <w:lvlText w:val="•"/>
      <w:numFmt w:val="bullet"/>
      <w:start w:val="1"/>
    </w:lvl>
  </w:abstractNum>
  <w:abstractNum w:abstractNumId="131">
    <w:nsid w:val="57C7D42D"/>
    <w:multiLevelType w:val="hybridMultilevel"/>
    <w:lvl w:ilvl="0">
      <w:lvlJc w:val="left"/>
      <w:lvlText w:val="(%1)"/>
      <w:numFmt w:val="decimal"/>
      <w:start w:val="1"/>
    </w:lvl>
  </w:abstractNum>
  <w:abstractNum w:abstractNumId="132">
    <w:nsid w:val="312167AD"/>
    <w:multiLevelType w:val="hybridMultilevel"/>
    <w:lvl w:ilvl="0">
      <w:lvlJc w:val="left"/>
      <w:lvlText w:val="*"/>
      <w:numFmt w:val="bullet"/>
      <w:start w:val="1"/>
    </w:lvl>
  </w:abstractNum>
  <w:abstractNum w:abstractNumId="133">
    <w:nsid w:val="631B64D4"/>
    <w:multiLevelType w:val="hybridMultilevel"/>
    <w:lvl w:ilvl="0">
      <w:lvlJc w:val="left"/>
      <w:lvlText w:val="+"/>
      <w:numFmt w:val="bullet"/>
      <w:start w:val="1"/>
    </w:lvl>
  </w:abstractNum>
  <w:abstractNum w:abstractNumId="134">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5">
    <w:nsid w:val="75486E47"/>
    <w:multiLevelType w:val="hybridMultilevel"/>
    <w:lvl w:ilvl="0">
      <w:lvlJc w:val="left"/>
      <w:lvlText w:val="%1"/>
      <w:numFmt w:val="upperLetter"/>
      <w:start w:val="1"/>
    </w:lvl>
    <w:lvl w:ilvl="1">
      <w:lvlJc w:val="left"/>
      <w:lvlText w:val="(%2)"/>
      <w:numFmt w:val="lowerRoman"/>
      <w:start w:val="2"/>
    </w:lvl>
  </w:abstractNum>
  <w:abstractNum w:abstractNumId="136">
    <w:nsid w:val="6E534CDE"/>
    <w:multiLevelType w:val="hybridMultilevel"/>
    <w:lvl w:ilvl="0">
      <w:lvlJc w:val="left"/>
      <w:lvlText w:val="(%1)"/>
      <w:numFmt w:val="upperLetter"/>
      <w:start w:val="2"/>
    </w:lvl>
    <w:lvl w:ilvl="1">
      <w:lvlJc w:val="left"/>
      <w:lvlText w:val="%2"/>
      <w:numFmt w:val="lowerRoman"/>
      <w:start w:val="1"/>
    </w:lvl>
  </w:abstractNum>
  <w:abstractNum w:abstractNumId="137">
    <w:nsid w:val="1A0DDE32"/>
    <w:multiLevelType w:val="hybridMultilevel"/>
    <w:lvl w:ilvl="0">
      <w:lvlJc w:val="left"/>
      <w:lvlText w:val="(%1)"/>
      <w:numFmt w:val="lowerLetter"/>
      <w:start w:val="6"/>
    </w:lvl>
    <w:lvl w:ilvl="1">
      <w:lvlJc w:val="left"/>
      <w:lvlText w:val="-"/>
      <w:numFmt w:val="bullet"/>
      <w:start w:val="1"/>
    </w:lvl>
  </w:abstractNum>
  <w:abstractNum w:abstractNumId="138">
    <w:nsid w:val="65968C1C"/>
    <w:multiLevelType w:val="hybridMultilevel"/>
    <w:lvl w:ilvl="0">
      <w:lvlJc w:val="left"/>
      <w:lvlText w:val="(%1)"/>
      <w:numFmt w:val="lowerLetter"/>
      <w:start w:val="14"/>
    </w:lvl>
    <w:lvl w:ilvl="1">
      <w:lvlJc w:val="left"/>
      <w:lvlText w:val="(%2)"/>
      <w:numFmt w:val="lowerRoman"/>
      <w:start w:val="1"/>
    </w:lvl>
    <w:lvl w:ilvl="2">
      <w:lvlJc w:val="left"/>
      <w:lvlText w:val="-"/>
      <w:numFmt w:val="bullet"/>
      <w:start w:val="1"/>
    </w:lvl>
  </w:abstractNum>
  <w:abstractNum w:abstractNumId="139">
    <w:nsid w:val="46263DEC"/>
    <w:multiLevelType w:val="hybridMultilevel"/>
    <w:lvl w:ilvl="0">
      <w:lvlJc w:val="left"/>
      <w:lvlText w:val="(%1)"/>
      <w:numFmt w:val="lowerRoman"/>
      <w:start w:val="2"/>
    </w:lvl>
  </w:abstractNum>
  <w:abstractNum w:abstractNumId="140">
    <w:nsid w:val="260D8C4A"/>
    <w:multiLevelType w:val="hybridMultilevel"/>
    <w:lvl w:ilvl="0">
      <w:lvlJc w:val="left"/>
      <w:lvlText w:val="(%1)"/>
      <w:numFmt w:val="lowerLetter"/>
      <w:start w:val="20"/>
    </w:lvl>
    <w:lvl w:ilvl="1">
      <w:lvlJc w:val="left"/>
      <w:lvlText w:val="-"/>
      <w:numFmt w:val="bullet"/>
      <w:start w:val="1"/>
    </w:lvl>
  </w:abstractNum>
  <w:abstractNum w:abstractNumId="141">
    <w:nsid w:val="73D4D3C4"/>
    <w:multiLevelType w:val="hybridMultilevel"/>
    <w:lvl w:ilvl="0">
      <w:lvlJc w:val="left"/>
      <w:lvlText w:val="(%1)"/>
      <w:numFmt w:val="lowerLetter"/>
      <w:start w:val="25"/>
    </w:lvl>
  </w:abstractNum>
  <w:abstractNum w:abstractNumId="142">
    <w:nsid w:val="746F2E30"/>
    <w:multiLevelType w:val="hybridMultilevel"/>
    <w:lvl w:ilvl="0">
      <w:lvlJc w:val="left"/>
      <w:lvlText w:val="%1"/>
      <w:numFmt w:val="decimal"/>
      <w:start w:val="1"/>
    </w:lvl>
    <w:lvl w:ilvl="1">
      <w:lvlJc w:val="left"/>
      <w:lvlText w:val="(%2)"/>
      <w:numFmt w:val="lowerLetter"/>
      <w:start w:val="27"/>
    </w:lvl>
    <w:lvl w:ilvl="2">
      <w:lvlJc w:val="left"/>
      <w:lvlText w:val="-"/>
      <w:numFmt w:val="bullet"/>
      <w:start w:val="1"/>
    </w:lvl>
  </w:abstractNum>
  <w:abstractNum w:abstractNumId="143">
    <w:nsid w:val="6FDE8AF6"/>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4">
    <w:nsid w:val="3FC32E2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45">
    <w:nsid w:val="49C0E82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46">
    <w:nsid w:val="14D5368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7">
    <w:nsid w:val="230F856C"/>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48">
    <w:nsid w:val="6EAA85FB"/>
    <w:multiLevelType w:val="hybridMultilevel"/>
    <w:lvl w:ilvl="0">
      <w:lvlJc w:val="left"/>
      <w:lvlText w:val="(%1)"/>
      <w:numFmt w:val="lowerLetter"/>
      <w:start w:val="4"/>
    </w:lvl>
    <w:lvl w:ilvl="1">
      <w:lvlJc w:val="left"/>
      <w:lvlText w:val="-"/>
      <w:numFmt w:val="bullet"/>
      <w:start w:val="1"/>
    </w:lvl>
  </w:abstractNum>
  <w:abstractNum w:abstractNumId="149">
    <w:nsid w:val="3F06ECB2"/>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50">
    <w:nsid w:val="3B594807"/>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51">
    <w:nsid w:val="6CAA2304"/>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52">
    <w:nsid w:val="3F7C2FF4"/>
    <w:multiLevelType w:val="hybridMultilevel"/>
    <w:lvl w:ilvl="0">
      <w:lvlJc w:val="left"/>
      <w:lvlText w:val="%1."/>
      <w:numFmt w:val="decimal"/>
      <w:start w:val="14"/>
    </w:lvl>
    <w:lvl w:ilvl="1">
      <w:lvlJc w:val="left"/>
      <w:lvlText w:val="-"/>
      <w:numFmt w:val="bullet"/>
      <w:start w:val="1"/>
    </w:lvl>
  </w:abstractNum>
  <w:abstractNum w:abstractNumId="153">
    <w:nsid w:val="25413BEC"/>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154">
    <w:nsid w:val="17180B0B"/>
    <w:multiLevelType w:val="hybridMultilevel"/>
    <w:lvl w:ilvl="0">
      <w:lvlJc w:val="left"/>
      <w:lvlText w:val="(%1)"/>
      <w:numFmt w:val="lowerLetter"/>
      <w:start w:val="2"/>
    </w:lvl>
    <w:lvl w:ilvl="1">
      <w:lvlJc w:val="left"/>
      <w:lvlText w:val="(%2)"/>
      <w:numFmt w:val="lowerRoman"/>
      <w:start w:val="1"/>
    </w:lvl>
  </w:abstractNum>
  <w:abstractNum w:abstractNumId="155">
    <w:nsid w:val="579328B9"/>
    <w:multiLevelType w:val="hybridMultilevel"/>
    <w:lvl w:ilvl="0">
      <w:lvlJc w:val="left"/>
      <w:lvlText w:val="%1."/>
      <w:numFmt w:val="decimal"/>
      <w:start w:val="20"/>
    </w:lvl>
  </w:abstractNum>
  <w:abstractNum w:abstractNumId="156">
    <w:nsid w:val="5D205E20"/>
    <w:multiLevelType w:val="hybridMultilevel"/>
    <w:lvl w:ilvl="0">
      <w:lvlJc w:val="left"/>
      <w:lvlText w:val="%1."/>
      <w:numFmt w:val="decimal"/>
      <w:start w:val="22"/>
    </w:lvl>
    <w:lvl w:ilvl="1">
      <w:lvlJc w:val="left"/>
      <w:lvlText w:val="-"/>
      <w:numFmt w:val="bullet"/>
      <w:start w:val="1"/>
    </w:lvl>
  </w:abstractNum>
  <w:abstractNum w:abstractNumId="157">
    <w:nsid w:val="11CCA8BA"/>
    <w:multiLevelType w:val="hybridMultilevel"/>
    <w:lvl w:ilvl="0">
      <w:lvlJc w:val="left"/>
      <w:lvlText w:val="%1."/>
      <w:numFmt w:val="decimal"/>
      <w:start w:val="25"/>
    </w:lvl>
    <w:lvl w:ilvl="1">
      <w:lvlJc w:val="left"/>
      <w:lvlText w:val="-"/>
      <w:numFmt w:val="bullet"/>
      <w:start w:val="1"/>
    </w:lvl>
  </w:abstractNum>
  <w:abstractNum w:abstractNumId="158">
    <w:nsid w:val="4D32AB86"/>
    <w:multiLevelType w:val="hybridMultilevel"/>
    <w:lvl w:ilvl="0">
      <w:lvlJc w:val="left"/>
      <w:lvlText w:val="%1."/>
      <w:numFmt w:val="decimal"/>
      <w:start w:val="3"/>
    </w:lvl>
  </w:abstractNum>
  <w:abstractNum w:abstractNumId="159">
    <w:nsid w:val="3F07ACC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jpeg"/><Relationship Id="rId333" Type="http://schemas.openxmlformats.org/officeDocument/2006/relationships/image" Target="media/image298.png"/><Relationship Id="rId334" Type="http://schemas.openxmlformats.org/officeDocument/2006/relationships/image" Target="media/image299.jpe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01" Type="http://schemas.openxmlformats.org/officeDocument/2006/relationships/hyperlink" Target="http://www.sec.gov/Archives/edgar/data/0001713683/000119312518048303/d400527dex11.htm" TargetMode="External"/><Relationship Id="rId302" Type="http://schemas.openxmlformats.org/officeDocument/2006/relationships/hyperlink" Target="http://www.sec.gov/Archives/edgar/data/1713683/000119312518069515/d400527dex31.htm" TargetMode="External"/><Relationship Id="rId303" Type="http://schemas.openxmlformats.org/officeDocument/2006/relationships/hyperlink" Target="http://www.sec.gov/Archives/edgar/data/0001713683/000119312518048303/d400527dex32.htm" TargetMode="External"/><Relationship Id="rId304" Type="http://schemas.openxmlformats.org/officeDocument/2006/relationships/hyperlink" Target="http://www.sec.gov/Archives/edgar/data/0001713683/000119312518048303/d400527dex33.htm" TargetMode="External"/><Relationship Id="rId305" Type="http://schemas.openxmlformats.org/officeDocument/2006/relationships/hyperlink" Target="http://www.sec.gov/Archives/edgar/data/0001713683/000119312518048303/d400527dex34.htm" TargetMode="External"/><Relationship Id="rId306" Type="http://schemas.openxmlformats.org/officeDocument/2006/relationships/hyperlink" Target="http://www.sec.gov/Archives/edgar/data/0001713683/000119312518048303/d400527dex41.htm" TargetMode="External"/><Relationship Id="rId307" Type="http://schemas.openxmlformats.org/officeDocument/2006/relationships/hyperlink" Target="http://www.sec.gov/Archives/edgar/data/0001713683/000119312518048303/d400527dex42.htm" TargetMode="External"/><Relationship Id="rId308" Type="http://schemas.openxmlformats.org/officeDocument/2006/relationships/hyperlink" Target="http://www.sec.gov/Archives/edgar/data/0001713683/000119312518048303/d400527dex101.htm" TargetMode="External"/><Relationship Id="rId309" Type="http://schemas.openxmlformats.org/officeDocument/2006/relationships/hyperlink" Target="http://www.sec.gov/Archives/edgar/data/1713683/000119312518069515/d400527dex102.htm" TargetMode="External"/><Relationship Id="rId310" Type="http://schemas.openxmlformats.org/officeDocument/2006/relationships/hyperlink" Target="http://www.sec.gov/Archives/edgar/data/1713683/000119312518069515/d400527dex104.htm" TargetMode="External"/><Relationship Id="rId311" Type="http://schemas.openxmlformats.org/officeDocument/2006/relationships/hyperlink" Target="http://www.sec.gov/Archives/edgar/data/0001713683/000119312518048303/d400527dex105.htm" TargetMode="External"/><Relationship Id="rId312" Type="http://schemas.openxmlformats.org/officeDocument/2006/relationships/hyperlink" Target="http://www.sec.gov/Archives/edgar/data/0001713683/000119312518048303/d400527dex106.htm" TargetMode="External"/><Relationship Id="rId313" Type="http://schemas.openxmlformats.org/officeDocument/2006/relationships/hyperlink" Target="http://www.sec.gov/Archives/edgar/data/0001713683/000119312518048303/d400527dex107.htm" TargetMode="External"/><Relationship Id="rId314" Type="http://schemas.openxmlformats.org/officeDocument/2006/relationships/hyperlink" Target="http://www.sec.gov/Archives/edgar/data/0001713683/000119312518048303/d400527dex108.htm" TargetMode="External"/><Relationship Id="rId315" Type="http://schemas.openxmlformats.org/officeDocument/2006/relationships/hyperlink" Target="http://www.sec.gov/Archives/edgar/data/0001713683/000119312518048303/d400527dex109.htm" TargetMode="External"/><Relationship Id="rId316" Type="http://schemas.openxmlformats.org/officeDocument/2006/relationships/hyperlink" Target="http://www.sec.gov/Archives/edgar/data/0001713683/000119312518048303/d400527dex1010.htm" TargetMode="External"/><Relationship Id="rId317" Type="http://schemas.openxmlformats.org/officeDocument/2006/relationships/hyperlink" Target="http://www.sec.gov/Archives/edgar/data/0001713683/000119312518048303/d400527dex1011.htm" TargetMode="External"/><Relationship Id="rId318" Type="http://schemas.openxmlformats.org/officeDocument/2006/relationships/hyperlink" Target="http://www.sec.gov/Archives/edgar/data/0001713683/000119312518048303/d400527dex1012.htm" TargetMode="External"/><Relationship Id="rId319" Type="http://schemas.openxmlformats.org/officeDocument/2006/relationships/hyperlink" Target="http://www.sec.gov/Archives/edgar/data/0001713683/000119312518048303/d400527dex1013.htm" TargetMode="External"/><Relationship Id="rId320" Type="http://schemas.openxmlformats.org/officeDocument/2006/relationships/hyperlink" Target="http://www.sec.gov/Archives/edgar/data/0001713683/000119312518048303/d400527dex1014.htm" TargetMode="External"/><Relationship Id="rId321" Type="http://schemas.openxmlformats.org/officeDocument/2006/relationships/hyperlink" Target="http://www.sec.gov/Archives/edgar/data/0001713683/000119312518048303/d400527dex1015.htm" TargetMode="External"/><Relationship Id="rId322" Type="http://schemas.openxmlformats.org/officeDocument/2006/relationships/hyperlink" Target="http://www.sec.gov/Archives/edgar/data/0001713683/000119312518048303/d400527dex1016.htm" TargetMode="External"/><Relationship Id="rId323" Type="http://schemas.openxmlformats.org/officeDocument/2006/relationships/hyperlink" Target="http://www.sec.gov/Archives/edgar/data/0001713683/000119312518048303/d400527dex1017.htm" TargetMode="External"/><Relationship Id="rId324" Type="http://schemas.openxmlformats.org/officeDocument/2006/relationships/hyperlink" Target="http://www.sec.gov/Archives/edgar/data/0001713683/000119312518048303/d400527dex1018.htm" TargetMode="External"/><Relationship Id="rId325" Type="http://schemas.openxmlformats.org/officeDocument/2006/relationships/hyperlink" Target="http://www.sec.gov/Archives/edgar/data/0001713683/000119312518048303/d400527dex1019.htm" TargetMode="External"/><Relationship Id="rId326" Type="http://schemas.openxmlformats.org/officeDocument/2006/relationships/hyperlink" Target="http://www.sec.gov/Archives/edgar/data/0001713683/000119312518048303/d400527dex1020.htm" TargetMode="External"/><Relationship Id="rId327" Type="http://schemas.openxmlformats.org/officeDocument/2006/relationships/hyperlink" Target="http://www.sec.gov/Archives/edgar/data/0001713683/000119312518048303/d400527dex211.htm" TargetMode="External"/><Relationship Id="rId328" Type="http://schemas.openxmlformats.org/officeDocument/2006/relationships/hyperlink" Target="http://www.sec.gov/Archives/edgar/data/1713683/000119312518048303/d400527ds1.htm#exind400527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2019-12-08T16:34:21Z</dcterms:created>
  <dcterms:modified xsi:type="dcterms:W3CDTF">2019-12-08T16:34:21Z</dcterms:modified>
</cp:coreProperties>
</file>