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59"/>
        <w:gridCol w:w="953"/>
        <w:gridCol w:w="697"/>
        <w:gridCol w:w="563"/>
        <w:gridCol w:w="563"/>
        <w:gridCol w:w="563"/>
        <w:gridCol w:w="563"/>
        <w:gridCol w:w="563"/>
        <w:gridCol w:w="563"/>
        <w:gridCol w:w="563"/>
        <w:gridCol w:w="563"/>
        <w:gridCol w:w="563"/>
        <w:gridCol w:w="823"/>
        <w:gridCol w:w="706"/>
        <w:gridCol w:w="800"/>
      </w:tblGrid>
      <w:tr>
        <w:trPr/>
        <w:tc>
          <w:tcPr>
            <w:tcW w:w="115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filed with the Securities and Exchange Commission on September 3, 2026 Registration No. 333- </w:t>
            </w:r>
          </w:p>
        </w:tc>
      </w:tr>
      <w:tr>
        <w:trPr/>
        <w:tc>
          <w:tcPr>
            <w:tcW w:w="10205" w:type="dxa"/>
            <w:gridSpan w:val="15"/>
            <w:tcBorders>
              <w:top w:val="double" w:sz="8" w:space="0" w:color="000000"/>
            </w:tcBorders>
            <w:tcMar>
              <w:top w:w="30" w:type="dxa"/>
              <w:left w:w="0" w:type="dxa"/>
              <w:bottom w:w="0" w:type="dxa"/>
              <w:right w:w="0" w:type="dxa"/>
            </w:tcMar>
            <w:vAlign w:val="center"/>
          </w:tcPr>
          <w:p>
            <w:pPr>
              <w:pStyle w:val="TableContents"/>
              <w:bidi w:val="0"/>
              <w:spacing w:lineRule="auto" w:line="276" w:before="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ableContents"/>
              <w:bidi w:val="0"/>
              <w:spacing w:lineRule="auto" w:line="276" w:before="8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Washington, D.C. 20549</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0"/>
              </w:rPr>
            </w:pPr>
            <w:r>
              <w:rPr>
                <w:rFonts w:ascii="Times New Roman;serif" w:hAnsi="Times New Roman;serif"/>
                <w:b/>
                <w:color w:val="000000"/>
                <w:sz w:val="30"/>
              </w:rPr>
              <w:t>FORM S</w:t>
              <w:noBreakHyphen/>
              <w:t>8</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6"/>
              </w:rPr>
            </w:pPr>
            <w:r>
              <w:rPr>
                <w:rFonts w:ascii="Times New Roman;serif" w:hAnsi="Times New Roman;serif"/>
                <w:b/>
                <w:color w:val="000000"/>
                <w:sz w:val="26"/>
              </w:rPr>
              <w:t>REGISTRATION STATEMENT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Under</w:t>
              <w:br/>
              <w:t>The Securities Act of 1933</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ZSCALER,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50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26-1173892</w:t>
            </w:r>
          </w:p>
        </w:tc>
      </w:tr>
      <w:tr>
        <w:trPr/>
        <w:tc>
          <w:tcPr>
            <w:tcW w:w="2809"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4"/>
              </w:rPr>
            </w:pPr>
            <w:r>
              <w:rPr>
                <w:rFonts w:ascii="Times New Roman;serif" w:hAnsi="Times New Roman;serif"/>
                <w:b/>
                <w:color w:val="000000"/>
                <w:sz w:val="14"/>
              </w:rPr>
              <w:t xml:space="preserve">(State or other jurisdiction of </w:t>
              <w:br/>
              <w:t>incorporation or organization)</w:t>
            </w:r>
          </w:p>
        </w:tc>
        <w:tc>
          <w:tcPr>
            <w:tcW w:w="50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4"/>
              </w:rPr>
            </w:pPr>
            <w:r>
              <w:rPr>
                <w:rFonts w:ascii="Times New Roman;serif" w:hAnsi="Times New Roman;serif"/>
                <w:b/>
                <w:color w:val="000000"/>
                <w:sz w:val="14"/>
              </w:rPr>
              <w:t xml:space="preserve">(I.R.S. Employer </w:t>
              <w:br/>
              <w:t>Identification Number)</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120 Holger Way</w:t>
              <w:br/>
              <w:t>San Jose, California 95134</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 including zip code)</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18"/>
              </w:rPr>
            </w:pPr>
            <w:r>
              <w:rPr>
                <w:rFonts w:ascii="Times New Roman;serif" w:hAnsi="Times New Roman;serif"/>
                <w:b/>
                <w:color w:val="000000"/>
                <w:sz w:val="18"/>
              </w:rPr>
              <w:t>Amended and Restated FY2018 Equity Incentive Plan</w:t>
            </w:r>
          </w:p>
          <w:p>
            <w:pPr>
              <w:pStyle w:val="TableContents"/>
              <w:bidi w:val="0"/>
              <w:spacing w:lineRule="auto" w:line="240" w:before="60" w:after="283"/>
              <w:jc w:val="center"/>
              <w:rPr>
                <w:rFonts w:ascii="Times New Roman;serif" w:hAnsi="Times New Roman;serif"/>
                <w:b/>
                <w:color w:val="000000"/>
                <w:sz w:val="18"/>
              </w:rPr>
            </w:pPr>
            <w:r>
              <w:rPr>
                <w:rFonts w:ascii="Times New Roman;serif" w:hAnsi="Times New Roman;serif"/>
                <w:b/>
                <w:color w:val="000000"/>
                <w:sz w:val="18"/>
              </w:rPr>
              <w:t>FY2018 Employee Stock Purchase Plan</w:t>
            </w:r>
          </w:p>
          <w:p>
            <w:pPr>
              <w:pStyle w:val="TableContents"/>
              <w:bidi w:val="0"/>
              <w:spacing w:before="60" w:after="283"/>
              <w:jc w:val="center"/>
              <w:rPr/>
            </w:pPr>
            <w:r>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(Full title of the plan)</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Jagtar Chaudhry</w:t>
              <w:br/>
              <w:t xml:space="preserve"> Chief Executive Officer and Chairman </w:t>
              <w:br/>
              <w:t xml:space="preserve">Zscaler, Inc. </w:t>
              <w:br/>
              <w:t>120 Holger Way</w:t>
              <w:br/>
              <w:t>San Jose, California 95134</w:t>
              <w:br/>
              <w:t>(408) 533-0288</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(Name, address and telephone number, including area code, of agent for service) </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9"/>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val="false"/>
                <w:i/>
                <w:color w:val="000000"/>
                <w:sz w:val="18"/>
              </w:rPr>
            </w:pPr>
            <w:r>
              <w:rPr>
                <w:rFonts w:ascii="Times New Roman;serif" w:hAnsi="Times New Roman;serif"/>
                <w:b w:val="false"/>
                <w:i/>
                <w:color w:val="000000"/>
                <w:sz w:val="18"/>
              </w:rPr>
              <w:t>Copies to:</w:t>
            </w:r>
          </w:p>
        </w:tc>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8"/>
              </w:rPr>
              <w:br/>
            </w:r>
            <w:r>
              <w:rPr>
                <w:rFonts w:ascii="Times New Roman;serif" w:hAnsi="Times New Roman;serif"/>
                <w:b/>
                <w:color w:val="000000"/>
                <w:sz w:val="18"/>
              </w:rPr>
              <w:t>Mark B. Baudler, Esq.</w:t>
              <w:br/>
              <w:t>Lianna C. Whittleton, Esq.</w:t>
              <w:br/>
              <w:t>Wilson Sonsini Goodrich &amp; Rosati, P.C.</w:t>
              <w:br/>
              <w:t>650 Page Mill Road</w:t>
              <w:br/>
              <w:t>Palo Alto, California 94304</w:t>
              <w:br/>
              <w:t>(650) 493-9300</w:t>
            </w:r>
          </w:p>
        </w:tc>
        <w:tc>
          <w:tcPr>
            <w:tcW w:w="5707" w:type="dxa"/>
            <w:gridSpan w:val="9"/>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Robert Schlossman, Esq.</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Chief Legal Officer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Zscaler, Inc.</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120 Holger Way</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San Jose, California 95134</w:t>
            </w:r>
          </w:p>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(408) 533-0288</w:t>
            </w:r>
          </w:p>
          <w:p>
            <w:pPr>
              <w:pStyle w:val="TableContents"/>
              <w:bidi w:val="0"/>
              <w:spacing w:before="0" w:after="0"/>
              <w:jc w:val="center"/>
              <w:rPr/>
            </w:pPr>
            <w:r>
              <w:rPr/>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6187" w:type="dxa"/>
            <w:gridSpan w:val="9"/>
            <w:tcBorders/>
            <w:tcMar>
              <w:top w:w="0" w:type="dxa"/>
              <w:left w:w="0" w:type="dxa"/>
              <w:bottom w:w="0" w:type="dxa"/>
              <w:right w:w="0" w:type="dxa"/>
            </w:tcMar>
            <w:vAlign w:val="center"/>
          </w:tcPr>
          <w:p>
            <w:pPr>
              <w:pStyle w:val="TableContents"/>
              <w:bidi w:val="0"/>
              <w:spacing w:lineRule="auto" w:line="240" w:before="60" w:after="283"/>
              <w:jc w:val="left"/>
              <w:rPr/>
            </w:pPr>
            <w:r>
              <w:rPr>
                <w:rFonts w:ascii="Times New Roman;serif" w:hAnsi="Times New Roman;serif"/>
                <w:b w:val="false"/>
                <w:color w:val="000000"/>
                <w:sz w:val="16"/>
              </w:rPr>
              <w:t xml:space="preserve">Large accelerated filer </w:t>
            </w:r>
            <w:r>
              <w:rPr>
                <w:color w:val="000000"/>
              </w:rPr>
              <w:t>☒</w:t>
            </w:r>
            <w:r>
              <w:rPr>
                <w:rFonts w:ascii="Times New Roman;serif" w:hAnsi="Times New Roman;serif"/>
                <w:b w:val="false"/>
                <w:color w:val="000000"/>
                <w:sz w:val="20"/>
              </w:rPr>
              <w:br/>
            </w:r>
            <w:r>
              <w:rPr>
                <w:rFonts w:ascii="Times New Roman;serif" w:hAnsi="Times New Roman;serif"/>
                <w:b w:val="false"/>
                <w:color w:val="000000"/>
                <w:sz w:val="16"/>
              </w:rPr>
              <w:t xml:space="preserve">Non-accelerated filer </w:t>
            </w:r>
            <w:r>
              <w:rPr>
                <w:color w:val="000000"/>
              </w:rPr>
              <w:t xml:space="preserve">☐ </w:t>
            </w:r>
          </w:p>
        </w:tc>
        <w:tc>
          <w:tcPr>
            <w:tcW w:w="401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Accelerated filer </w:t>
            </w:r>
            <w:r>
              <w:rPr>
                <w:color w:val="000000"/>
              </w:rPr>
              <w:t xml:space="preserve">☐ </w:t>
            </w:r>
            <w:r>
              <w:rPr>
                <w:rFonts w:ascii="Times New Roman;serif" w:hAnsi="Times New Roman;serif"/>
                <w:b w:val="false"/>
                <w:color w:val="000000"/>
                <w:sz w:val="16"/>
              </w:rPr>
              <w:br/>
              <w:t xml:space="preserve">Smaller reporting company </w:t>
            </w:r>
            <w:r>
              <w:rPr>
                <w:color w:val="000000"/>
              </w:rPr>
              <w:t xml:space="preserve">☐ </w:t>
            </w:r>
          </w:p>
          <w:p>
            <w:pPr>
              <w:pStyle w:val="TableContents"/>
              <w:bidi w:val="0"/>
              <w:spacing w:lineRule="auto" w:line="240" w:before="0" w:after="0"/>
              <w:jc w:val="left"/>
              <w:rPr/>
            </w:pPr>
            <w:r>
              <w:rPr>
                <w:rFonts w:ascii="Times New Roman;serif" w:hAnsi="Times New Roman;serif"/>
                <w:b w:val="false"/>
                <w:color w:val="000000"/>
                <w:sz w:val="16"/>
              </w:rPr>
              <w:t xml:space="preserve">Emerging growth company </w:t>
            </w:r>
            <w:r>
              <w:rPr>
                <w:color w:val="000000"/>
              </w:rPr>
              <w:t>☐</w:t>
            </w:r>
          </w:p>
          <w:p>
            <w:pPr>
              <w:pStyle w:val="TableContents"/>
              <w:bidi w:val="0"/>
              <w:spacing w:before="0" w:after="0"/>
              <w:jc w:val="left"/>
              <w:rPr/>
            </w:pPr>
            <w:r>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120" w:after="283"/>
        <w:ind w:left="0" w:right="0" w:firstLine="720"/>
        <w:jc w:val="center"/>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This Registration Statement on Form S-8 (this “Registration Statement”) registers additional shares of common stock of Zscaler, Inc. (the “Registrant”) under the Zscaler, Inc. Amended and Restated FY2018 Equity Incentive Plan (the “2018 Plan”) and the Zscaler, Inc. FY2018 Employee Stock Purchase Plan (the “2018 ESPP”) for which a registration statement on Form S-8 (No. 333-223740) was filed with the Securities and Exchange Commission (the “Commission”) on March 16, 2018 and related registration statements on Form S-8 (No. 333-227323, No. 333-233831, No. 333-248870, No. 333-259587, No. 333-267439, No. 333-274512, No. 333-282061 and No. 333-290190) were filed with the Commission on September 13, 2018, September 18, 2019, September 17, 2020, September 16, 2021, September 15, 2022, September 14, 2023, September 12, 2024 and September 11, 2025, respectively. Pursuant to General Instruction E to Form S-8, the contents of such earlier registration statements are incorporated by reference into this Registration Statement, except that the provisions contained in Part II of such earlier registration statements are modified as set forth in this Registration Statement. The number of shares of the Registrant’s common stock available for grant and issuance under the 2018 Plan is subject to an annual increase on the first day of each fiscal year by an amount equal to the least of (i) 12,700,000 shares of common stock, (ii) five percent (5%) of the outstanding shares of common stock on the last day of the immediately preceding fiscal year or (iii) such number of shares of common stock determined by the Registrant’s board of directors (the “2018 Plan Evergreen Provision”). The number of shares of the Registrant’s common stock available for issuance under the 2018 ESPP is subject to an annual increase on the first day of each fiscal year by an amount equal to the least of (i) 2,200,000 shares of common stock, (ii) one percent (1%) of the outstanding shares of common stock on the last day of the immediately preceding fiscal year or (iii) such amount as determined by the administrator of the 2018 ESPP (the “2018 ESPP Evergreen Provision,” and along with the 2018 Plan Evergreen Provision, the “Evergreen Provisions”). On August 1, 2026, the number of shares of the Registrant’s common stock available for grant and issuance under the 2018 Plan and available for issuance under the 2018 ESPP increased by 8,152,720 and 1,630,544 shares,</w:t>
      </w:r>
      <w:r>
        <w:rPr>
          <w:color w:val="000000"/>
        </w:rPr>
        <w:t xml:space="preserve"> </w:t>
      </w:r>
      <w:r>
        <w:rPr>
          <w:rFonts w:ascii="Times New Roman;serif" w:hAnsi="Times New Roman;serif"/>
          <w:b w:val="false"/>
          <w:color w:val="000000"/>
          <w:sz w:val="20"/>
        </w:rPr>
        <w:t>respectively. This Registration Statement registers such additional shares of the Registrant’s common stock, which were available for grant and issuance under the 2018 Plan and available for issuance under the 2018 ESPP pursuant to the Evergreen Provisions as of August 1,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INFORMATION REQUIRED IN REGISTRATION STATEMENT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88" w:before="240" w:after="240"/>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documents filed with the Commission by the Registrant are incorporated by reference into this Registration Statement: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 xml:space="preserve">The Registrant’s Annual Report on Form 10-K for the fiscal year ended July 31, 2026, (the “Annual Report”), filed with the Commission on </w:t>
      </w:r>
      <w:r>
        <w:rPr>
          <w:rFonts w:ascii="Times New Roman;serif" w:hAnsi="Times New Roman;serif"/>
          <w:b w:val="false"/>
          <w:color w:val="000000"/>
          <w:sz w:val="20"/>
        </w:rPr>
        <w:t xml:space="preserve">September 3, 2026 </w:t>
      </w:r>
      <w:r>
        <w:rPr>
          <w:rFonts w:ascii="Times New Roman;serif" w:hAnsi="Times New Roman;serif"/>
          <w:b w:val="false"/>
          <w:color w:val="000000"/>
          <w:sz w:val="20"/>
          <w:shd w:fill="FFFFFF" w:val="clear"/>
        </w:rPr>
        <w:t>pursuant to Section 13(a) of the Securities Exchange Act of 1934, as amended (the “Exchange Act”)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(2)All other reports filed with the Commission pursuant to Section 13(a) or 15(d) of the Exchange Act (other than the reports, or portions thereof, deemed to have been furnished and not filed with the Commission) since the end of the fiscal year covered by the Annual Report referred to in (1) above; and</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(3)The description of the Registrant’s common stock contained in the Registrant’s Registration Statement on Form 8-A (File No. 001-38413) filed with the Commission on March 5, 2018, pursuant to Section 12(b) of the Exchange Act, including any amendment or report filed for the purpose of updating such description. </w:t>
      </w:r>
    </w:p>
    <w:p>
      <w:pPr>
        <w:pStyle w:val="TextBody"/>
        <w:bidi w:val="0"/>
        <w:spacing w:lineRule="auto" w:line="288" w:before="1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160" w:after="283"/>
        <w:jc w:val="both"/>
        <w:rPr/>
      </w:pPr>
      <w:r>
        <w:rPr>
          <w:rFonts w:ascii="Times New Roman;serif" w:hAnsi="Times New Roman;serif"/>
          <w:b w:val="false"/>
          <w:color w:val="000000"/>
          <w:sz w:val="20"/>
        </w:rPr>
        <w:t xml:space="preserve">hereof from the date of filing of such documents;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314"/>
        <w:gridCol w:w="1926"/>
        <w:gridCol w:w="1932"/>
        <w:gridCol w:w="195"/>
        <w:gridCol w:w="195"/>
        <w:gridCol w:w="196"/>
        <w:gridCol w:w="326"/>
        <w:gridCol w:w="326"/>
        <w:gridCol w:w="315"/>
        <w:gridCol w:w="245"/>
        <w:gridCol w:w="245"/>
        <w:gridCol w:w="246"/>
        <w:gridCol w:w="272"/>
        <w:gridCol w:w="272"/>
        <w:gridCol w:w="38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 xml:space="preserve">Exhibit </w:t>
              <w:br/>
              <w:t>Number</w:t>
            </w:r>
          </w:p>
        </w:tc>
        <w:tc>
          <w:tcPr>
            <w:tcW w:w="6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Description</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Form</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Exhibit</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6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80"/>
              <w:jc w:val="left"/>
              <w:rPr/>
            </w:pPr>
            <w:hyperlink r:id="rId2">
              <w:r>
                <w:rPr>
                  <w:rStyle w:val="InternetLink"/>
                  <w:rFonts w:ascii="Times New Roman;serif" w:hAnsi="Times New Roman;serif"/>
                  <w:b w:val="false"/>
                  <w:color w:val="0000FF"/>
                  <w:sz w:val="20"/>
                  <w:u w:val="single"/>
                </w:rPr>
                <w:t>Form of Common Stock Certificate of the Registrant</w:t>
              </w:r>
            </w:hyperlink>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val="false"/>
                <w:color w:val="000000"/>
                <w:sz w:val="20"/>
              </w:rPr>
            </w:pPr>
            <w:r>
              <w:rPr>
                <w:rFonts w:ascii="Times New Roman;serif" w:hAnsi="Times New Roman;serif"/>
                <w:b w:val="false"/>
                <w:color w:val="000000"/>
                <w:sz w:val="20"/>
              </w:rPr>
              <w:t>333-223072</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val="false"/>
                <w:color w:val="000000"/>
                <w:sz w:val="20"/>
              </w:rPr>
            </w:pPr>
            <w:r>
              <w:rPr>
                <w:rFonts w:ascii="Times New Roman;serif" w:hAnsi="Times New Roman;serif"/>
                <w:b w:val="false"/>
                <w:color w:val="000000"/>
                <w:sz w:val="20"/>
              </w:rPr>
              <w:t>2/16/2018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6172" w:type="dxa"/>
            <w:gridSpan w:val="3"/>
            <w:tcBorders/>
            <w:tcMar>
              <w:top w:w="0" w:type="dxa"/>
              <w:left w:w="0" w:type="dxa"/>
              <w:bottom w:w="0" w:type="dxa"/>
              <w:right w:w="0" w:type="dxa"/>
            </w:tcMar>
            <w:vAlign w:val="center"/>
          </w:tcPr>
          <w:p>
            <w:pPr>
              <w:pStyle w:val="TableContents"/>
              <w:bidi w:val="0"/>
              <w:spacing w:lineRule="auto" w:line="240" w:before="0" w:after="80"/>
              <w:jc w:val="left"/>
              <w:rPr/>
            </w:pPr>
            <w:hyperlink r:id="rId3">
              <w:r>
                <w:rPr>
                  <w:rStyle w:val="InternetLink"/>
                  <w:rFonts w:ascii="Times New Roman;serif" w:hAnsi="Times New Roman;serif"/>
                  <w:b w:val="false"/>
                  <w:color w:val="0000FF"/>
                  <w:sz w:val="20"/>
                  <w:u w:val="single"/>
                </w:rPr>
                <w:t>Amended and Restated FY2018 Equity Incentive Plan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967"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val="false"/>
                <w:color w:val="000000"/>
                <w:sz w:val="20"/>
              </w:rPr>
            </w:pPr>
            <w:r>
              <w:rPr>
                <w:rFonts w:ascii="Times New Roman;serif" w:hAnsi="Times New Roman;serif"/>
                <w:b w:val="false"/>
                <w:color w:val="000000"/>
                <w:sz w:val="20"/>
              </w:rPr>
              <w:t>001-38413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val="false"/>
                <w:color w:val="000000"/>
                <w:sz w:val="20"/>
              </w:rPr>
            </w:pPr>
            <w:r>
              <w:rPr>
                <w:rFonts w:ascii="Times New Roman;serif" w:hAnsi="Times New Roman;serif"/>
                <w:b w:val="false"/>
                <w:color w:val="000000"/>
                <w:sz w:val="20"/>
              </w:rPr>
              <w:t>9/11/2025</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6172"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r:id="rId4">
              <w:r>
                <w:rPr>
                  <w:rStyle w:val="InternetLink"/>
                  <w:rFonts w:ascii="Times New Roman;serif" w:hAnsi="Times New Roman;serif"/>
                  <w:b w:val="false"/>
                  <w:color w:val="0000FF"/>
                  <w:sz w:val="20"/>
                  <w:u w:val="single"/>
                </w:rPr>
                <w:t>FY2018 Employee Stock Purchase Plan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967"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val="false"/>
                <w:color w:val="000000"/>
                <w:sz w:val="20"/>
              </w:rPr>
            </w:pPr>
            <w:r>
              <w:rPr>
                <w:rFonts w:ascii="Times New Roman;serif" w:hAnsi="Times New Roman;serif"/>
                <w:b w:val="false"/>
                <w:color w:val="000000"/>
                <w:sz w:val="20"/>
              </w:rPr>
              <w:t>333-223072</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val="false"/>
                <w:color w:val="000000"/>
                <w:sz w:val="20"/>
              </w:rPr>
            </w:pPr>
            <w:r>
              <w:rPr>
                <w:rFonts w:ascii="Times New Roman;serif" w:hAnsi="Times New Roman;serif"/>
                <w:b w:val="false"/>
                <w:color w:val="000000"/>
                <w:sz w:val="20"/>
              </w:rPr>
              <w:t>3/13/2018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6172" w:type="dxa"/>
            <w:gridSpan w:val="3"/>
            <w:tcBorders/>
            <w:tcMar>
              <w:top w:w="0" w:type="dxa"/>
              <w:left w:w="0" w:type="dxa"/>
              <w:bottom w:w="0" w:type="dxa"/>
              <w:right w:w="0" w:type="dxa"/>
            </w:tcMar>
            <w:vAlign w:val="center"/>
          </w:tcPr>
          <w:p>
            <w:pPr>
              <w:pStyle w:val="TableContents"/>
              <w:bidi w:val="0"/>
              <w:spacing w:lineRule="auto" w:line="240" w:before="0" w:after="80"/>
              <w:jc w:val="left"/>
              <w:rPr/>
            </w:pPr>
            <w:hyperlink w:anchor="zsexhibit512026.htm">
              <w:r>
                <w:rPr>
                  <w:rStyle w:val="InternetLink"/>
                  <w:rFonts w:ascii="Times New Roman;serif" w:hAnsi="Times New Roman;serif"/>
                  <w:b w:val="false"/>
                  <w:color w:val="0000FF"/>
                  <w:sz w:val="20"/>
                  <w:u w:val="single"/>
                </w:rPr>
                <w:t>Opinion of Wilson Sonsini Goodrich &amp; Rosati, Professional Corporation</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6172" w:type="dxa"/>
            <w:gridSpan w:val="3"/>
            <w:tcBorders/>
            <w:tcMar>
              <w:top w:w="0" w:type="dxa"/>
              <w:left w:w="0" w:type="dxa"/>
              <w:bottom w:w="0" w:type="dxa"/>
              <w:right w:w="0" w:type="dxa"/>
            </w:tcMar>
            <w:vAlign w:val="center"/>
          </w:tcPr>
          <w:p>
            <w:pPr>
              <w:pStyle w:val="TableContents"/>
              <w:bidi w:val="0"/>
              <w:spacing w:lineRule="auto" w:line="240" w:before="0" w:after="80"/>
              <w:jc w:val="left"/>
              <w:rPr/>
            </w:pPr>
            <w:hyperlink w:anchor="zsexhibit2312026.htm">
              <w:r>
                <w:rPr>
                  <w:rStyle w:val="InternetLink"/>
                  <w:rFonts w:ascii="Times New Roman;serif" w:hAnsi="Times New Roman;serif"/>
                  <w:b w:val="false"/>
                  <w:color w:val="0000FF"/>
                  <w:sz w:val="20"/>
                  <w:u w:val="single"/>
                </w:rPr>
                <w:t>Consent of PricewaterhouseCoopers LLP, Independent Registered Public Accounting Firm</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6172" w:type="dxa"/>
            <w:gridSpan w:val="3"/>
            <w:tcBorders/>
            <w:tcMar>
              <w:top w:w="0" w:type="dxa"/>
              <w:left w:w="0" w:type="dxa"/>
              <w:bottom w:w="0" w:type="dxa"/>
              <w:right w:w="0" w:type="dxa"/>
            </w:tcMar>
            <w:vAlign w:val="center"/>
          </w:tcPr>
          <w:p>
            <w:pPr>
              <w:pStyle w:val="TableContents"/>
              <w:bidi w:val="0"/>
              <w:spacing w:lineRule="auto" w:line="240" w:before="0" w:after="80"/>
              <w:jc w:val="left"/>
              <w:rPr/>
            </w:pPr>
            <w:hyperlink w:anchor="zsexhibit512026.htm">
              <w:r>
                <w:rPr>
                  <w:rStyle w:val="InternetLink"/>
                  <w:rFonts w:ascii="Times New Roman;serif" w:hAnsi="Times New Roman;serif"/>
                  <w:b w:val="false"/>
                  <w:color w:val="0000FF"/>
                  <w:sz w:val="20"/>
                  <w:u w:val="single"/>
                </w:rPr>
                <w:t>Consent of Wilson Sonsini Goodrich &amp; Rosati, Professional Corporation (contained in Exhibit 5.1 hereto)</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6172" w:type="dxa"/>
            <w:gridSpan w:val="3"/>
            <w:tcBorders/>
            <w:tcMar>
              <w:top w:w="0" w:type="dxa"/>
              <w:left w:w="0" w:type="dxa"/>
              <w:bottom w:w="0" w:type="dxa"/>
              <w:right w:w="0" w:type="dxa"/>
            </w:tcMar>
            <w:vAlign w:val="center"/>
          </w:tcPr>
          <w:p>
            <w:pPr>
              <w:pStyle w:val="TableContents"/>
              <w:bidi w:val="0"/>
              <w:spacing w:lineRule="auto" w:line="240" w:before="0" w:after="80"/>
              <w:jc w:val="left"/>
              <w:rPr/>
            </w:pPr>
            <w:hyperlink w:anchor="ie4aa87bc9bd44ef6824811d9a8095818_7">
              <w:r>
                <w:rPr>
                  <w:rStyle w:val="InternetLink"/>
                  <w:rFonts w:ascii="Times New Roman;serif" w:hAnsi="Times New Roman;serif"/>
                  <w:b w:val="false"/>
                  <w:color w:val="0000FF"/>
                  <w:sz w:val="20"/>
                  <w:u w:val="single"/>
                </w:rPr>
                <w:t>Power of Attorney (contained on signature page hereto)</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107.1</w:t>
            </w:r>
          </w:p>
        </w:tc>
        <w:tc>
          <w:tcPr>
            <w:tcW w:w="6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September 3, 2026.</w:t>
      </w:r>
    </w:p>
    <w:p>
      <w:pPr>
        <w:pStyle w:val="TextBody"/>
        <w:bidi w:val="0"/>
        <w:spacing w:lineRule="auto" w:line="288" w:before="0" w:after="0"/>
        <w:jc w:val="left"/>
        <w:rPr>
          <w:color w:val="000000"/>
        </w:rPr>
      </w:pPr>
      <w:r>
        <w:rPr>
          <w:color w:val="000000"/>
        </w:rPr>
        <w:t> </w:t>
      </w:r>
    </w:p>
    <w:tbl>
      <w:tblPr>
        <w:tblW w:w="5714" w:type="dxa"/>
        <w:jc w:val="right"/>
        <w:tblInd w:w="0" w:type="dxa"/>
        <w:tblLayout w:type="fixed"/>
        <w:tblCellMar>
          <w:top w:w="28" w:type="dxa"/>
          <w:left w:w="28" w:type="dxa"/>
          <w:bottom w:w="28" w:type="dxa"/>
          <w:right w:w="28" w:type="dxa"/>
        </w:tblCellMar>
      </w:tblPr>
      <w:tblGrid>
        <w:gridCol w:w="151"/>
        <w:gridCol w:w="134"/>
        <w:gridCol w:w="135"/>
        <w:gridCol w:w="1549"/>
        <w:gridCol w:w="1549"/>
        <w:gridCol w:w="219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ZSCALER,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Jagtar Chaudhry </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Jagtar Chaudhry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of Directors</w:t>
            </w:r>
          </w:p>
        </w:tc>
      </w:tr>
    </w:tbl>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hereby constitutes and appoints Jagtar Chaudhry and Kevin Rubin, and each of them, as his or her true and lawful attorney in fact and agent with full power of substitution, for him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proxy and agent, or his or her substitute, may lawfully do or cause to be done by virtue hereof.</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on Form S-8 has been signed by the following persons in the capacities and on the dates indicated.</w:t>
      </w:r>
    </w:p>
    <w:p>
      <w:pPr>
        <w:pStyle w:val="TextBody"/>
        <w:bidi w:val="0"/>
        <w:spacing w:lineRule="auto" w:line="288" w:before="0" w:after="0"/>
        <w:jc w:val="left"/>
        <w:rPr>
          <w:color w:val="000000"/>
        </w:rPr>
      </w:pPr>
      <w:r>
        <w:rPr>
          <w:color w:val="000000"/>
        </w:rPr>
        <w:t> </w:t>
      </w:r>
    </w:p>
    <w:tbl>
      <w:tblPr>
        <w:tblW w:w="8728" w:type="dxa"/>
        <w:jc w:val="left"/>
        <w:tblInd w:w="0" w:type="dxa"/>
        <w:tblLayout w:type="fixed"/>
        <w:tblCellMar>
          <w:top w:w="28" w:type="dxa"/>
          <w:left w:w="28" w:type="dxa"/>
          <w:bottom w:w="28" w:type="dxa"/>
          <w:right w:w="28" w:type="dxa"/>
        </w:tblCellMar>
      </w:tblPr>
      <w:tblGrid>
        <w:gridCol w:w="657"/>
        <w:gridCol w:w="577"/>
        <w:gridCol w:w="581"/>
        <w:gridCol w:w="1742"/>
        <w:gridCol w:w="1742"/>
        <w:gridCol w:w="1765"/>
        <w:gridCol w:w="486"/>
        <w:gridCol w:w="486"/>
        <w:gridCol w:w="692"/>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Signature</w:t>
            </w:r>
          </w:p>
          <w:p>
            <w:pPr>
              <w:pStyle w:val="TableContents"/>
              <w:bidi w:val="0"/>
              <w:spacing w:lineRule="auto" w:line="240" w:before="20" w:after="283"/>
              <w:jc w:val="center"/>
              <w:rPr>
                <w:color w:val="000000"/>
              </w:rPr>
            </w:pPr>
            <w:r>
              <w:rPr>
                <w:color w:val="000000"/>
              </w:rPr>
              <w:t> </w:t>
            </w:r>
          </w:p>
        </w:tc>
        <w:tc>
          <w:tcPr>
            <w:tcW w:w="5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Title</w:t>
            </w:r>
          </w:p>
          <w:p>
            <w:pPr>
              <w:pStyle w:val="TableContents"/>
              <w:bidi w:val="0"/>
              <w:spacing w:lineRule="auto" w:line="240" w:before="0" w:after="0"/>
              <w:jc w:val="left"/>
              <w:rPr>
                <w:color w:val="000000"/>
              </w:rPr>
            </w:pPr>
            <w:r>
              <w:rPr>
                <w:color w:val="000000"/>
              </w:rPr>
              <w:t> </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w:t>
            </w:r>
          </w:p>
          <w:p>
            <w:pPr>
              <w:pStyle w:val="TableContents"/>
              <w:bidi w:val="0"/>
              <w:spacing w:lineRule="auto" w:line="240" w:before="0" w:after="0"/>
              <w:jc w:val="center"/>
              <w:rPr>
                <w:color w:val="000000"/>
              </w:rPr>
            </w:pPr>
            <w:r>
              <w:rPr>
                <w:color w:val="000000"/>
              </w:rPr>
              <w:t> </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Jagtar Chaudhry</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of Directors</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Jagtar Chaudhry</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Rubin</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Kevin Rubin</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Accounting and Financial Officer)</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Beer</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James Beer</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Karen Blasing</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Karen Blasing</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Brown</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Andrew Brown</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Darling</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Scott Darling</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Giancarlo</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Charles Giancarlo</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Eileen Naughton</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Eileen Naughton</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Schneider</w:t>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David Schneider</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107.1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Calculation of Filing Fee Table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Form S-8</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Zscaler, Inc. </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313"/>
        <w:gridCol w:w="275"/>
        <w:gridCol w:w="276"/>
        <w:gridCol w:w="658"/>
        <w:gridCol w:w="548"/>
        <w:gridCol w:w="550"/>
        <w:gridCol w:w="386"/>
        <w:gridCol w:w="386"/>
        <w:gridCol w:w="387"/>
        <w:gridCol w:w="372"/>
        <w:gridCol w:w="372"/>
        <w:gridCol w:w="373"/>
        <w:gridCol w:w="407"/>
        <w:gridCol w:w="407"/>
        <w:gridCol w:w="408"/>
        <w:gridCol w:w="761"/>
        <w:gridCol w:w="389"/>
        <w:gridCol w:w="390"/>
        <w:gridCol w:w="329"/>
        <w:gridCol w:w="329"/>
        <w:gridCol w:w="333"/>
        <w:gridCol w:w="222"/>
        <w:gridCol w:w="1158"/>
        <w:gridCol w:w="176"/>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Table 1 – Newly Registered Securities</w:t>
            </w:r>
          </w:p>
        </w:tc>
      </w:tr>
      <w:tr>
        <w:trPr/>
        <w:tc>
          <w:tcPr>
            <w:tcW w:w="8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Security Type</w:t>
            </w:r>
          </w:p>
        </w:tc>
        <w:tc>
          <w:tcPr>
            <w:tcW w:w="1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Security Class Title</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Fee Calculation Rule</w:t>
            </w:r>
          </w:p>
        </w:tc>
        <w:tc>
          <w:tcPr>
            <w:tcW w:w="11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Amount Registered</w:t>
            </w:r>
            <w:r>
              <w:rPr>
                <w:rFonts w:ascii="Times New Roman;serif" w:hAnsi="Times New Roman;serif"/>
                <w:b/>
                <w:color w:val="000000"/>
                <w:sz w:val="13"/>
              </w:rPr>
              <w:t>(1)</w:t>
            </w:r>
          </w:p>
          <w:p>
            <w:pPr>
              <w:pStyle w:val="TableContents"/>
              <w:bidi w:val="0"/>
              <w:spacing w:before="0" w:after="0"/>
              <w:jc w:val="center"/>
              <w:rPr/>
            </w:pPr>
            <w:r>
              <w:rPr/>
            </w:r>
          </w:p>
        </w:tc>
        <w:tc>
          <w:tcPr>
            <w:tcW w:w="12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Proposed Maximum Offering Price Per Unit</w:t>
            </w:r>
          </w:p>
        </w:tc>
        <w:tc>
          <w:tcPr>
            <w:tcW w:w="1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Maximum Aggregate Offering Price</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Fee Rate</w:t>
            </w:r>
          </w:p>
        </w:tc>
        <w:tc>
          <w:tcPr>
            <w:tcW w:w="15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Amount of Registration Fee</w:t>
            </w:r>
          </w:p>
        </w:tc>
      </w:tr>
      <w:tr>
        <w:trPr/>
        <w:tc>
          <w:tcPr>
            <w:tcW w:w="8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1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reserved for issuance pursuant to the Amended and Restated FY2018 Equity Incentive Plan</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Other</w:t>
            </w:r>
            <w:r>
              <w:rPr>
                <w:rFonts w:ascii="Times New Roman;serif" w:hAnsi="Times New Roman;serif"/>
                <w:b w:val="false"/>
                <w:color w:val="000000"/>
                <w:sz w:val="13"/>
              </w:rPr>
              <w:t>(4)</w:t>
            </w:r>
          </w:p>
        </w:tc>
        <w:tc>
          <w:tcPr>
            <w:tcW w:w="11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8,152,720</w:t>
            </w:r>
            <w:r>
              <w:rPr>
                <w:rFonts w:ascii="Times New Roman;serif" w:hAnsi="Times New Roman;serif"/>
                <w:b w:val="false"/>
                <w:color w:val="000000"/>
                <w:sz w:val="13"/>
              </w:rPr>
              <w:t>(2)</w:t>
            </w:r>
          </w:p>
        </w:tc>
        <w:tc>
          <w:tcPr>
            <w:tcW w:w="12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$174.46</w:t>
            </w:r>
            <w:r>
              <w:rPr>
                <w:rFonts w:ascii="Times New Roman;serif" w:hAnsi="Times New Roman;serif"/>
                <w:b w:val="false"/>
                <w:color w:val="000000"/>
                <w:sz w:val="13"/>
              </w:rPr>
              <w:t>(4)</w:t>
            </w:r>
          </w:p>
        </w:tc>
        <w:tc>
          <w:tcPr>
            <w:tcW w:w="1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$1,422,323,531</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5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$196,422.88</w:t>
            </w:r>
          </w:p>
        </w:tc>
      </w:tr>
      <w:tr>
        <w:trPr/>
        <w:tc>
          <w:tcPr>
            <w:tcW w:w="8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17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reserved for issuance pursuant to the FY2018 Employee Stock Purchase Plan</w:t>
            </w:r>
          </w:p>
        </w:tc>
        <w:tc>
          <w:tcPr>
            <w:tcW w:w="11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Other</w:t>
            </w:r>
            <w:r>
              <w:rPr>
                <w:rFonts w:ascii="Times New Roman;serif" w:hAnsi="Times New Roman;serif"/>
                <w:b w:val="false"/>
                <w:color w:val="000000"/>
                <w:sz w:val="13"/>
              </w:rPr>
              <w:t>(5)</w:t>
            </w:r>
          </w:p>
        </w:tc>
        <w:tc>
          <w:tcPr>
            <w:tcW w:w="11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1,630,544</w:t>
            </w:r>
            <w:r>
              <w:rPr>
                <w:rFonts w:ascii="Times New Roman;serif" w:hAnsi="Times New Roman;serif"/>
                <w:b w:val="false"/>
                <w:color w:val="000000"/>
                <w:sz w:val="13"/>
              </w:rPr>
              <w:t>(3)</w:t>
            </w:r>
          </w:p>
        </w:tc>
        <w:tc>
          <w:tcPr>
            <w:tcW w:w="12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$148.30</w:t>
            </w:r>
            <w:r>
              <w:rPr>
                <w:rFonts w:ascii="Times New Roman;serif" w:hAnsi="Times New Roman;serif"/>
                <w:b w:val="false"/>
                <w:color w:val="000000"/>
                <w:sz w:val="13"/>
              </w:rPr>
              <w:t>(5)</w:t>
            </w:r>
          </w:p>
        </w:tc>
        <w:tc>
          <w:tcPr>
            <w:tcW w:w="1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$241,809,675</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5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$33,393.92</w:t>
            </w:r>
          </w:p>
        </w:tc>
      </w:tr>
      <w:tr>
        <w:trPr/>
        <w:tc>
          <w:tcPr>
            <w:tcW w:w="4896" w:type="dxa"/>
            <w:gridSpan w:val="1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Offering Amounts</w:t>
            </w:r>
          </w:p>
        </w:tc>
        <w:tc>
          <w:tcPr>
            <w:tcW w:w="12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$1,664,133,206</w:t>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229,816.80</w:t>
            </w:r>
            <w:r>
              <w:rPr>
                <w:color w:val="000000"/>
              </w:rPr>
              <w:t> </w:t>
            </w:r>
          </w:p>
        </w:tc>
        <w:tc>
          <w:tcPr>
            <w:tcW w:w="17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96"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Fee Offsets</w:t>
            </w:r>
          </w:p>
        </w:tc>
        <w:tc>
          <w:tcPr>
            <w:tcW w:w="12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4896"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Fee Due</w:t>
            </w:r>
          </w:p>
        </w:tc>
        <w:tc>
          <w:tcPr>
            <w:tcW w:w="122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229,816.80</w:t>
            </w:r>
            <w:r>
              <w:rPr>
                <w:color w:val="000000"/>
              </w:rPr>
              <w:t> </w:t>
            </w:r>
          </w:p>
        </w:tc>
        <w:tc>
          <w:tcPr>
            <w:tcW w:w="176"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720"/>
        <w:jc w:val="center"/>
        <w:rPr/>
      </w:pPr>
      <w:r>
        <w:rPr/>
      </w:r>
    </w:p>
    <w:p>
      <w:pPr>
        <w:pStyle w:val="TextBody"/>
        <w:bidi w:val="0"/>
        <w:spacing w:lineRule="auto" w:line="276"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(1)Pursuant to Rule 416(a) under the Securities Act of 1933, as amended (the “Securities Act”), this Registration Statement on Form S-8 shall also cover any additional shares of the Registrant’s common stock that become issuable under the Registrant’s Amended and Restated FY2018 Equity Incentive Plan (“2018 Plan”) and the Registrant’s FY2018 Employee Stock Purchase Plan (“2018 ESPP”) by reason of any stock dividend, stock split, recapitalization or other similar transaction effected without receipt of consideration that increases the number of the Registrant’s outstanding shares of common stock.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(2)Represents an automatic annual increase on August 1, 2026 to the number of shares of the Registrant’s common stock reserved for issuance under the 2018 Plan, which annual increase is provided for in the 2018 Plan.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(3)Represents an automatic annual increase on August 1, 2026 to the number of shares of the Registrant’s common stock reserved for issuance under the 2018 ESPP, which annual increase is provided for in the 2018 ESPP.</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(4)Estimated in accordance with Rules 457(c) and (h) of the Securities Act solely for the purpose of calculating the registration fee on the basis of $174.46 per share, which is the average of the high and low prices of the Registrant’s common stock on September 2, 2026, as reported on the NASDAQ Global Select Market.</w:t>
      </w:r>
    </w:p>
    <w:p>
      <w:pPr>
        <w:pStyle w:val="TextBody"/>
        <w:bidi w:val="0"/>
        <w:spacing w:lineRule="auto" w:line="28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(5)Estimated in accordance with Rules 457(c) and (h) of the Securities Act solely for the purpose of calculating the registration fee on the basis of 85% of $174.46 per share, which is the average of the high and low prices of the Registrant’s common stock on September 2, 2026, as reported on the NASDAQ Global Select Market. Pursuant to the 2018 ESPP, the purchase price of the shares of common stock reserved for issuance thereunder will be 85% of the lower of the fair market value of a share of the Registrant’s common stock on the Enrollment Date (as defined in the Plan) or on the Exercise Date (as defined in the 2018 ESPP).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2"/>
        </w:rPr>
      </w:pPr>
      <w:r>
        <w:rPr>
          <w:rFonts w:ascii="Times New Roman;serif" w:hAnsi="Times New Roman;serif"/>
          <w:b/>
          <w:color w:val="000000"/>
          <w:sz w:val="22"/>
        </w:rPr>
        <w:t>Exhibit 5.1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September 03,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Zscaler, Inc. </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120 Holger Way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San Jose, California 95134</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Re:    Registration Statement on Form S-8</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examined the Registration Statement on Form S-8 (the “Registration Statement”) to be filed by Zscaler, Inc., a Delaware corporation, with the Securities and Exchange Commission (the "Commission") on or about the date hereof, in connection with the registration under the Securities Act of 1933, as amended, of (i) 8,152,720 shares of common stock reserved for issuance pursuant to the Amended and Restated Fiscal Year 2018 Equity Incentive Plan and (ii) 1,630,544 shares of common stock reserved for issuance pursuant to the Fiscal Year 2018 Employee Stock Purchase Plan (which plans are collectively referred to herein as the “Plans” and which shares of common stock are collectively referred to herein as the “Shares”). As your legal counsel, we have examined the proceedings taken and proposed to be taken in connection with the issuance, sale and payment of consideration for the Shares to be issued under the Plans.</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the basis of the foregoing, and in reliance thereon, we are of the opinion that the Shares, when issued and sold in the manner referred to in the Plans and pursuant to the agreements that accompany the Plans, will be legally and validly issued, fully paid, and nonassessable. </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consent to the use of this opinion as an exhibit to the Registration Statement, and further consent to the use of our name wherever appearing in the Registration Statement and any amendments thereto. In giving such consent, we do not thereby admit that we are in the category of persons whose consent is required under Section 7 of the Act or the rules and regulations of the Commission thereunder.</w:t>
      </w:r>
    </w:p>
    <w:p>
      <w:pPr>
        <w:pStyle w:val="TextBody"/>
        <w:bidi w:val="0"/>
        <w:spacing w:before="120" w:after="283"/>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Wilson Sonsini Goodrich &amp; Rosati P.C.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WILSON SONSINI GOODRICH &amp; ROSATI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Professional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lineRule="auto" w:line="288" w:before="480" w:after="48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288" w:before="0" w:after="120"/>
        <w:jc w:val="both"/>
        <w:rPr/>
      </w:pPr>
      <w:r>
        <w:rPr>
          <w:rFonts w:ascii="Times New Roman;serif" w:hAnsi="Times New Roman;serif"/>
          <w:b w:val="false"/>
          <w:color w:val="000000"/>
          <w:sz w:val="22"/>
        </w:rPr>
        <w:t>We hereby consent to the incorporation by reference in this Registration Statement on Form S-8 of Zscaler, Inc.</w:t>
      </w:r>
      <w:r>
        <w:rPr>
          <w:color w:val="FF0000"/>
        </w:rPr>
        <w:t xml:space="preserve"> </w:t>
      </w:r>
      <w:r>
        <w:rPr>
          <w:rFonts w:ascii="Times New Roman;serif" w:hAnsi="Times New Roman;serif"/>
          <w:b w:val="false"/>
          <w:color w:val="000000"/>
          <w:sz w:val="22"/>
        </w:rPr>
        <w:t>of our report dated September 3, 2026</w:t>
      </w:r>
      <w:r>
        <w:rPr>
          <w:color w:val="FF0000"/>
        </w:rPr>
        <w:t xml:space="preserve"> </w:t>
      </w:r>
      <w:r>
        <w:rPr>
          <w:rFonts w:ascii="Times New Roman;serif" w:hAnsi="Times New Roman;serif"/>
          <w:b w:val="false"/>
          <w:color w:val="000000"/>
          <w:sz w:val="22"/>
        </w:rPr>
        <w:t xml:space="preserve">relating to the financial statements and the effectiveness of internal control over financial reporting, which appears in Zscaler, Inc.’s Annual Report on Form 10-K for the year ended July 31, 2026. </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/s/ PricewaterhouseCoopers LLP</w:t>
      </w:r>
    </w:p>
    <w:p>
      <w:pPr>
        <w:pStyle w:val="TextBody"/>
        <w:bidi w:val="0"/>
        <w:spacing w:lineRule="auto" w:line="288" w:before="0" w:after="120"/>
        <w:jc w:val="left"/>
        <w:rPr/>
      </w:pPr>
      <w:r>
        <w:rPr>
          <w:rFonts w:ascii="Times New Roman;serif" w:hAnsi="Times New Roman;serif"/>
          <w:b w:val="false"/>
          <w:color w:val="000000"/>
          <w:sz w:val="22"/>
        </w:rPr>
        <w:t>San Jose, California</w:t>
      </w:r>
      <w:r>
        <w:rPr>
          <w:color w:val="000000"/>
        </w:rPr>
        <w:t xml:space="preserve"> </w:t>
      </w:r>
      <w:r>
        <w:rPr>
          <w:rFonts w:ascii="Times New Roman;serif" w:hAnsi="Times New Roman;serif"/>
          <w:b w:val="false"/>
          <w:color w:val="000000"/>
          <w:sz w:val="20"/>
        </w:rPr>
        <w:br/>
      </w:r>
      <w:r>
        <w:rPr>
          <w:rFonts w:ascii="Times New Roman;serif" w:hAnsi="Times New Roman;serif"/>
          <w:b w:val="false"/>
          <w:color w:val="000000"/>
          <w:sz w:val="22"/>
        </w:rPr>
        <w:t>September 3, 2026</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13683/000119312518048303/d400527dex42.htm" TargetMode="External"/><Relationship Id="rId3" Type="http://schemas.openxmlformats.org/officeDocument/2006/relationships/hyperlink" Target="https://www.sec.gov/Archives/edgar/data/1713683/000171368325000158/exhibit102-amendedandresta.htm" TargetMode="External"/><Relationship Id="rId4" Type="http://schemas.openxmlformats.org/officeDocument/2006/relationships/hyperlink" Target="https://www.sec.gov/Archives/edgar/data/1713683/000119312518080170/d400527dex10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2403</Words>
  <Characters>12942</Characters>
  <CharactersWithSpaces>15204</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