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 HOLGER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Zscaler,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CRO and President of WW Sales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Commom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03/17/2026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3,147</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156.5932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104,350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as mandated by the Issuer's election under its equity incentive plans and does not represent a discretionary trade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Torrie Nute,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03/18/2026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289" TargetMode="External"/><Relationship Id="rId14" Type="http://schemas.openxmlformats.org/officeDocument/2006/relationships/hyperlink" Target="http://www.sec.gov/cgi-bin/browse-edgar?action=getcompany&amp;CIK=0001713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2026-03-18T19:11:23Z</dcterms:created>
  <dcterms:modified xsi:type="dcterms:W3CDTF">2026-03-18T19:11:23Z</dcterms:modified>
</cp:coreProperties>
</file>