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697230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8" w:lineRule="exact"/>
        <w:rPr>
          <w:sz w:val="24"/>
          <w:szCs w:val="24"/>
          <w:color w:val="auto"/>
        </w:rPr>
      </w:pPr>
    </w:p>
    <w:p>
      <w:pPr>
        <w:jc w:val="center"/>
        <w:ind w:right="-35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359"/>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3920"/>
        <w:spacing w:after="0"/>
        <w:rPr>
          <w:sz w:val="20"/>
          <w:szCs w:val="20"/>
          <w:color w:val="auto"/>
        </w:rPr>
      </w:pPr>
      <w:r>
        <w:rPr>
          <w:rFonts w:ascii="Arial" w:cs="Arial" w:eastAsia="Arial" w:hAnsi="Arial"/>
          <w:sz w:val="25"/>
          <w:szCs w:val="25"/>
          <w:b w:val="1"/>
          <w:bCs w:val="1"/>
          <w:color w:val="auto"/>
        </w:rPr>
        <w:t>___________________________</w:t>
      </w:r>
    </w:p>
    <w:p>
      <w:pPr>
        <w:spacing w:after="0" w:line="15" w:lineRule="exact"/>
        <w:rPr>
          <w:sz w:val="24"/>
          <w:szCs w:val="24"/>
          <w:color w:val="auto"/>
        </w:rPr>
      </w:pPr>
    </w:p>
    <w:p>
      <w:pPr>
        <w:jc w:val="center"/>
        <w:ind w:right="-359"/>
        <w:spacing w:after="0"/>
        <w:rPr>
          <w:sz w:val="20"/>
          <w:szCs w:val="20"/>
          <w:color w:val="auto"/>
        </w:rPr>
      </w:pPr>
      <w:r>
        <w:rPr>
          <w:rFonts w:ascii="Arial" w:cs="Arial" w:eastAsia="Arial" w:hAnsi="Arial"/>
          <w:sz w:val="25"/>
          <w:szCs w:val="25"/>
          <w:b w:val="1"/>
          <w:bCs w:val="1"/>
          <w:color w:val="auto"/>
        </w:rPr>
        <w:t>SCHEDULE 14A</w:t>
      </w:r>
    </w:p>
    <w:p>
      <w:pPr>
        <w:spacing w:after="0" w:line="3" w:lineRule="exact"/>
        <w:rPr>
          <w:sz w:val="24"/>
          <w:szCs w:val="24"/>
          <w:color w:val="auto"/>
        </w:rPr>
      </w:pPr>
    </w:p>
    <w:p>
      <w:pPr>
        <w:jc w:val="center"/>
        <w:ind w:right="-319"/>
        <w:spacing w:after="0"/>
        <w:rPr>
          <w:sz w:val="20"/>
          <w:szCs w:val="20"/>
          <w:color w:val="auto"/>
        </w:rPr>
      </w:pPr>
      <w:r>
        <w:rPr>
          <w:rFonts w:ascii="Arial" w:cs="Arial" w:eastAsia="Arial" w:hAnsi="Arial"/>
          <w:sz w:val="20"/>
          <w:szCs w:val="20"/>
          <w:b w:val="1"/>
          <w:bCs w:val="1"/>
          <w:color w:val="auto"/>
        </w:rPr>
        <w:t>PROXY STATEMENT PURSUANT TO SECTION 14(a) OF THE</w:t>
      </w:r>
    </w:p>
    <w:p>
      <w:pPr>
        <w:jc w:val="center"/>
        <w:ind w:right="-359"/>
        <w:spacing w:after="0"/>
        <w:rPr>
          <w:sz w:val="20"/>
          <w:szCs w:val="20"/>
          <w:color w:val="auto"/>
        </w:rPr>
      </w:pPr>
      <w:r>
        <w:rPr>
          <w:rFonts w:ascii="Arial" w:cs="Arial" w:eastAsia="Arial" w:hAnsi="Arial"/>
          <w:sz w:val="20"/>
          <w:szCs w:val="20"/>
          <w:b w:val="1"/>
          <w:bCs w:val="1"/>
          <w:color w:val="auto"/>
        </w:rPr>
        <w:t>SECURITIES EXCHANGE ACT OF 1934</w:t>
      </w:r>
    </w:p>
    <w:p>
      <w:pPr>
        <w:spacing w:after="0" w:line="4" w:lineRule="exact"/>
        <w:rPr>
          <w:sz w:val="24"/>
          <w:szCs w:val="24"/>
          <w:color w:val="auto"/>
        </w:rPr>
      </w:pPr>
    </w:p>
    <w:p>
      <w:pPr>
        <w:ind w:left="3920"/>
        <w:spacing w:after="0"/>
        <w:rPr>
          <w:sz w:val="20"/>
          <w:szCs w:val="20"/>
          <w:color w:val="auto"/>
        </w:rPr>
      </w:pPr>
      <w:r>
        <w:rPr>
          <w:rFonts w:ascii="Arial" w:cs="Arial" w:eastAsia="Arial" w:hAnsi="Arial"/>
          <w:sz w:val="25"/>
          <w:szCs w:val="25"/>
          <w:b w:val="1"/>
          <w:bCs w:val="1"/>
          <w:color w:val="auto"/>
        </w:rPr>
        <w:t>___________________________</w:t>
      </w:r>
    </w:p>
    <w:p>
      <w:pPr>
        <w:spacing w:after="0" w:line="175" w:lineRule="exact"/>
        <w:rPr>
          <w:sz w:val="24"/>
          <w:szCs w:val="24"/>
          <w:color w:val="auto"/>
        </w:rPr>
      </w:pPr>
    </w:p>
    <w:p>
      <w:pPr>
        <w:spacing w:after="0" w:line="207" w:lineRule="exact"/>
        <w:tabs>
          <w:tab w:leader="none" w:pos="206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136"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5"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5" w:lineRule="exact"/>
        <w:rPr>
          <w:rFonts w:ascii="MS PGothic" w:cs="MS PGothic" w:eastAsia="MS PGothic" w:hAnsi="MS PGothic"/>
          <w:sz w:val="18"/>
          <w:szCs w:val="18"/>
          <w:color w:val="auto"/>
        </w:rPr>
      </w:pPr>
    </w:p>
    <w:p>
      <w:pPr>
        <w:ind w:left="360" w:hanging="352"/>
        <w:spacing w:after="0" w:line="207" w:lineRule="exact"/>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6(e)(2))</w:t>
      </w:r>
    </w:p>
    <w:p>
      <w:pPr>
        <w:spacing w:after="0" w:line="9"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560" w:hanging="552"/>
        <w:spacing w:after="0" w:line="207" w:lineRule="exact"/>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w:t>
      </w:r>
      <w:r>
        <w:rPr>
          <w:rFonts w:ascii="MS PGothic" w:cs="MS PGothic" w:eastAsia="MS PGothic" w:hAnsi="MS PGothic"/>
          <w:sz w:val="18"/>
          <w:szCs w:val="18"/>
          <w:color w:val="auto"/>
        </w:rPr>
        <w:t>‑</w:t>
      </w:r>
      <w:r>
        <w:rPr>
          <w:rFonts w:ascii="Arial" w:cs="Arial" w:eastAsia="Arial" w:hAnsi="Arial"/>
          <w:sz w:val="18"/>
          <w:szCs w:val="18"/>
          <w:color w:val="auto"/>
        </w:rPr>
        <w:t>11(c) or §240.14a</w:t>
      </w:r>
      <w:r>
        <w:rPr>
          <w:rFonts w:ascii="MS PGothic" w:cs="MS PGothic" w:eastAsia="MS PGothic" w:hAnsi="MS PGothic"/>
          <w:sz w:val="18"/>
          <w:szCs w:val="18"/>
          <w:color w:val="auto"/>
        </w:rPr>
        <w:t>‑</w:t>
      </w:r>
      <w:r>
        <w:rPr>
          <w:rFonts w:ascii="Arial" w:cs="Arial" w:eastAsia="Arial" w:hAnsi="Arial"/>
          <w:sz w:val="18"/>
          <w:szCs w:val="18"/>
          <w:color w:val="auto"/>
        </w:rPr>
        <w:t>2</w:t>
      </w:r>
    </w:p>
    <w:p>
      <w:pPr>
        <w:spacing w:after="0" w:line="83" w:lineRule="exact"/>
        <w:rPr>
          <w:sz w:val="24"/>
          <w:szCs w:val="24"/>
          <w:color w:val="auto"/>
        </w:rPr>
      </w:pPr>
    </w:p>
    <w:p>
      <w:pPr>
        <w:jc w:val="center"/>
        <w:ind w:right="-359"/>
        <w:spacing w:after="0"/>
        <w:rPr>
          <w:sz w:val="20"/>
          <w:szCs w:val="20"/>
          <w:color w:val="auto"/>
        </w:rPr>
      </w:pPr>
      <w:r>
        <w:rPr>
          <w:rFonts w:ascii="Arial" w:cs="Arial" w:eastAsia="Arial" w:hAnsi="Arial"/>
          <w:sz w:val="29"/>
          <w:szCs w:val="29"/>
          <w:b w:val="1"/>
          <w:bCs w:val="1"/>
          <w:color w:val="auto"/>
        </w:rPr>
        <w:t>Zscaler, Inc.</w:t>
      </w:r>
    </w:p>
    <w:p>
      <w:pPr>
        <w:spacing w:after="0" w:line="20" w:lineRule="exact"/>
        <w:rPr>
          <w:sz w:val="24"/>
          <w:szCs w:val="24"/>
          <w:color w:val="auto"/>
        </w:rPr>
      </w:pPr>
    </w:p>
    <w:p>
      <w:pPr>
        <w:jc w:val="center"/>
        <w:ind w:right="-35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88"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50" w:lineRule="exact"/>
        <w:rPr>
          <w:sz w:val="24"/>
          <w:szCs w:val="24"/>
          <w:color w:val="auto"/>
        </w:rPr>
      </w:pPr>
    </w:p>
    <w:p>
      <w:pPr>
        <w:ind w:left="360" w:hanging="352"/>
        <w:spacing w:after="0" w:line="207" w:lineRule="exact"/>
        <w:tabs>
          <w:tab w:leader="none" w:pos="3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w:t>
      </w:r>
      <w:r>
        <w:rPr>
          <w:rFonts w:ascii="MS PGothic" w:cs="MS PGothic" w:eastAsia="MS PGothic" w:hAnsi="MS PGothic"/>
          <w:sz w:val="18"/>
          <w:szCs w:val="18"/>
          <w:color w:val="auto"/>
        </w:rPr>
        <w:t>‑</w:t>
      </w:r>
      <w:r>
        <w:rPr>
          <w:rFonts w:ascii="Arial" w:cs="Arial" w:eastAsia="Arial" w:hAnsi="Arial"/>
          <w:sz w:val="18"/>
          <w:szCs w:val="18"/>
          <w:color w:val="auto"/>
        </w:rPr>
        <w:t>6(i)(4) and 0</w:t>
      </w:r>
      <w:r>
        <w:rPr>
          <w:rFonts w:ascii="MS PGothic" w:cs="MS PGothic" w:eastAsia="MS PGothic" w:hAnsi="MS PGothic"/>
          <w:sz w:val="18"/>
          <w:szCs w:val="18"/>
          <w:color w:val="auto"/>
        </w:rPr>
        <w:t>‑</w:t>
      </w:r>
      <w:r>
        <w:rPr>
          <w:rFonts w:ascii="Arial" w:cs="Arial" w:eastAsia="Arial" w:hAnsi="Arial"/>
          <w:sz w:val="18"/>
          <w:szCs w:val="18"/>
          <w:color w:val="auto"/>
        </w:rPr>
        <w:t>11.</w:t>
      </w:r>
    </w:p>
    <w:p>
      <w:pPr>
        <w:spacing w:after="0" w:line="49" w:lineRule="exact"/>
        <w:rPr>
          <w:rFonts w:ascii="MS PGothic" w:cs="MS PGothic" w:eastAsia="MS PGothic" w:hAnsi="MS PGothic"/>
          <w:sz w:val="18"/>
          <w:szCs w:val="18"/>
          <w:color w:val="auto"/>
        </w:rPr>
      </w:pPr>
    </w:p>
    <w:p>
      <w:pPr>
        <w:ind w:left="1040" w:hanging="384"/>
        <w:spacing w:after="0"/>
        <w:tabs>
          <w:tab w:leader="none" w:pos="104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33" w:lineRule="exact"/>
        <w:rPr>
          <w:rFonts w:ascii="Arial" w:cs="Arial" w:eastAsia="Arial" w:hAnsi="Arial"/>
          <w:sz w:val="18"/>
          <w:szCs w:val="18"/>
          <w:color w:val="auto"/>
        </w:rPr>
      </w:pPr>
    </w:p>
    <w:p>
      <w:pPr>
        <w:ind w:left="1040" w:hanging="384"/>
        <w:spacing w:after="0"/>
        <w:tabs>
          <w:tab w:leader="none" w:pos="104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300" w:right="2560" w:hanging="644"/>
        <w:spacing w:after="0" w:line="217" w:lineRule="exact"/>
        <w:tabs>
          <w:tab w:leader="none" w:pos="1042" w:val="left"/>
        </w:tabs>
        <w:numPr>
          <w:ilvl w:val="1"/>
          <w:numId w:val="3"/>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w:t>
      </w:r>
      <w:r>
        <w:rPr>
          <w:rFonts w:ascii="MS PGothic" w:cs="MS PGothic" w:eastAsia="MS PGothic" w:hAnsi="MS PGothic"/>
          <w:sz w:val="16"/>
          <w:szCs w:val="16"/>
          <w:color w:val="auto"/>
        </w:rPr>
        <w:t>‑</w:t>
      </w:r>
      <w:r>
        <w:rPr>
          <w:rFonts w:ascii="Arial" w:cs="Arial" w:eastAsia="Arial" w:hAnsi="Arial"/>
          <w:sz w:val="16"/>
          <w:szCs w:val="16"/>
          <w:color w:val="auto"/>
        </w:rPr>
        <w:t>11 (Set forth the amount on which the filing fee is calculated and state how it was determined):</w:t>
      </w:r>
    </w:p>
    <w:p>
      <w:pPr>
        <w:spacing w:after="0" w:line="200" w:lineRule="exact"/>
        <w:rPr>
          <w:rFonts w:ascii="Arial" w:cs="Arial" w:eastAsia="Arial" w:hAnsi="Arial"/>
          <w:sz w:val="16"/>
          <w:szCs w:val="16"/>
          <w:color w:val="auto"/>
        </w:rPr>
      </w:pPr>
    </w:p>
    <w:p>
      <w:pPr>
        <w:spacing w:after="0" w:line="204" w:lineRule="exact"/>
        <w:rPr>
          <w:rFonts w:ascii="Arial" w:cs="Arial" w:eastAsia="Arial" w:hAnsi="Arial"/>
          <w:sz w:val="16"/>
          <w:szCs w:val="16"/>
          <w:color w:val="auto"/>
        </w:rPr>
      </w:pPr>
    </w:p>
    <w:p>
      <w:pPr>
        <w:ind w:left="1040" w:hanging="384"/>
        <w:spacing w:after="0"/>
        <w:tabs>
          <w:tab w:leader="none" w:pos="104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40" w:hanging="384"/>
        <w:spacing w:after="0"/>
        <w:tabs>
          <w:tab w:leader="none" w:pos="104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360" w:hanging="352"/>
        <w:spacing w:after="0"/>
        <w:tabs>
          <w:tab w:leader="none" w:pos="3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03" w:lineRule="exact"/>
        <w:rPr>
          <w:rFonts w:ascii="MS PGothic" w:cs="MS PGothic" w:eastAsia="MS PGothic" w:hAnsi="MS PGothic"/>
          <w:sz w:val="18"/>
          <w:szCs w:val="18"/>
          <w:color w:val="auto"/>
        </w:rPr>
      </w:pPr>
    </w:p>
    <w:p>
      <w:pPr>
        <w:ind w:left="660" w:hanging="652"/>
        <w:spacing w:after="0" w:line="216" w:lineRule="exact"/>
        <w:tabs>
          <w:tab w:leader="none" w:pos="374"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w:t>
      </w:r>
      <w:r>
        <w:rPr>
          <w:rFonts w:ascii="MS PGothic" w:cs="MS PGothic" w:eastAsia="MS PGothic" w:hAnsi="MS PGothic"/>
          <w:sz w:val="17"/>
          <w:szCs w:val="17"/>
          <w:color w:val="auto"/>
        </w:rPr>
        <w:t>‑</w:t>
      </w:r>
      <w:r>
        <w:rPr>
          <w:rFonts w:ascii="Arial" w:cs="Arial" w:eastAsia="Arial" w:hAnsi="Arial"/>
          <w:sz w:val="17"/>
          <w:szCs w:val="17"/>
          <w:color w:val="auto"/>
        </w:rPr>
        <w:t>11(a)(2) and identify the filing for which the offsetting fee was paid previously. Identify the previous filing by registration statement number, or the Form or Schedule and the date of its filing.</w:t>
      </w:r>
    </w:p>
    <w:p>
      <w:pPr>
        <w:spacing w:after="0" w:line="81" w:lineRule="exact"/>
        <w:rPr>
          <w:rFonts w:ascii="MS PGothic" w:cs="MS PGothic" w:eastAsia="MS PGothic" w:hAnsi="MS PGothic"/>
          <w:sz w:val="17"/>
          <w:szCs w:val="17"/>
          <w:color w:val="auto"/>
        </w:rPr>
      </w:pPr>
    </w:p>
    <w:p>
      <w:pPr>
        <w:ind w:left="1040" w:hanging="384"/>
        <w:spacing w:after="0"/>
        <w:tabs>
          <w:tab w:leader="none" w:pos="104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1040" w:hanging="384"/>
        <w:spacing w:after="0"/>
        <w:tabs>
          <w:tab w:leader="none" w:pos="104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40" w:hanging="384"/>
        <w:spacing w:after="0"/>
        <w:tabs>
          <w:tab w:leader="none" w:pos="104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33" w:lineRule="exact"/>
        <w:rPr>
          <w:rFonts w:ascii="Arial" w:cs="Arial" w:eastAsia="Arial" w:hAnsi="Arial"/>
          <w:sz w:val="18"/>
          <w:szCs w:val="18"/>
          <w:color w:val="auto"/>
        </w:rPr>
      </w:pPr>
    </w:p>
    <w:p>
      <w:pPr>
        <w:ind w:left="1040" w:hanging="384"/>
        <w:spacing w:after="0"/>
        <w:tabs>
          <w:tab w:leader="none" w:pos="104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-3713480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-3302000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-2762250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-2359025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-1947545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-1013460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-610235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-267335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80"/>
          </w:cols>
          <w:pgMar w:left="320" w:top="1183" w:right="69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6789420" cy="88468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6789420" cy="8846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3002915</wp:posOffset>
            </wp:positionH>
            <wp:positionV relativeFrom="page">
              <wp:posOffset>911860</wp:posOffset>
            </wp:positionV>
            <wp:extent cx="1543050" cy="3086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543050" cy="308610"/>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120 Holger Way, San Jose, CA 95134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Dear Stockholder:</w:t>
      </w:r>
    </w:p>
    <w:p>
      <w:pPr>
        <w:spacing w:after="0" w:line="235" w:lineRule="exact"/>
        <w:rPr>
          <w:sz w:val="20"/>
          <w:szCs w:val="20"/>
          <w:color w:val="auto"/>
        </w:rPr>
      </w:pPr>
    </w:p>
    <w:p>
      <w:pPr>
        <w:spacing w:after="0" w:line="339" w:lineRule="auto"/>
        <w:rPr>
          <w:sz w:val="20"/>
          <w:szCs w:val="20"/>
          <w:color w:val="auto"/>
        </w:rPr>
      </w:pPr>
      <w:r>
        <w:rPr>
          <w:rFonts w:ascii="Arial" w:cs="Arial" w:eastAsia="Arial" w:hAnsi="Arial"/>
          <w:sz w:val="16"/>
          <w:szCs w:val="16"/>
          <w:color w:val="auto"/>
        </w:rPr>
        <w:t xml:space="preserve">I am pleased to invite you to attend the 2021 Annual Meeting of Stockholders (the “Annual Meeting”) of Zscaler, Inc. (“Zscaler” or the “Company”), to be held on Wednesday, January 5, 2022 at 1:00 p.m. Pacific Time. The Annual Meeting will be conducted virtually via live webcast. You will be able to vote and submit your questions during the meeting by visiting </w:t>
      </w:r>
      <w:r>
        <w:rPr>
          <w:rFonts w:ascii="Arial" w:cs="Arial" w:eastAsia="Arial" w:hAnsi="Arial"/>
          <w:sz w:val="16"/>
          <w:szCs w:val="16"/>
          <w:b w:val="1"/>
          <w:bCs w:val="1"/>
          <w:color w:val="auto"/>
        </w:rPr>
        <w:t>www.virtualshareholdermeeting.com/ZS2021</w:t>
      </w:r>
      <w:r>
        <w:rPr>
          <w:rFonts w:ascii="Arial" w:cs="Arial" w:eastAsia="Arial" w:hAnsi="Arial"/>
          <w:sz w:val="16"/>
          <w:szCs w:val="16"/>
          <w:color w:val="auto"/>
        </w:rPr>
        <w:t xml:space="preserve"> (please have your notice or proxy card in hand when you visit the website).</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The attached Notice of Annual Meeting of Stockholders and Proxy Statement contain details of the business to be conducted at the Annual Meeting.</w:t>
      </w:r>
    </w:p>
    <w:p>
      <w:pPr>
        <w:spacing w:after="0" w:line="235" w:lineRule="exact"/>
        <w:rPr>
          <w:sz w:val="20"/>
          <w:szCs w:val="20"/>
          <w:color w:val="auto"/>
        </w:rPr>
      </w:pPr>
    </w:p>
    <w:p>
      <w:pPr>
        <w:ind w:right="380"/>
        <w:spacing w:after="0" w:line="348" w:lineRule="auto"/>
        <w:rPr>
          <w:sz w:val="20"/>
          <w:szCs w:val="20"/>
          <w:color w:val="auto"/>
        </w:rPr>
      </w:pPr>
      <w:r>
        <w:rPr>
          <w:rFonts w:ascii="Arial" w:cs="Arial" w:eastAsia="Arial" w:hAnsi="Arial"/>
          <w:sz w:val="16"/>
          <w:szCs w:val="16"/>
          <w:color w:val="auto"/>
        </w:rPr>
        <w:t>Whether or not you attend the virtual Annual Meeting, it is important that your shares be represented and voted at the meeting. Therefore, I urge you to promptly vote and submit your proxy via the internet, by phone or by mail.</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color w:val="auto"/>
        </w:rPr>
        <w:t>On behalf of the Board of Directors, I would like to express our appreciation for your support of and interest in Zscaler.</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1345565" cy="6343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45565"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Jay Chaudhry</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President, Chief Executive Officer and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Chairman of the Board</w:t>
      </w:r>
    </w:p>
    <w:p>
      <w:pPr>
        <w:sectPr>
          <w:pgSz w:w="11900" w:h="16838" w:orient="portrait"/>
          <w:cols w:equalWidth="0" w:num="1">
            <w:col w:w="11180"/>
          </w:cols>
          <w:pgMar w:left="320" w:top="1440" w:right="39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543050" cy="3086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543050" cy="308610"/>
                    </a:xfrm>
                    <a:prstGeom prst="rect">
                      <a:avLst/>
                    </a:prstGeom>
                    <a:noFill/>
                  </pic:spPr>
                </pic:pic>
              </a:graphicData>
            </a:graphic>
          </wp:anchor>
        </w:drawing>
      </w:r>
    </w:p>
    <w:p>
      <w:pPr>
        <w:spacing w:after="0" w:line="258" w:lineRule="exact"/>
        <w:rPr>
          <w:sz w:val="20"/>
          <w:szCs w:val="20"/>
          <w:color w:val="auto"/>
        </w:rPr>
      </w:pPr>
    </w:p>
    <w:p>
      <w:pPr>
        <w:ind w:right="4800"/>
        <w:spacing w:after="0" w:line="236" w:lineRule="auto"/>
        <w:rPr>
          <w:sz w:val="20"/>
          <w:szCs w:val="20"/>
          <w:color w:val="auto"/>
        </w:rPr>
      </w:pPr>
      <w:r>
        <w:rPr>
          <w:rFonts w:ascii="Arial" w:cs="Arial" w:eastAsia="Arial" w:hAnsi="Arial"/>
          <w:sz w:val="58"/>
          <w:szCs w:val="58"/>
          <w:color w:val="auto"/>
        </w:rPr>
        <w:t>Notice of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48260</wp:posOffset>
            </wp:positionV>
            <wp:extent cx="7132320" cy="1885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84"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FFFFFF"/>
        </w:rPr>
        <w:t>Date and Time</w:t>
      </w:r>
    </w:p>
    <w:p>
      <w:pPr>
        <w:spacing w:after="0" w:line="145"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auto"/>
        </w:rPr>
        <w:t>January 5, 2022</w:t>
      </w:r>
    </w:p>
    <w:p>
      <w:pPr>
        <w:spacing w:after="0" w:line="69"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auto"/>
        </w:rPr>
        <w:t>1:00 p.m. Pacific Time</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Record Date and Who Can Vote</w:t>
      </w:r>
    </w:p>
    <w:p>
      <w:pPr>
        <w:spacing w:after="0" w:line="172" w:lineRule="exact"/>
        <w:rPr>
          <w:sz w:val="20"/>
          <w:szCs w:val="20"/>
          <w:color w:val="auto"/>
        </w:rPr>
      </w:pPr>
    </w:p>
    <w:p>
      <w:pPr>
        <w:ind w:right="260"/>
        <w:spacing w:after="0" w:line="305" w:lineRule="auto"/>
        <w:rPr>
          <w:sz w:val="20"/>
          <w:szCs w:val="20"/>
          <w:color w:val="auto"/>
        </w:rPr>
      </w:pPr>
      <w:r>
        <w:rPr>
          <w:rFonts w:ascii="Arial" w:cs="Arial" w:eastAsia="Arial" w:hAnsi="Arial"/>
          <w:sz w:val="14"/>
          <w:szCs w:val="14"/>
          <w:b w:val="1"/>
          <w:bCs w:val="1"/>
          <w:color w:val="auto"/>
        </w:rPr>
        <w:t xml:space="preserve">November 10, 2021 (the “Record Date”). </w:t>
      </w:r>
      <w:r>
        <w:rPr>
          <w:rFonts w:ascii="Arial" w:cs="Arial" w:eastAsia="Arial" w:hAnsi="Arial"/>
          <w:sz w:val="14"/>
          <w:szCs w:val="14"/>
          <w:color w:val="auto"/>
        </w:rPr>
        <w:t>Only stockholders of record at the close of business on the Record Date are</w:t>
      </w:r>
      <w:r>
        <w:rPr>
          <w:rFonts w:ascii="Arial" w:cs="Arial" w:eastAsia="Arial" w:hAnsi="Arial"/>
          <w:sz w:val="14"/>
          <w:szCs w:val="14"/>
          <w:b w:val="1"/>
          <w:bCs w:val="1"/>
          <w:color w:val="auto"/>
        </w:rPr>
        <w:t xml:space="preserve"> </w:t>
      </w:r>
      <w:r>
        <w:rPr>
          <w:rFonts w:ascii="Arial" w:cs="Arial" w:eastAsia="Arial" w:hAnsi="Arial"/>
          <w:sz w:val="14"/>
          <w:szCs w:val="14"/>
          <w:color w:val="auto"/>
        </w:rPr>
        <w:t>entitled to receive notice of, and to vote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-2140585</wp:posOffset>
            </wp:positionH>
            <wp:positionV relativeFrom="paragraph">
              <wp:posOffset>57150</wp:posOffset>
            </wp:positionV>
            <wp:extent cx="7132320" cy="1885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99" w:lineRule="exact"/>
        <w:rPr>
          <w:sz w:val="20"/>
          <w:szCs w:val="20"/>
          <w:color w:val="auto"/>
        </w:rPr>
      </w:pPr>
    </w:p>
    <w:p>
      <w:pPr>
        <w:sectPr>
          <w:pgSz w:w="11900" w:h="16838" w:orient="portrait"/>
          <w:cols w:equalWidth="0" w:num="2">
            <w:col w:w="2660" w:space="720"/>
            <w:col w:w="7860"/>
          </w:cols>
          <w:pgMar w:left="320" w:top="1440" w:right="339" w:bottom="1440" w:gutter="0" w:footer="0" w:header="0"/>
          <w:type w:val="continuous"/>
        </w:sectPr>
      </w:pPr>
    </w:p>
    <w:p>
      <w:pPr>
        <w:ind w:left="180"/>
        <w:spacing w:after="0"/>
        <w:rPr>
          <w:sz w:val="20"/>
          <w:szCs w:val="20"/>
          <w:color w:val="auto"/>
        </w:rPr>
      </w:pPr>
      <w:r>
        <w:rPr>
          <w:rFonts w:ascii="Arial" w:cs="Arial" w:eastAsia="Arial" w:hAnsi="Arial"/>
          <w:sz w:val="16"/>
          <w:szCs w:val="16"/>
          <w:b w:val="1"/>
          <w:bCs w:val="1"/>
          <w:color w:val="FFFFFF"/>
        </w:rPr>
        <w:t>Virtual Meeting Site</w:t>
      </w:r>
    </w:p>
    <w:p>
      <w:pPr>
        <w:spacing w:after="0" w:line="136" w:lineRule="exact"/>
        <w:rPr>
          <w:sz w:val="20"/>
          <w:szCs w:val="20"/>
          <w:color w:val="auto"/>
        </w:rPr>
      </w:pPr>
    </w:p>
    <w:p>
      <w:pPr>
        <w:ind w:left="180" w:right="300"/>
        <w:spacing w:after="0" w:line="278" w:lineRule="auto"/>
        <w:rPr>
          <w:sz w:val="20"/>
          <w:szCs w:val="20"/>
          <w:color w:val="auto"/>
        </w:rPr>
      </w:pPr>
      <w:r>
        <w:rPr>
          <w:rFonts w:ascii="Arial" w:cs="Arial" w:eastAsia="Arial" w:hAnsi="Arial"/>
          <w:sz w:val="14"/>
          <w:szCs w:val="14"/>
          <w:color w:val="auto"/>
        </w:rPr>
        <w:t xml:space="preserve">The Annual Meeting will be a completely virtual meeting of stockholders, to be conducted via live audio webcast. You will be able to attend the virtual Annual Meeting and submit your questions during the meeting by visiting </w:t>
      </w:r>
      <w:r>
        <w:rPr>
          <w:rFonts w:ascii="Arial" w:cs="Arial" w:eastAsia="Arial" w:hAnsi="Arial"/>
          <w:sz w:val="14"/>
          <w:szCs w:val="14"/>
          <w:b w:val="1"/>
          <w:bCs w:val="1"/>
          <w:color w:val="auto"/>
        </w:rPr>
        <w:t>www.virtualshareholdermeeting.com/ZS2021</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2914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205"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FFFFFF"/>
        </w:rPr>
        <w:t>Items of Business</w:t>
      </w:r>
    </w:p>
    <w:p>
      <w:pPr>
        <w:spacing w:after="0" w:line="230" w:lineRule="exact"/>
        <w:rPr>
          <w:sz w:val="20"/>
          <w:szCs w:val="20"/>
          <w:color w:val="auto"/>
        </w:rPr>
      </w:pPr>
    </w:p>
    <w:p>
      <w:pPr>
        <w:ind w:left="780" w:right="520" w:hanging="579"/>
        <w:spacing w:after="0" w:line="181" w:lineRule="auto"/>
        <w:tabs>
          <w:tab w:leader="none" w:pos="780" w:val="left"/>
        </w:tabs>
        <w:numPr>
          <w:ilvl w:val="0"/>
          <w:numId w:val="4"/>
        </w:numPr>
        <w:rPr>
          <w:rFonts w:ascii="Arial" w:cs="Arial" w:eastAsia="Arial" w:hAnsi="Arial"/>
          <w:sz w:val="28"/>
          <w:szCs w:val="28"/>
          <w:b w:val="1"/>
          <w:bCs w:val="1"/>
          <w:color w:val="FFFFFF"/>
          <w:vertAlign w:val="subscript"/>
        </w:rPr>
      </w:pPr>
      <w:r>
        <w:rPr>
          <w:rFonts w:ascii="Arial" w:cs="Arial" w:eastAsia="Arial" w:hAnsi="Arial"/>
          <w:sz w:val="12"/>
          <w:szCs w:val="12"/>
          <w:color w:val="auto"/>
        </w:rPr>
        <w:t>To elect three Class I directors from the nominees described in this Proxy Statement to hold office until the 2024 annual meeting of stockholders or until their successors are elected and qualified, subject to their earlier death, resignation or removal.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334010" cy="2571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4010" cy="2571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76835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40" w:type="dxa"/>
            <w:vAlign w:val="bottom"/>
            <w:vMerge w:val="restart"/>
            <w:shd w:val="clear" w:color="auto" w:fill="000000"/>
          </w:tcPr>
          <w:p>
            <w:pPr>
              <w:jc w:val="right"/>
              <w:ind w:right="74"/>
              <w:spacing w:after="0"/>
              <w:rPr>
                <w:sz w:val="20"/>
                <w:szCs w:val="20"/>
                <w:color w:val="auto"/>
              </w:rPr>
            </w:pPr>
            <w:r>
              <w:rPr>
                <w:rFonts w:ascii="Arial" w:cs="Arial" w:eastAsia="Arial" w:hAnsi="Arial"/>
                <w:sz w:val="25"/>
                <w:szCs w:val="25"/>
                <w:b w:val="1"/>
                <w:bCs w:val="1"/>
                <w:color w:val="FFFFFF"/>
              </w:rPr>
              <w:t>2</w:t>
            </w:r>
          </w:p>
        </w:tc>
        <w:tc>
          <w:tcPr>
            <w:tcW w:w="10700" w:type="dxa"/>
            <w:vAlign w:val="bottom"/>
          </w:tcPr>
          <w:p>
            <w:pPr>
              <w:ind w:left="240"/>
              <w:spacing w:after="0"/>
              <w:rPr>
                <w:sz w:val="20"/>
                <w:szCs w:val="20"/>
                <w:color w:val="auto"/>
              </w:rPr>
            </w:pPr>
            <w:r>
              <w:rPr>
                <w:rFonts w:ascii="Arial" w:cs="Arial" w:eastAsia="Arial" w:hAnsi="Arial"/>
                <w:sz w:val="14"/>
                <w:szCs w:val="14"/>
                <w:color w:val="auto"/>
              </w:rPr>
              <w:t>To ratify the selection of PricewaterhouseCoopers LLP as our independent registered public accounting firm for our fiscal year</w:t>
            </w:r>
          </w:p>
        </w:tc>
        <w:tc>
          <w:tcPr>
            <w:tcW w:w="0" w:type="dxa"/>
            <w:vAlign w:val="bottom"/>
          </w:tcPr>
          <w:p>
            <w:pPr>
              <w:spacing w:after="0"/>
              <w:rPr>
                <w:sz w:val="1"/>
                <w:szCs w:val="1"/>
                <w:color w:val="auto"/>
              </w:rPr>
            </w:pPr>
          </w:p>
        </w:tc>
      </w:tr>
      <w:tr>
        <w:trPr>
          <w:trHeight w:val="183"/>
        </w:trPr>
        <w:tc>
          <w:tcPr>
            <w:tcW w:w="540" w:type="dxa"/>
            <w:vAlign w:val="bottom"/>
            <w:vMerge w:val="continue"/>
            <w:shd w:val="clear" w:color="auto" w:fill="000000"/>
          </w:tcPr>
          <w:p>
            <w:pPr>
              <w:spacing w:after="0"/>
              <w:rPr>
                <w:sz w:val="15"/>
                <w:szCs w:val="15"/>
                <w:color w:val="auto"/>
              </w:rPr>
            </w:pPr>
          </w:p>
        </w:tc>
        <w:tc>
          <w:tcPr>
            <w:tcW w:w="10700" w:type="dxa"/>
            <w:vAlign w:val="bottom"/>
          </w:tcPr>
          <w:p>
            <w:pPr>
              <w:ind w:left="240"/>
              <w:spacing w:after="0"/>
              <w:rPr>
                <w:sz w:val="20"/>
                <w:szCs w:val="20"/>
                <w:color w:val="auto"/>
              </w:rPr>
            </w:pPr>
            <w:r>
              <w:rPr>
                <w:rFonts w:ascii="Arial" w:cs="Arial" w:eastAsia="Arial" w:hAnsi="Arial"/>
                <w:sz w:val="14"/>
                <w:szCs w:val="14"/>
                <w:color w:val="auto"/>
              </w:rPr>
              <w:t>ending July 31, 2022.</w:t>
            </w:r>
          </w:p>
        </w:tc>
        <w:tc>
          <w:tcPr>
            <w:tcW w:w="0" w:type="dxa"/>
            <w:vAlign w:val="bottom"/>
          </w:tcPr>
          <w:p>
            <w:pPr>
              <w:spacing w:after="0"/>
              <w:rPr>
                <w:sz w:val="1"/>
                <w:szCs w:val="1"/>
                <w:color w:val="auto"/>
              </w:rPr>
            </w:pPr>
          </w:p>
        </w:tc>
      </w:tr>
      <w:tr>
        <w:trPr>
          <w:trHeight w:val="73"/>
        </w:trPr>
        <w:tc>
          <w:tcPr>
            <w:tcW w:w="540" w:type="dxa"/>
            <w:vAlign w:val="bottom"/>
            <w:shd w:val="clear" w:color="auto" w:fill="000000"/>
          </w:tcPr>
          <w:p>
            <w:pPr>
              <w:spacing w:after="0"/>
              <w:rPr>
                <w:sz w:val="6"/>
                <w:szCs w:val="6"/>
                <w:color w:val="auto"/>
              </w:rPr>
            </w:pPr>
          </w:p>
        </w:tc>
        <w:tc>
          <w:tcPr>
            <w:tcW w:w="10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540" w:type="dxa"/>
            <w:vAlign w:val="bottom"/>
            <w:tcBorders>
              <w:bottom w:val="single" w:sz="8" w:color="auto"/>
            </w:tcBorders>
          </w:tcPr>
          <w:p>
            <w:pPr>
              <w:spacing w:after="0"/>
              <w:rPr>
                <w:sz w:val="8"/>
                <w:szCs w:val="8"/>
                <w:color w:val="auto"/>
              </w:rPr>
            </w:pPr>
          </w:p>
        </w:tc>
        <w:tc>
          <w:tcPr>
            <w:tcW w:w="107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52" w:lineRule="exact"/>
        <w:rPr>
          <w:sz w:val="20"/>
          <w:szCs w:val="20"/>
          <w:color w:val="auto"/>
        </w:rPr>
      </w:pPr>
    </w:p>
    <w:p>
      <w:pPr>
        <w:ind w:left="780" w:hanging="579"/>
        <w:spacing w:after="0"/>
        <w:tabs>
          <w:tab w:leader="none" w:pos="780" w:val="left"/>
        </w:tabs>
        <w:numPr>
          <w:ilvl w:val="0"/>
          <w:numId w:val="5"/>
        </w:numPr>
        <w:rPr>
          <w:rFonts w:ascii="Arial" w:cs="Arial" w:eastAsia="Arial" w:hAnsi="Arial"/>
          <w:sz w:val="25"/>
          <w:szCs w:val="25"/>
          <w:b w:val="1"/>
          <w:bCs w:val="1"/>
          <w:color w:val="FFFFFF"/>
        </w:rPr>
      </w:pPr>
      <w:r>
        <w:rPr>
          <w:rFonts w:ascii="Arial" w:cs="Arial" w:eastAsia="Arial" w:hAnsi="Arial"/>
          <w:sz w:val="14"/>
          <w:szCs w:val="14"/>
          <w:color w:val="auto"/>
        </w:rPr>
        <w:t>To approve, on a non-binding advisory basis, the compensation of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334010" cy="2228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4010" cy="222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3" w:lineRule="exact"/>
        <w:rPr>
          <w:sz w:val="20"/>
          <w:szCs w:val="20"/>
          <w:color w:val="auto"/>
        </w:rPr>
      </w:pPr>
    </w:p>
    <w:p>
      <w:pPr>
        <w:ind w:left="780" w:hanging="579"/>
        <w:spacing w:after="0"/>
        <w:tabs>
          <w:tab w:leader="none" w:pos="780" w:val="left"/>
        </w:tabs>
        <w:numPr>
          <w:ilvl w:val="0"/>
          <w:numId w:val="6"/>
        </w:numPr>
        <w:rPr>
          <w:rFonts w:ascii="Arial" w:cs="Arial" w:eastAsia="Arial" w:hAnsi="Arial"/>
          <w:sz w:val="25"/>
          <w:szCs w:val="25"/>
          <w:b w:val="1"/>
          <w:bCs w:val="1"/>
          <w:color w:val="FFFFFF"/>
        </w:rPr>
      </w:pPr>
      <w:r>
        <w:rPr>
          <w:rFonts w:ascii="Arial" w:cs="Arial" w:eastAsia="Arial" w:hAnsi="Arial"/>
          <w:sz w:val="14"/>
          <w:szCs w:val="14"/>
          <w:color w:val="auto"/>
        </w:rPr>
        <w:t>To transact other business that may properly come before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334010" cy="2228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4010" cy="222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2674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267462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p>
      <w:pPr>
        <w:spacing w:after="0" w:line="200" w:lineRule="exact"/>
        <w:rPr>
          <w:sz w:val="20"/>
          <w:szCs w:val="20"/>
          <w:color w:val="auto"/>
        </w:rPr>
      </w:pPr>
    </w:p>
    <w:p>
      <w:pPr>
        <w:spacing w:after="0" w:line="252"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9ADA"/>
        </w:rPr>
        <w:t>Your vote is important.</w:t>
      </w:r>
    </w:p>
    <w:p>
      <w:pPr>
        <w:spacing w:after="0" w:line="85" w:lineRule="exact"/>
        <w:rPr>
          <w:sz w:val="20"/>
          <w:szCs w:val="20"/>
          <w:color w:val="auto"/>
        </w:rPr>
      </w:pPr>
    </w:p>
    <w:p>
      <w:pPr>
        <w:ind w:left="20"/>
        <w:spacing w:after="0" w:line="344" w:lineRule="auto"/>
        <w:rPr>
          <w:sz w:val="20"/>
          <w:szCs w:val="20"/>
          <w:color w:val="auto"/>
        </w:rPr>
      </w:pPr>
      <w:r>
        <w:rPr>
          <w:rFonts w:ascii="Arial" w:cs="Arial" w:eastAsia="Arial" w:hAnsi="Arial"/>
          <w:sz w:val="21"/>
          <w:szCs w:val="21"/>
          <w:b w:val="1"/>
          <w:bCs w:val="1"/>
          <w:color w:val="009ADA"/>
        </w:rPr>
        <w:t>To vote your shares, please follow the instructions in the Notice of Internet Availability of Proxy Materials, which is being mailed to you on or about November 24, 2021.</w:t>
      </w:r>
    </w:p>
    <w:p>
      <w:pPr>
        <w:spacing w:after="0" w:line="20" w:lineRule="exact"/>
        <w:rPr>
          <w:sz w:val="20"/>
          <w:szCs w:val="20"/>
          <w:color w:val="auto"/>
        </w:rPr>
      </w:pPr>
      <w:r>
        <w:rPr>
          <w:sz w:val="20"/>
          <w:szCs w:val="20"/>
          <w:color w:val="auto"/>
        </w:rPr>
        <w:br w:type="column"/>
      </w:r>
    </w:p>
    <w:p>
      <w:pPr>
        <w:spacing w:after="0" w:line="3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Your vote is important.</w:t>
      </w:r>
    </w:p>
    <w:p>
      <w:pPr>
        <w:spacing w:after="0" w:line="87" w:lineRule="exact"/>
        <w:rPr>
          <w:sz w:val="20"/>
          <w:szCs w:val="20"/>
          <w:color w:val="auto"/>
        </w:rPr>
      </w:pPr>
    </w:p>
    <w:p>
      <w:pPr>
        <w:ind w:right="20"/>
        <w:spacing w:after="0" w:line="265" w:lineRule="auto"/>
        <w:rPr>
          <w:sz w:val="20"/>
          <w:szCs w:val="20"/>
          <w:color w:val="auto"/>
        </w:rPr>
      </w:pPr>
      <w:r>
        <w:rPr>
          <w:rFonts w:ascii="Arial" w:cs="Arial" w:eastAsia="Arial" w:hAnsi="Arial"/>
          <w:sz w:val="14"/>
          <w:szCs w:val="14"/>
          <w:color w:val="auto"/>
        </w:rPr>
        <w:t>Whether or not you plan to attend the virtual Annual Meeting, we urge you to submit your vote via the internet, telephone or mail as soon as possible to ensure your shares are represented. For additional instructions for each of these voting options, please refer to the proxy card. Returning the proxy does not deprive you of your right to attend the virtual Annual Meeting and to vote your shares at the virtual Annual Meeting. The Proxy Statement explains proxy voting and the matters to be voted on in more detail.</w:t>
      </w:r>
    </w:p>
    <w:p>
      <w:pPr>
        <w:spacing w:after="0" w:line="133" w:lineRule="exact"/>
        <w:rPr>
          <w:sz w:val="20"/>
          <w:szCs w:val="20"/>
          <w:color w:val="auto"/>
        </w:rPr>
      </w:pPr>
    </w:p>
    <w:p>
      <w:pPr>
        <w:ind w:right="80"/>
        <w:spacing w:after="0" w:line="272" w:lineRule="auto"/>
        <w:rPr>
          <w:sz w:val="20"/>
          <w:szCs w:val="20"/>
          <w:color w:val="auto"/>
        </w:rPr>
      </w:pPr>
      <w:r>
        <w:rPr>
          <w:rFonts w:ascii="Arial" w:cs="Arial" w:eastAsia="Arial" w:hAnsi="Arial"/>
          <w:sz w:val="14"/>
          <w:szCs w:val="14"/>
          <w:b w:val="1"/>
          <w:bCs w:val="1"/>
          <w:color w:val="auto"/>
        </w:rPr>
        <w:t xml:space="preserve">Important Notice Regarding the Availability of Proxy Materials for the Virtual Annual Meeting to be Held on January 5, 2022. </w:t>
      </w:r>
      <w:r>
        <w:rPr>
          <w:rFonts w:ascii="Arial" w:cs="Arial" w:eastAsia="Arial" w:hAnsi="Arial"/>
          <w:sz w:val="14"/>
          <w:szCs w:val="14"/>
          <w:color w:val="auto"/>
        </w:rPr>
        <w:t>Our proxy materials, including the Proxy Statement and Annual Report to Stockholders, are being made</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available on or about November 24, 2021 at the following website: </w:t>
      </w:r>
      <w:r>
        <w:rPr>
          <w:rFonts w:ascii="Arial" w:cs="Arial" w:eastAsia="Arial" w:hAnsi="Arial"/>
          <w:sz w:val="14"/>
          <w:szCs w:val="14"/>
          <w:b w:val="1"/>
          <w:bCs w:val="1"/>
          <w:color w:val="auto"/>
        </w:rPr>
        <w:t>http://www.proxyvote.com</w:t>
      </w:r>
      <w:r>
        <w:rPr>
          <w:rFonts w:ascii="Arial" w:cs="Arial" w:eastAsia="Arial" w:hAnsi="Arial"/>
          <w:sz w:val="14"/>
          <w:szCs w:val="14"/>
          <w:color w:val="auto"/>
        </w:rPr>
        <w:t xml:space="preserve">, as well as on our website at </w:t>
      </w:r>
      <w:r>
        <w:rPr>
          <w:rFonts w:ascii="Arial" w:cs="Arial" w:eastAsia="Arial" w:hAnsi="Arial"/>
          <w:sz w:val="14"/>
          <w:szCs w:val="14"/>
          <w:b w:val="1"/>
          <w:bCs w:val="1"/>
          <w:color w:val="auto"/>
        </w:rPr>
        <w:t>http://ir.zscaler.com</w:t>
      </w:r>
      <w:r>
        <w:rPr>
          <w:rFonts w:ascii="Arial" w:cs="Arial" w:eastAsia="Arial" w:hAnsi="Arial"/>
          <w:sz w:val="14"/>
          <w:szCs w:val="14"/>
          <w:color w:val="auto"/>
        </w:rPr>
        <w:t xml:space="preserve"> in the Financials section of our Investor Relations webpage. We are providing access to our proxy materials over the internet under the rules adopted by the U.S. Securities and Exchange Commission.</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wp:posOffset>
            </wp:positionV>
            <wp:extent cx="1543050" cy="3340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000000"/>
                        </a:clrFrom>
                        <a:clrTo>
                          <a:srgbClr val="000000">
                            <a:alpha val="0"/>
                          </a:srgbClr>
                        </a:clrTo>
                      </a:clrChange>
                      <a:extLst>
                        <a:ext uri="{28A0092B-C50C-407E-A947-70E740481C1C}"/>
                      </a:extLst>
                    </a:blip>
                    <a:srcRect/>
                    <a:stretch>
                      <a:fillRect/>
                    </a:stretch>
                  </pic:blipFill>
                  <pic:spPr bwMode="auto">
                    <a:xfrm>
                      <a:off x="0" y="0"/>
                      <a:ext cx="1543050" cy="3340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-1905</wp:posOffset>
            </wp:positionV>
            <wp:extent cx="1543050" cy="3340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543050" cy="334010"/>
                    </a:xfrm>
                    <a:prstGeom prst="rect">
                      <a:avLst/>
                    </a:prstGeom>
                    <a:noFill/>
                  </pic:spPr>
                </pic:pic>
              </a:graphicData>
            </a:graphic>
          </wp:anchor>
        </w:drawing>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Robert Schlossman</w:t>
      </w:r>
    </w:p>
    <w:p>
      <w:pPr>
        <w:spacing w:after="0" w:line="60" w:lineRule="exact"/>
        <w:rPr>
          <w:sz w:val="20"/>
          <w:szCs w:val="20"/>
          <w:color w:val="auto"/>
        </w:rPr>
      </w:pPr>
    </w:p>
    <w:p>
      <w:pPr>
        <w:spacing w:after="0"/>
        <w:rPr>
          <w:sz w:val="20"/>
          <w:szCs w:val="20"/>
          <w:color w:val="auto"/>
        </w:rPr>
      </w:pPr>
      <w:r>
        <w:rPr>
          <w:rFonts w:ascii="Arial" w:cs="Arial" w:eastAsia="Arial" w:hAnsi="Arial"/>
          <w:sz w:val="14"/>
          <w:szCs w:val="14"/>
          <w:color w:val="auto"/>
        </w:rPr>
        <w:t>Chief Legal Officer and Secretary</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color w:val="auto"/>
        </w:rPr>
        <w:t>San Jose, CA</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November 24, 2021</w:t>
      </w:r>
    </w:p>
    <w:p>
      <w:pPr>
        <w:sectPr>
          <w:pgSz w:w="11900" w:h="16838" w:orient="portrait"/>
          <w:cols w:equalWidth="0" w:num="2">
            <w:col w:w="3000" w:space="400"/>
            <w:col w:w="7840"/>
          </w:cols>
          <w:pgMar w:left="320" w:top="1440" w:right="3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54"/>
          <w:szCs w:val="54"/>
          <w:color w:val="auto"/>
        </w:rPr>
        <w:t>Table of Contents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8400" w:type="dxa"/>
            <w:vAlign w:val="bottom"/>
          </w:tcPr>
          <w:p>
            <w:pPr>
              <w:ind w:left="20"/>
              <w:spacing w:after="0"/>
              <w:rPr>
                <w:rFonts w:ascii="Arial" w:cs="Arial" w:eastAsia="Arial" w:hAnsi="Arial"/>
                <w:sz w:val="20"/>
                <w:szCs w:val="20"/>
                <w:b w:val="1"/>
                <w:bCs w:val="1"/>
                <w:color w:val="009ADA"/>
              </w:rPr>
            </w:pPr>
            <w:hyperlink w:anchor="page5">
              <w:r>
                <w:rPr>
                  <w:rFonts w:ascii="Arial" w:cs="Arial" w:eastAsia="Arial" w:hAnsi="Arial"/>
                  <w:sz w:val="20"/>
                  <w:szCs w:val="20"/>
                  <w:b w:val="1"/>
                  <w:bCs w:val="1"/>
                  <w:color w:val="009ADA"/>
                </w:rPr>
                <w:t>PROXY SUMMARY</w:t>
              </w:r>
            </w:hyperlink>
          </w:p>
        </w:tc>
        <w:tc>
          <w:tcPr>
            <w:tcW w:w="2840" w:type="dxa"/>
            <w:vAlign w:val="bottom"/>
          </w:tcPr>
          <w:p>
            <w:pPr>
              <w:jc w:val="right"/>
              <w:spacing w:after="0"/>
              <w:rPr>
                <w:rFonts w:ascii="Arial" w:cs="Arial" w:eastAsia="Arial" w:hAnsi="Arial"/>
                <w:sz w:val="20"/>
                <w:szCs w:val="20"/>
                <w:b w:val="1"/>
                <w:bCs w:val="1"/>
                <w:color w:val="009ADA"/>
              </w:rPr>
            </w:pPr>
            <w:hyperlink w:anchor="page5">
              <w:r>
                <w:rPr>
                  <w:rFonts w:ascii="Arial" w:cs="Arial" w:eastAsia="Arial" w:hAnsi="Arial"/>
                  <w:sz w:val="20"/>
                  <w:szCs w:val="20"/>
                  <w:b w:val="1"/>
                  <w:bCs w:val="1"/>
                  <w:color w:val="009ADA"/>
                </w:rPr>
                <w:t>2</w:t>
              </w:r>
            </w:hyperlink>
          </w:p>
        </w:tc>
      </w:tr>
      <w:tr>
        <w:trPr>
          <w:trHeight w:val="23"/>
        </w:trPr>
        <w:tc>
          <w:tcPr>
            <w:tcW w:w="840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r>
      <w:tr>
        <w:trPr>
          <w:trHeight w:val="255"/>
        </w:trPr>
        <w:tc>
          <w:tcPr>
            <w:tcW w:w="8400" w:type="dxa"/>
            <w:vAlign w:val="bottom"/>
          </w:tcPr>
          <w:p>
            <w:pPr>
              <w:ind w:left="20"/>
              <w:spacing w:after="0"/>
              <w:rPr>
                <w:rFonts w:ascii="Arial" w:cs="Arial" w:eastAsia="Arial" w:hAnsi="Arial"/>
                <w:sz w:val="20"/>
                <w:szCs w:val="20"/>
                <w:b w:val="1"/>
                <w:bCs w:val="1"/>
                <w:color w:val="009ADA"/>
              </w:rPr>
            </w:pPr>
            <w:hyperlink w:anchor="page9">
              <w:r>
                <w:rPr>
                  <w:rFonts w:ascii="Arial" w:cs="Arial" w:eastAsia="Arial" w:hAnsi="Arial"/>
                  <w:sz w:val="20"/>
                  <w:szCs w:val="20"/>
                  <w:b w:val="1"/>
                  <w:bCs w:val="1"/>
                  <w:color w:val="009ADA"/>
                </w:rPr>
                <w:t>QUESTIONS AND ANSWERS ABOUT THE ANNUAL MEETING</w:t>
              </w:r>
            </w:hyperlink>
          </w:p>
        </w:tc>
        <w:tc>
          <w:tcPr>
            <w:tcW w:w="2840" w:type="dxa"/>
            <w:vAlign w:val="bottom"/>
          </w:tcPr>
          <w:p>
            <w:pPr>
              <w:jc w:val="right"/>
              <w:spacing w:after="0"/>
              <w:rPr>
                <w:rFonts w:ascii="Arial" w:cs="Arial" w:eastAsia="Arial" w:hAnsi="Arial"/>
                <w:sz w:val="20"/>
                <w:szCs w:val="20"/>
                <w:b w:val="1"/>
                <w:bCs w:val="1"/>
                <w:color w:val="009ADA"/>
              </w:rPr>
            </w:pPr>
            <w:hyperlink w:anchor="page9">
              <w:r>
                <w:rPr>
                  <w:rFonts w:ascii="Arial" w:cs="Arial" w:eastAsia="Arial" w:hAnsi="Arial"/>
                  <w:sz w:val="20"/>
                  <w:szCs w:val="20"/>
                  <w:b w:val="1"/>
                  <w:bCs w:val="1"/>
                  <w:color w:val="009ADA"/>
                </w:rPr>
                <w:t>6</w:t>
              </w:r>
            </w:hyperlink>
          </w:p>
        </w:tc>
      </w:tr>
      <w:tr>
        <w:trPr>
          <w:trHeight w:val="22"/>
        </w:trPr>
        <w:tc>
          <w:tcPr>
            <w:tcW w:w="8400" w:type="dxa"/>
            <w:vAlign w:val="bottom"/>
            <w:tcBorders>
              <w:bottom w:val="single" w:sz="8" w:color="auto"/>
            </w:tcBorders>
          </w:tcPr>
          <w:p>
            <w:pPr>
              <w:spacing w:after="0" w:line="20" w:lineRule="exact"/>
              <w:rPr>
                <w:sz w:val="1"/>
                <w:szCs w:val="1"/>
                <w:color w:val="auto"/>
              </w:rPr>
            </w:pPr>
          </w:p>
        </w:tc>
        <w:tc>
          <w:tcPr>
            <w:tcW w:w="2840" w:type="dxa"/>
            <w:vAlign w:val="bottom"/>
            <w:tcBorders>
              <w:bottom w:val="single" w:sz="8" w:color="auto"/>
            </w:tcBorders>
          </w:tcPr>
          <w:p>
            <w:pPr>
              <w:spacing w:after="0" w:line="20" w:lineRule="exact"/>
              <w:rPr>
                <w:sz w:val="1"/>
                <w:szCs w:val="1"/>
                <w:color w:val="auto"/>
              </w:rPr>
            </w:pPr>
          </w:p>
        </w:tc>
      </w:tr>
      <w:tr>
        <w:trPr>
          <w:trHeight w:val="255"/>
        </w:trPr>
        <w:tc>
          <w:tcPr>
            <w:tcW w:w="8400" w:type="dxa"/>
            <w:vAlign w:val="bottom"/>
          </w:tcPr>
          <w:p>
            <w:pPr>
              <w:ind w:left="20"/>
              <w:spacing w:after="0"/>
              <w:rPr>
                <w:rFonts w:ascii="Arial" w:cs="Arial" w:eastAsia="Arial" w:hAnsi="Arial"/>
                <w:sz w:val="20"/>
                <w:szCs w:val="20"/>
                <w:b w:val="1"/>
                <w:bCs w:val="1"/>
                <w:color w:val="009ADA"/>
              </w:rPr>
            </w:pPr>
            <w:hyperlink w:anchor="page16">
              <w:r>
                <w:rPr>
                  <w:rFonts w:ascii="Arial" w:cs="Arial" w:eastAsia="Arial" w:hAnsi="Arial"/>
                  <w:sz w:val="20"/>
                  <w:szCs w:val="20"/>
                  <w:b w:val="1"/>
                  <w:bCs w:val="1"/>
                  <w:color w:val="009ADA"/>
                </w:rPr>
                <w:t>BOARD OF DIRECTORS AND CORPORATE GOVERNANCE</w:t>
              </w:r>
            </w:hyperlink>
          </w:p>
        </w:tc>
        <w:tc>
          <w:tcPr>
            <w:tcW w:w="2840" w:type="dxa"/>
            <w:vAlign w:val="bottom"/>
          </w:tcPr>
          <w:p>
            <w:pPr>
              <w:jc w:val="right"/>
              <w:spacing w:after="0"/>
              <w:rPr>
                <w:rFonts w:ascii="Arial" w:cs="Arial" w:eastAsia="Arial" w:hAnsi="Arial"/>
                <w:sz w:val="20"/>
                <w:szCs w:val="20"/>
                <w:b w:val="1"/>
                <w:bCs w:val="1"/>
                <w:color w:val="009ADA"/>
              </w:rPr>
            </w:pPr>
            <w:hyperlink w:anchor="page16">
              <w:r>
                <w:rPr>
                  <w:rFonts w:ascii="Arial" w:cs="Arial" w:eastAsia="Arial" w:hAnsi="Arial"/>
                  <w:sz w:val="20"/>
                  <w:szCs w:val="20"/>
                  <w:b w:val="1"/>
                  <w:bCs w:val="1"/>
                  <w:color w:val="009ADA"/>
                </w:rPr>
                <w:t>13</w:t>
              </w:r>
            </w:hyperlink>
          </w:p>
        </w:tc>
      </w:tr>
      <w:tr>
        <w:trPr>
          <w:trHeight w:val="273"/>
        </w:trPr>
        <w:tc>
          <w:tcPr>
            <w:tcW w:w="8400" w:type="dxa"/>
            <w:vAlign w:val="bottom"/>
          </w:tcPr>
          <w:p>
            <w:pPr>
              <w:ind w:left="360"/>
              <w:spacing w:after="0"/>
              <w:rPr>
                <w:rFonts w:ascii="Arial" w:cs="Arial" w:eastAsia="Arial" w:hAnsi="Arial"/>
                <w:sz w:val="16"/>
                <w:szCs w:val="16"/>
                <w:b w:val="1"/>
                <w:bCs w:val="1"/>
                <w:color w:val="auto"/>
              </w:rPr>
            </w:pPr>
            <w:hyperlink w:anchor="page17">
              <w:r>
                <w:rPr>
                  <w:rFonts w:ascii="Arial" w:cs="Arial" w:eastAsia="Arial" w:hAnsi="Arial"/>
                  <w:sz w:val="16"/>
                  <w:szCs w:val="16"/>
                  <w:b w:val="1"/>
                  <w:bCs w:val="1"/>
                  <w:color w:val="auto"/>
                </w:rPr>
                <w:t>Our Directors</w:t>
              </w:r>
            </w:hyperlink>
          </w:p>
        </w:tc>
        <w:tc>
          <w:tcPr>
            <w:tcW w:w="2840" w:type="dxa"/>
            <w:vAlign w:val="bottom"/>
          </w:tcPr>
          <w:p>
            <w:pPr>
              <w:jc w:val="right"/>
              <w:spacing w:after="0"/>
              <w:rPr>
                <w:rFonts w:ascii="Arial" w:cs="Arial" w:eastAsia="Arial" w:hAnsi="Arial"/>
                <w:sz w:val="16"/>
                <w:szCs w:val="16"/>
                <w:b w:val="1"/>
                <w:bCs w:val="1"/>
                <w:color w:val="auto"/>
              </w:rPr>
            </w:pPr>
            <w:hyperlink w:anchor="page17">
              <w:r>
                <w:rPr>
                  <w:rFonts w:ascii="Arial" w:cs="Arial" w:eastAsia="Arial" w:hAnsi="Arial"/>
                  <w:sz w:val="16"/>
                  <w:szCs w:val="16"/>
                  <w:b w:val="1"/>
                  <w:bCs w:val="1"/>
                  <w:color w:val="auto"/>
                </w:rPr>
                <w:t>14</w:t>
              </w:r>
            </w:hyperlink>
          </w:p>
        </w:tc>
      </w:tr>
      <w:tr>
        <w:trPr>
          <w:trHeight w:val="365"/>
        </w:trPr>
        <w:tc>
          <w:tcPr>
            <w:tcW w:w="8400" w:type="dxa"/>
            <w:vAlign w:val="bottom"/>
          </w:tcPr>
          <w:p>
            <w:pPr>
              <w:ind w:left="360"/>
              <w:spacing w:after="0"/>
              <w:rPr>
                <w:rFonts w:ascii="Arial" w:cs="Arial" w:eastAsia="Arial" w:hAnsi="Arial"/>
                <w:sz w:val="16"/>
                <w:szCs w:val="16"/>
                <w:b w:val="1"/>
                <w:bCs w:val="1"/>
                <w:color w:val="auto"/>
              </w:rPr>
            </w:pPr>
            <w:hyperlink w:anchor="page24">
              <w:r>
                <w:rPr>
                  <w:rFonts w:ascii="Arial" w:cs="Arial" w:eastAsia="Arial" w:hAnsi="Arial"/>
                  <w:sz w:val="16"/>
                  <w:szCs w:val="16"/>
                  <w:b w:val="1"/>
                  <w:bCs w:val="1"/>
                  <w:color w:val="auto"/>
                </w:rPr>
                <w:t>Board Meetings and Committees</w:t>
              </w:r>
            </w:hyperlink>
          </w:p>
        </w:tc>
        <w:tc>
          <w:tcPr>
            <w:tcW w:w="2840" w:type="dxa"/>
            <w:vAlign w:val="bottom"/>
          </w:tcPr>
          <w:p>
            <w:pPr>
              <w:jc w:val="right"/>
              <w:spacing w:after="0"/>
              <w:rPr>
                <w:rFonts w:ascii="Arial" w:cs="Arial" w:eastAsia="Arial" w:hAnsi="Arial"/>
                <w:sz w:val="16"/>
                <w:szCs w:val="16"/>
                <w:b w:val="1"/>
                <w:bCs w:val="1"/>
                <w:color w:val="auto"/>
              </w:rPr>
            </w:pPr>
            <w:hyperlink w:anchor="page24">
              <w:r>
                <w:rPr>
                  <w:rFonts w:ascii="Arial" w:cs="Arial" w:eastAsia="Arial" w:hAnsi="Arial"/>
                  <w:sz w:val="16"/>
                  <w:szCs w:val="16"/>
                  <w:b w:val="1"/>
                  <w:bCs w:val="1"/>
                  <w:color w:val="auto"/>
                </w:rPr>
                <w:t>20</w:t>
              </w:r>
            </w:hyperlink>
          </w:p>
        </w:tc>
      </w:tr>
      <w:tr>
        <w:trPr>
          <w:trHeight w:val="364"/>
        </w:trPr>
        <w:tc>
          <w:tcPr>
            <w:tcW w:w="8400" w:type="dxa"/>
            <w:vAlign w:val="bottom"/>
          </w:tcPr>
          <w:p>
            <w:pPr>
              <w:ind w:left="360"/>
              <w:spacing w:after="0"/>
              <w:rPr>
                <w:rFonts w:ascii="Arial" w:cs="Arial" w:eastAsia="Arial" w:hAnsi="Arial"/>
                <w:sz w:val="16"/>
                <w:szCs w:val="16"/>
                <w:b w:val="1"/>
                <w:bCs w:val="1"/>
                <w:color w:val="auto"/>
              </w:rPr>
            </w:pPr>
            <w:hyperlink w:anchor="page28">
              <w:r>
                <w:rPr>
                  <w:rFonts w:ascii="Arial" w:cs="Arial" w:eastAsia="Arial" w:hAnsi="Arial"/>
                  <w:sz w:val="16"/>
                  <w:szCs w:val="16"/>
                  <w:b w:val="1"/>
                  <w:bCs w:val="1"/>
                  <w:color w:val="auto"/>
                </w:rPr>
                <w:t>Communications with the Board of Directors</w:t>
              </w:r>
            </w:hyperlink>
          </w:p>
        </w:tc>
        <w:tc>
          <w:tcPr>
            <w:tcW w:w="2840" w:type="dxa"/>
            <w:vAlign w:val="bottom"/>
          </w:tcPr>
          <w:p>
            <w:pPr>
              <w:jc w:val="right"/>
              <w:spacing w:after="0"/>
              <w:rPr>
                <w:rFonts w:ascii="Arial" w:cs="Arial" w:eastAsia="Arial" w:hAnsi="Arial"/>
                <w:sz w:val="16"/>
                <w:szCs w:val="16"/>
                <w:b w:val="1"/>
                <w:bCs w:val="1"/>
                <w:color w:val="auto"/>
              </w:rPr>
            </w:pPr>
            <w:hyperlink w:anchor="page28">
              <w:r>
                <w:rPr>
                  <w:rFonts w:ascii="Arial" w:cs="Arial" w:eastAsia="Arial" w:hAnsi="Arial"/>
                  <w:sz w:val="16"/>
                  <w:szCs w:val="16"/>
                  <w:b w:val="1"/>
                  <w:bCs w:val="1"/>
                  <w:color w:val="auto"/>
                </w:rPr>
                <w:t>24</w:t>
              </w:r>
            </w:hyperlink>
          </w:p>
        </w:tc>
      </w:tr>
      <w:tr>
        <w:trPr>
          <w:trHeight w:val="364"/>
        </w:trPr>
        <w:tc>
          <w:tcPr>
            <w:tcW w:w="8400" w:type="dxa"/>
            <w:vAlign w:val="bottom"/>
          </w:tcPr>
          <w:p>
            <w:pPr>
              <w:ind w:left="360"/>
              <w:spacing w:after="0"/>
              <w:rPr>
                <w:rFonts w:ascii="Arial" w:cs="Arial" w:eastAsia="Arial" w:hAnsi="Arial"/>
                <w:sz w:val="16"/>
                <w:szCs w:val="16"/>
                <w:b w:val="1"/>
                <w:bCs w:val="1"/>
                <w:color w:val="auto"/>
              </w:rPr>
            </w:pPr>
            <w:hyperlink w:anchor="page29">
              <w:r>
                <w:rPr>
                  <w:rFonts w:ascii="Arial" w:cs="Arial" w:eastAsia="Arial" w:hAnsi="Arial"/>
                  <w:sz w:val="16"/>
                  <w:szCs w:val="16"/>
                  <w:b w:val="1"/>
                  <w:bCs w:val="1"/>
                  <w:color w:val="auto"/>
                </w:rPr>
                <w:t>Corporate Governance Guidelines and Code of Conduct</w:t>
              </w:r>
            </w:hyperlink>
          </w:p>
        </w:tc>
        <w:tc>
          <w:tcPr>
            <w:tcW w:w="2840" w:type="dxa"/>
            <w:vAlign w:val="bottom"/>
          </w:tcPr>
          <w:p>
            <w:pPr>
              <w:jc w:val="right"/>
              <w:spacing w:after="0"/>
              <w:rPr>
                <w:rFonts w:ascii="Arial" w:cs="Arial" w:eastAsia="Arial" w:hAnsi="Arial"/>
                <w:sz w:val="16"/>
                <w:szCs w:val="16"/>
                <w:b w:val="1"/>
                <w:bCs w:val="1"/>
                <w:color w:val="auto"/>
              </w:rPr>
            </w:pPr>
            <w:hyperlink w:anchor="page29">
              <w:r>
                <w:rPr>
                  <w:rFonts w:ascii="Arial" w:cs="Arial" w:eastAsia="Arial" w:hAnsi="Arial"/>
                  <w:sz w:val="16"/>
                  <w:szCs w:val="16"/>
                  <w:b w:val="1"/>
                  <w:bCs w:val="1"/>
                  <w:color w:val="auto"/>
                </w:rPr>
                <w:t>25</w:t>
              </w:r>
            </w:hyperlink>
          </w:p>
        </w:tc>
      </w:tr>
      <w:tr>
        <w:trPr>
          <w:trHeight w:val="365"/>
        </w:trPr>
        <w:tc>
          <w:tcPr>
            <w:tcW w:w="8400" w:type="dxa"/>
            <w:vAlign w:val="bottom"/>
          </w:tcPr>
          <w:p>
            <w:pPr>
              <w:ind w:left="360"/>
              <w:spacing w:after="0"/>
              <w:rPr>
                <w:rFonts w:ascii="Arial" w:cs="Arial" w:eastAsia="Arial" w:hAnsi="Arial"/>
                <w:sz w:val="16"/>
                <w:szCs w:val="16"/>
                <w:b w:val="1"/>
                <w:bCs w:val="1"/>
                <w:color w:val="auto"/>
              </w:rPr>
            </w:pPr>
            <w:hyperlink w:anchor="page29">
              <w:r>
                <w:rPr>
                  <w:rFonts w:ascii="Arial" w:cs="Arial" w:eastAsia="Arial" w:hAnsi="Arial"/>
                  <w:sz w:val="16"/>
                  <w:szCs w:val="16"/>
                  <w:b w:val="1"/>
                  <w:bCs w:val="1"/>
                  <w:color w:val="auto"/>
                </w:rPr>
                <w:t>Role of the Board of Directors in Risk Oversight</w:t>
              </w:r>
            </w:hyperlink>
          </w:p>
        </w:tc>
        <w:tc>
          <w:tcPr>
            <w:tcW w:w="2840" w:type="dxa"/>
            <w:vAlign w:val="bottom"/>
          </w:tcPr>
          <w:p>
            <w:pPr>
              <w:jc w:val="right"/>
              <w:spacing w:after="0"/>
              <w:rPr>
                <w:rFonts w:ascii="Arial" w:cs="Arial" w:eastAsia="Arial" w:hAnsi="Arial"/>
                <w:sz w:val="16"/>
                <w:szCs w:val="16"/>
                <w:b w:val="1"/>
                <w:bCs w:val="1"/>
                <w:color w:val="auto"/>
              </w:rPr>
            </w:pPr>
            <w:hyperlink w:anchor="page29">
              <w:r>
                <w:rPr>
                  <w:rFonts w:ascii="Arial" w:cs="Arial" w:eastAsia="Arial" w:hAnsi="Arial"/>
                  <w:sz w:val="16"/>
                  <w:szCs w:val="16"/>
                  <w:b w:val="1"/>
                  <w:bCs w:val="1"/>
                  <w:color w:val="auto"/>
                </w:rPr>
                <w:t>25</w:t>
              </w:r>
            </w:hyperlink>
          </w:p>
        </w:tc>
      </w:tr>
      <w:tr>
        <w:trPr>
          <w:trHeight w:val="364"/>
        </w:trPr>
        <w:tc>
          <w:tcPr>
            <w:tcW w:w="8400" w:type="dxa"/>
            <w:vAlign w:val="bottom"/>
          </w:tcPr>
          <w:p>
            <w:pPr>
              <w:ind w:left="360"/>
              <w:spacing w:after="0"/>
              <w:rPr>
                <w:rFonts w:ascii="Arial" w:cs="Arial" w:eastAsia="Arial" w:hAnsi="Arial"/>
                <w:sz w:val="16"/>
                <w:szCs w:val="16"/>
                <w:b w:val="1"/>
                <w:bCs w:val="1"/>
                <w:color w:val="auto"/>
              </w:rPr>
            </w:pPr>
            <w:hyperlink w:anchor="page29">
              <w:r>
                <w:rPr>
                  <w:rFonts w:ascii="Arial" w:cs="Arial" w:eastAsia="Arial" w:hAnsi="Arial"/>
                  <w:sz w:val="16"/>
                  <w:szCs w:val="16"/>
                  <w:b w:val="1"/>
                  <w:bCs w:val="1"/>
                  <w:color w:val="auto"/>
                </w:rPr>
                <w:t>Director Compensation</w:t>
              </w:r>
            </w:hyperlink>
          </w:p>
        </w:tc>
        <w:tc>
          <w:tcPr>
            <w:tcW w:w="2840" w:type="dxa"/>
            <w:vAlign w:val="bottom"/>
          </w:tcPr>
          <w:p>
            <w:pPr>
              <w:jc w:val="right"/>
              <w:spacing w:after="0"/>
              <w:rPr>
                <w:rFonts w:ascii="Arial" w:cs="Arial" w:eastAsia="Arial" w:hAnsi="Arial"/>
                <w:sz w:val="16"/>
                <w:szCs w:val="16"/>
                <w:b w:val="1"/>
                <w:bCs w:val="1"/>
                <w:color w:val="auto"/>
              </w:rPr>
            </w:pPr>
            <w:hyperlink w:anchor="page29">
              <w:r>
                <w:rPr>
                  <w:rFonts w:ascii="Arial" w:cs="Arial" w:eastAsia="Arial" w:hAnsi="Arial"/>
                  <w:sz w:val="16"/>
                  <w:szCs w:val="16"/>
                  <w:b w:val="1"/>
                  <w:bCs w:val="1"/>
                  <w:color w:val="auto"/>
                </w:rPr>
                <w:t>25</w:t>
              </w:r>
            </w:hyperlink>
          </w:p>
        </w:tc>
      </w:tr>
      <w:tr>
        <w:trPr>
          <w:trHeight w:val="364"/>
        </w:trPr>
        <w:tc>
          <w:tcPr>
            <w:tcW w:w="8400" w:type="dxa"/>
            <w:vAlign w:val="bottom"/>
          </w:tcPr>
          <w:p>
            <w:pPr>
              <w:ind w:left="360"/>
              <w:spacing w:after="0"/>
              <w:rPr>
                <w:rFonts w:ascii="Arial" w:cs="Arial" w:eastAsia="Arial" w:hAnsi="Arial"/>
                <w:sz w:val="16"/>
                <w:szCs w:val="16"/>
                <w:b w:val="1"/>
                <w:bCs w:val="1"/>
                <w:color w:val="auto"/>
              </w:rPr>
            </w:pPr>
            <w:hyperlink w:anchor="page31">
              <w:r>
                <w:rPr>
                  <w:rFonts w:ascii="Arial" w:cs="Arial" w:eastAsia="Arial" w:hAnsi="Arial"/>
                  <w:sz w:val="16"/>
                  <w:szCs w:val="16"/>
                  <w:b w:val="1"/>
                  <w:bCs w:val="1"/>
                  <w:color w:val="auto"/>
                </w:rPr>
                <w:t>Environment, Social and Governance</w:t>
              </w:r>
            </w:hyperlink>
          </w:p>
        </w:tc>
        <w:tc>
          <w:tcPr>
            <w:tcW w:w="2840" w:type="dxa"/>
            <w:vAlign w:val="bottom"/>
          </w:tcPr>
          <w:p>
            <w:pPr>
              <w:jc w:val="right"/>
              <w:spacing w:after="0"/>
              <w:rPr>
                <w:rFonts w:ascii="Arial" w:cs="Arial" w:eastAsia="Arial" w:hAnsi="Arial"/>
                <w:sz w:val="16"/>
                <w:szCs w:val="16"/>
                <w:b w:val="1"/>
                <w:bCs w:val="1"/>
                <w:color w:val="auto"/>
              </w:rPr>
            </w:pPr>
            <w:hyperlink w:anchor="page31">
              <w:r>
                <w:rPr>
                  <w:rFonts w:ascii="Arial" w:cs="Arial" w:eastAsia="Arial" w:hAnsi="Arial"/>
                  <w:sz w:val="16"/>
                  <w:szCs w:val="16"/>
                  <w:b w:val="1"/>
                  <w:bCs w:val="1"/>
                  <w:color w:val="auto"/>
                </w:rPr>
                <w:t>28</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31" w:right="339" w:bottom="1440" w:gutter="0" w:footer="0" w:header="0"/>
        </w:sectPr>
      </w:pPr>
    </w:p>
    <w:p>
      <w:pPr>
        <w:spacing w:after="0" w:line="127" w:lineRule="exact"/>
        <w:rPr>
          <w:sz w:val="20"/>
          <w:szCs w:val="20"/>
          <w:color w:val="auto"/>
        </w:rPr>
      </w:pPr>
    </w:p>
    <w:p>
      <w:pPr>
        <w:ind w:left="20"/>
        <w:spacing w:after="0"/>
        <w:rPr>
          <w:rFonts w:ascii="Arial" w:cs="Arial" w:eastAsia="Arial" w:hAnsi="Arial"/>
          <w:sz w:val="20"/>
          <w:szCs w:val="20"/>
          <w:b w:val="1"/>
          <w:bCs w:val="1"/>
          <w:color w:val="009ADA"/>
        </w:rPr>
      </w:pPr>
      <w:hyperlink w:anchor="page33">
        <w:r>
          <w:rPr>
            <w:rFonts w:ascii="Arial" w:cs="Arial" w:eastAsia="Arial" w:hAnsi="Arial"/>
            <w:sz w:val="20"/>
            <w:szCs w:val="20"/>
            <w:b w:val="1"/>
            <w:bCs w:val="1"/>
            <w:color w:val="009ADA"/>
          </w:rPr>
          <w:t>PROPOSAL ONE – ELECTION OF DIRECTORS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7" w:lineRule="exact"/>
        <w:rPr>
          <w:sz w:val="20"/>
          <w:szCs w:val="20"/>
          <w:color w:val="auto"/>
        </w:rPr>
      </w:pPr>
    </w:p>
    <w:p>
      <w:pPr>
        <w:ind w:left="20" w:right="1280"/>
        <w:spacing w:after="0" w:line="271" w:lineRule="auto"/>
        <w:rPr>
          <w:rFonts w:ascii="Arial" w:cs="Arial" w:eastAsia="Arial" w:hAnsi="Arial"/>
          <w:sz w:val="20"/>
          <w:szCs w:val="20"/>
          <w:b w:val="1"/>
          <w:bCs w:val="1"/>
          <w:color w:val="009ADA"/>
        </w:rPr>
      </w:pPr>
      <w:hyperlink w:anchor="page34">
        <w:r>
          <w:rPr>
            <w:rFonts w:ascii="Arial" w:cs="Arial" w:eastAsia="Arial" w:hAnsi="Arial"/>
            <w:sz w:val="20"/>
            <w:szCs w:val="20"/>
            <w:b w:val="1"/>
            <w:bCs w:val="1"/>
            <w:color w:val="009ADA"/>
          </w:rPr>
          <w:t>PROPOSAL TWO – RATIFICATION OF APPOINTMENT OF INDEPENDENT REGISTERED PUBLIC</w:t>
        </w:r>
      </w:hyperlink>
      <w:r>
        <w:rPr>
          <w:rFonts w:ascii="Arial" w:cs="Arial" w:eastAsia="Arial" w:hAnsi="Arial"/>
          <w:sz w:val="20"/>
          <w:szCs w:val="20"/>
          <w:b w:val="1"/>
          <w:bCs w:val="1"/>
          <w:color w:val="009ADA"/>
        </w:rPr>
        <w:t xml:space="preserve"> </w:t>
      </w:r>
      <w:hyperlink w:anchor="page34">
        <w:r>
          <w:rPr>
            <w:rFonts w:ascii="Arial" w:cs="Arial" w:eastAsia="Arial" w:hAnsi="Arial"/>
            <w:sz w:val="20"/>
            <w:szCs w:val="20"/>
            <w:b w:val="1"/>
            <w:bCs w:val="1"/>
            <w:color w:val="009ADA"/>
          </w:rPr>
          <w:t>ACCOUNTING FIRM</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20" w:right="1340"/>
        <w:spacing w:after="0" w:line="271" w:lineRule="auto"/>
        <w:rPr>
          <w:rFonts w:ascii="Arial" w:cs="Arial" w:eastAsia="Arial" w:hAnsi="Arial"/>
          <w:sz w:val="20"/>
          <w:szCs w:val="20"/>
          <w:b w:val="1"/>
          <w:bCs w:val="1"/>
          <w:color w:val="009ADA"/>
        </w:rPr>
      </w:pPr>
      <w:hyperlink w:anchor="page37">
        <w:r>
          <w:rPr>
            <w:rFonts w:ascii="Arial" w:cs="Arial" w:eastAsia="Arial" w:hAnsi="Arial"/>
            <w:sz w:val="20"/>
            <w:szCs w:val="20"/>
            <w:b w:val="1"/>
            <w:bCs w:val="1"/>
            <w:color w:val="009ADA"/>
          </w:rPr>
          <w:t>PROPOSAL THREE – ADVISORY VOTE ON THE COMPENSATION OF OUR NAMED EXECUTIVE</w:t>
        </w:r>
      </w:hyperlink>
      <w:r>
        <w:rPr>
          <w:rFonts w:ascii="Arial" w:cs="Arial" w:eastAsia="Arial" w:hAnsi="Arial"/>
          <w:sz w:val="20"/>
          <w:szCs w:val="20"/>
          <w:b w:val="1"/>
          <w:bCs w:val="1"/>
          <w:color w:val="009ADA"/>
        </w:rPr>
        <w:t xml:space="preserve"> </w:t>
      </w:r>
      <w:hyperlink w:anchor="page37">
        <w:r>
          <w:rPr>
            <w:rFonts w:ascii="Arial" w:cs="Arial" w:eastAsia="Arial" w:hAnsi="Arial"/>
            <w:sz w:val="20"/>
            <w:szCs w:val="20"/>
            <w:b w:val="1"/>
            <w:bCs w:val="1"/>
            <w:color w:val="009ADA"/>
          </w:rPr>
          <w:t>OFFICERS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20"/>
        <w:spacing w:after="0"/>
        <w:rPr>
          <w:rFonts w:ascii="Arial" w:cs="Arial" w:eastAsia="Arial" w:hAnsi="Arial"/>
          <w:sz w:val="20"/>
          <w:szCs w:val="20"/>
          <w:b w:val="1"/>
          <w:bCs w:val="1"/>
          <w:color w:val="009ADA"/>
        </w:rPr>
      </w:pPr>
      <w:hyperlink w:anchor="page38">
        <w:r>
          <w:rPr>
            <w:rFonts w:ascii="Arial" w:cs="Arial" w:eastAsia="Arial" w:hAnsi="Arial"/>
            <w:sz w:val="20"/>
            <w:szCs w:val="20"/>
            <w:b w:val="1"/>
            <w:bCs w:val="1"/>
            <w:color w:val="009ADA"/>
          </w:rPr>
          <w:t>EXECUTIVE OFFICERS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7" w:lineRule="exact"/>
        <w:rPr>
          <w:sz w:val="20"/>
          <w:szCs w:val="20"/>
          <w:color w:val="auto"/>
        </w:rPr>
      </w:pPr>
    </w:p>
    <w:p>
      <w:pPr>
        <w:ind w:left="20"/>
        <w:spacing w:after="0"/>
        <w:rPr>
          <w:rFonts w:ascii="Arial" w:cs="Arial" w:eastAsia="Arial" w:hAnsi="Arial"/>
          <w:sz w:val="20"/>
          <w:szCs w:val="20"/>
          <w:b w:val="1"/>
          <w:bCs w:val="1"/>
          <w:color w:val="009ADA"/>
        </w:rPr>
      </w:pPr>
      <w:hyperlink w:anchor="page39">
        <w:r>
          <w:rPr>
            <w:rFonts w:ascii="Arial" w:cs="Arial" w:eastAsia="Arial" w:hAnsi="Arial"/>
            <w:sz w:val="20"/>
            <w:szCs w:val="20"/>
            <w:b w:val="1"/>
            <w:bCs w:val="1"/>
            <w:color w:val="009ADA"/>
          </w:rPr>
          <w:t>EXECUTIVE COMPENSATION</w:t>
        </w:r>
      </w:hyperlink>
    </w:p>
    <w:p>
      <w:pPr>
        <w:spacing w:after="0" w:line="90" w:lineRule="exact"/>
        <w:rPr>
          <w:sz w:val="20"/>
          <w:szCs w:val="20"/>
          <w:color w:val="auto"/>
        </w:rPr>
      </w:pPr>
    </w:p>
    <w:p>
      <w:pPr>
        <w:ind w:left="360"/>
        <w:spacing w:after="0"/>
        <w:rPr>
          <w:rFonts w:ascii="Arial" w:cs="Arial" w:eastAsia="Arial" w:hAnsi="Arial"/>
          <w:sz w:val="16"/>
          <w:szCs w:val="16"/>
          <w:b w:val="1"/>
          <w:bCs w:val="1"/>
          <w:color w:val="auto"/>
        </w:rPr>
      </w:pPr>
      <w:hyperlink w:anchor="page40">
        <w:r>
          <w:rPr>
            <w:rFonts w:ascii="Arial" w:cs="Arial" w:eastAsia="Arial" w:hAnsi="Arial"/>
            <w:sz w:val="16"/>
            <w:szCs w:val="16"/>
            <w:b w:val="1"/>
            <w:bCs w:val="1"/>
            <w:color w:val="auto"/>
          </w:rPr>
          <w:t>Compensation Discussion and Analysis</w:t>
        </w:r>
      </w:hyperlink>
    </w:p>
    <w:p>
      <w:pPr>
        <w:spacing w:after="0" w:line="181" w:lineRule="exact"/>
        <w:rPr>
          <w:sz w:val="20"/>
          <w:szCs w:val="20"/>
          <w:color w:val="auto"/>
        </w:rPr>
      </w:pPr>
    </w:p>
    <w:p>
      <w:pPr>
        <w:ind w:left="360"/>
        <w:spacing w:after="0"/>
        <w:rPr>
          <w:rFonts w:ascii="Arial" w:cs="Arial" w:eastAsia="Arial" w:hAnsi="Arial"/>
          <w:sz w:val="16"/>
          <w:szCs w:val="16"/>
          <w:b w:val="1"/>
          <w:bCs w:val="1"/>
          <w:color w:val="auto"/>
        </w:rPr>
      </w:pPr>
      <w:hyperlink w:anchor="page61">
        <w:r>
          <w:rPr>
            <w:rFonts w:ascii="Arial" w:cs="Arial" w:eastAsia="Arial" w:hAnsi="Arial"/>
            <w:sz w:val="16"/>
            <w:szCs w:val="16"/>
            <w:b w:val="1"/>
            <w:bCs w:val="1"/>
            <w:color w:val="auto"/>
          </w:rPr>
          <w:t>Summary Compensation Table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spacing w:after="0"/>
        <w:rPr>
          <w:rFonts w:ascii="Arial" w:cs="Arial" w:eastAsia="Arial" w:hAnsi="Arial"/>
          <w:sz w:val="19"/>
          <w:szCs w:val="19"/>
          <w:b w:val="1"/>
          <w:bCs w:val="1"/>
          <w:color w:val="009ADA"/>
        </w:rPr>
      </w:pPr>
      <w:hyperlink w:anchor="page33">
        <w:r>
          <w:rPr>
            <w:rFonts w:ascii="Arial" w:cs="Arial" w:eastAsia="Arial" w:hAnsi="Arial"/>
            <w:sz w:val="19"/>
            <w:szCs w:val="19"/>
            <w:b w:val="1"/>
            <w:bCs w:val="1"/>
            <w:color w:val="009ADA"/>
          </w:rPr>
          <w:t>30</w:t>
        </w:r>
      </w:hyperlink>
    </w:p>
    <w:p>
      <w:pPr>
        <w:spacing w:after="0" w:line="187" w:lineRule="exact"/>
        <w:rPr>
          <w:sz w:val="20"/>
          <w:szCs w:val="20"/>
          <w:color w:val="auto"/>
        </w:rPr>
      </w:pPr>
    </w:p>
    <w:p>
      <w:pPr>
        <w:spacing w:after="0"/>
        <w:rPr>
          <w:rFonts w:ascii="Arial" w:cs="Arial" w:eastAsia="Arial" w:hAnsi="Arial"/>
          <w:sz w:val="19"/>
          <w:szCs w:val="19"/>
          <w:b w:val="1"/>
          <w:bCs w:val="1"/>
          <w:color w:val="009ADA"/>
        </w:rPr>
      </w:pPr>
      <w:hyperlink w:anchor="page34">
        <w:r>
          <w:rPr>
            <w:rFonts w:ascii="Arial" w:cs="Arial" w:eastAsia="Arial" w:hAnsi="Arial"/>
            <w:sz w:val="19"/>
            <w:szCs w:val="19"/>
            <w:b w:val="1"/>
            <w:bCs w:val="1"/>
            <w:color w:val="009ADA"/>
          </w:rPr>
          <w:t>31</w:t>
        </w:r>
      </w:hyperlink>
    </w:p>
    <w:p>
      <w:pPr>
        <w:spacing w:after="0" w:line="308" w:lineRule="exact"/>
        <w:rPr>
          <w:sz w:val="20"/>
          <w:szCs w:val="20"/>
          <w:color w:val="auto"/>
        </w:rPr>
      </w:pPr>
    </w:p>
    <w:p>
      <w:pPr>
        <w:spacing w:after="0"/>
        <w:rPr>
          <w:rFonts w:ascii="Arial" w:cs="Arial" w:eastAsia="Arial" w:hAnsi="Arial"/>
          <w:sz w:val="19"/>
          <w:szCs w:val="19"/>
          <w:b w:val="1"/>
          <w:bCs w:val="1"/>
          <w:color w:val="009ADA"/>
        </w:rPr>
      </w:pPr>
      <w:hyperlink w:anchor="page37">
        <w:r>
          <w:rPr>
            <w:rFonts w:ascii="Arial" w:cs="Arial" w:eastAsia="Arial" w:hAnsi="Arial"/>
            <w:sz w:val="19"/>
            <w:szCs w:val="19"/>
            <w:b w:val="1"/>
            <w:bCs w:val="1"/>
            <w:color w:val="009ADA"/>
          </w:rPr>
          <w:t>34</w:t>
        </w:r>
      </w:hyperlink>
    </w:p>
    <w:p>
      <w:pPr>
        <w:spacing w:after="0" w:line="200" w:lineRule="exact"/>
        <w:rPr>
          <w:sz w:val="20"/>
          <w:szCs w:val="20"/>
          <w:color w:val="auto"/>
        </w:rPr>
      </w:pPr>
    </w:p>
    <w:p>
      <w:pPr>
        <w:spacing w:after="0"/>
        <w:rPr>
          <w:rFonts w:ascii="Arial" w:cs="Arial" w:eastAsia="Arial" w:hAnsi="Arial"/>
          <w:sz w:val="19"/>
          <w:szCs w:val="19"/>
          <w:b w:val="1"/>
          <w:bCs w:val="1"/>
          <w:color w:val="009ADA"/>
        </w:rPr>
      </w:pPr>
      <w:hyperlink w:anchor="page38">
        <w:r>
          <w:rPr>
            <w:rFonts w:ascii="Arial" w:cs="Arial" w:eastAsia="Arial" w:hAnsi="Arial"/>
            <w:sz w:val="19"/>
            <w:szCs w:val="19"/>
            <w:b w:val="1"/>
            <w:bCs w:val="1"/>
            <w:color w:val="009ADA"/>
          </w:rPr>
          <w:t>35</w:t>
        </w:r>
      </w:hyperlink>
    </w:p>
    <w:p>
      <w:pPr>
        <w:spacing w:after="0" w:line="79" w:lineRule="exact"/>
        <w:rPr>
          <w:sz w:val="20"/>
          <w:szCs w:val="20"/>
          <w:color w:val="auto"/>
        </w:rPr>
      </w:pPr>
    </w:p>
    <w:p>
      <w:pPr>
        <w:spacing w:after="0"/>
        <w:rPr>
          <w:rFonts w:ascii="Arial" w:cs="Arial" w:eastAsia="Arial" w:hAnsi="Arial"/>
          <w:sz w:val="19"/>
          <w:szCs w:val="19"/>
          <w:b w:val="1"/>
          <w:bCs w:val="1"/>
          <w:color w:val="009ADA"/>
        </w:rPr>
      </w:pPr>
      <w:hyperlink w:anchor="page39">
        <w:r>
          <w:rPr>
            <w:rFonts w:ascii="Arial" w:cs="Arial" w:eastAsia="Arial" w:hAnsi="Arial"/>
            <w:sz w:val="19"/>
            <w:szCs w:val="19"/>
            <w:b w:val="1"/>
            <w:bCs w:val="1"/>
            <w:color w:val="009ADA"/>
          </w:rPr>
          <w:t>36</w:t>
        </w:r>
      </w:hyperlink>
    </w:p>
    <w:p>
      <w:pPr>
        <w:spacing w:after="0" w:line="102" w:lineRule="exact"/>
        <w:rPr>
          <w:sz w:val="20"/>
          <w:szCs w:val="20"/>
          <w:color w:val="auto"/>
        </w:rPr>
      </w:pPr>
    </w:p>
    <w:p>
      <w:pPr>
        <w:ind w:left="40"/>
        <w:spacing w:after="0"/>
        <w:rPr>
          <w:rFonts w:ascii="Arial" w:cs="Arial" w:eastAsia="Arial" w:hAnsi="Arial"/>
          <w:sz w:val="16"/>
          <w:szCs w:val="16"/>
          <w:b w:val="1"/>
          <w:bCs w:val="1"/>
          <w:color w:val="auto"/>
        </w:rPr>
      </w:pPr>
      <w:hyperlink w:anchor="page40">
        <w:r>
          <w:rPr>
            <w:rFonts w:ascii="Arial" w:cs="Arial" w:eastAsia="Arial" w:hAnsi="Arial"/>
            <w:sz w:val="16"/>
            <w:szCs w:val="16"/>
            <w:b w:val="1"/>
            <w:bCs w:val="1"/>
            <w:color w:val="auto"/>
          </w:rPr>
          <w:t>36</w:t>
        </w:r>
      </w:hyperlink>
    </w:p>
    <w:p>
      <w:pPr>
        <w:spacing w:after="0" w:line="181" w:lineRule="exact"/>
        <w:rPr>
          <w:sz w:val="20"/>
          <w:szCs w:val="20"/>
          <w:color w:val="auto"/>
        </w:rPr>
      </w:pPr>
    </w:p>
    <w:p>
      <w:pPr>
        <w:ind w:left="40"/>
        <w:spacing w:after="0"/>
        <w:rPr>
          <w:rFonts w:ascii="Arial" w:cs="Arial" w:eastAsia="Arial" w:hAnsi="Arial"/>
          <w:sz w:val="16"/>
          <w:szCs w:val="16"/>
          <w:b w:val="1"/>
          <w:bCs w:val="1"/>
          <w:color w:val="auto"/>
        </w:rPr>
      </w:pPr>
      <w:hyperlink w:anchor="page61">
        <w:r>
          <w:rPr>
            <w:rFonts w:ascii="Arial" w:cs="Arial" w:eastAsia="Arial" w:hAnsi="Arial"/>
            <w:sz w:val="16"/>
            <w:szCs w:val="16"/>
            <w:b w:val="1"/>
            <w:bCs w:val="1"/>
            <w:color w:val="auto"/>
          </w:rPr>
          <w:t>58</w:t>
        </w:r>
      </w:hyperlink>
    </w:p>
    <w:p>
      <w:pPr>
        <w:spacing w:after="0" w:line="158" w:lineRule="exact"/>
        <w:rPr>
          <w:sz w:val="20"/>
          <w:szCs w:val="20"/>
          <w:color w:val="auto"/>
        </w:rPr>
      </w:pPr>
    </w:p>
    <w:p>
      <w:pPr>
        <w:sectPr>
          <w:pgSz w:w="11900" w:h="16838" w:orient="portrait"/>
          <w:cols w:equalWidth="0" w:num="2">
            <w:col w:w="10280" w:space="720"/>
            <w:col w:w="240"/>
          </w:cols>
          <w:pgMar w:left="320" w:top="1431" w:right="339" w:bottom="1440" w:gutter="0" w:footer="0" w:header="0"/>
          <w:type w:val="continuous"/>
        </w:sectPr>
      </w:pPr>
    </w:p>
    <w:tbl>
      <w:tblPr>
        <w:tblLayout w:type="fixed"/>
        <w:tblInd w:w="0" w:type="dxa"/>
        <w:tblCellMar>
          <w:top w:w="0" w:type="dxa"/>
          <w:left w:w="0" w:type="dxa"/>
          <w:bottom w:w="0" w:type="dxa"/>
          <w:right w:w="0" w:type="dxa"/>
        </w:tblCellMar>
      </w:tblPr>
      <w:tr>
        <w:trPr>
          <w:trHeight w:val="261"/>
        </w:trPr>
        <w:tc>
          <w:tcPr>
            <w:tcW w:w="8760" w:type="dxa"/>
            <w:vAlign w:val="bottom"/>
          </w:tcPr>
          <w:p>
            <w:pPr>
              <w:ind w:left="20"/>
              <w:spacing w:after="0"/>
              <w:rPr>
                <w:rFonts w:ascii="Arial" w:cs="Arial" w:eastAsia="Arial" w:hAnsi="Arial"/>
                <w:sz w:val="20"/>
                <w:szCs w:val="20"/>
                <w:b w:val="1"/>
                <w:bCs w:val="1"/>
                <w:color w:val="009ADA"/>
              </w:rPr>
            </w:pPr>
            <w:hyperlink w:anchor="page68">
              <w:r>
                <w:rPr>
                  <w:rFonts w:ascii="Arial" w:cs="Arial" w:eastAsia="Arial" w:hAnsi="Arial"/>
                  <w:sz w:val="20"/>
                  <w:szCs w:val="20"/>
                  <w:b w:val="1"/>
                  <w:bCs w:val="1"/>
                  <w:color w:val="009ADA"/>
                </w:rPr>
                <w:t>CEO PAY RATIO DISCLOSURE</w:t>
              </w:r>
            </w:hyperlink>
          </w:p>
        </w:tc>
        <w:tc>
          <w:tcPr>
            <w:tcW w:w="2480" w:type="dxa"/>
            <w:vAlign w:val="bottom"/>
          </w:tcPr>
          <w:p>
            <w:pPr>
              <w:jc w:val="right"/>
              <w:spacing w:after="0"/>
              <w:rPr>
                <w:rFonts w:ascii="Arial" w:cs="Arial" w:eastAsia="Arial" w:hAnsi="Arial"/>
                <w:sz w:val="20"/>
                <w:szCs w:val="20"/>
                <w:b w:val="1"/>
                <w:bCs w:val="1"/>
                <w:color w:val="009ADA"/>
              </w:rPr>
            </w:pPr>
            <w:hyperlink w:anchor="page68">
              <w:r>
                <w:rPr>
                  <w:rFonts w:ascii="Arial" w:cs="Arial" w:eastAsia="Arial" w:hAnsi="Arial"/>
                  <w:sz w:val="20"/>
                  <w:szCs w:val="20"/>
                  <w:b w:val="1"/>
                  <w:bCs w:val="1"/>
                  <w:color w:val="009ADA"/>
                </w:rPr>
                <w:t>65</w:t>
              </w:r>
            </w:hyperlink>
          </w:p>
        </w:tc>
      </w:tr>
      <w:tr>
        <w:trPr>
          <w:trHeight w:val="23"/>
        </w:trPr>
        <w:tc>
          <w:tcPr>
            <w:tcW w:w="876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r>
      <w:tr>
        <w:trPr>
          <w:trHeight w:val="255"/>
        </w:trPr>
        <w:tc>
          <w:tcPr>
            <w:tcW w:w="8760" w:type="dxa"/>
            <w:vAlign w:val="bottom"/>
          </w:tcPr>
          <w:p>
            <w:pPr>
              <w:ind w:left="20"/>
              <w:spacing w:after="0"/>
              <w:rPr>
                <w:rFonts w:ascii="Arial" w:cs="Arial" w:eastAsia="Arial" w:hAnsi="Arial"/>
                <w:sz w:val="20"/>
                <w:szCs w:val="20"/>
                <w:b w:val="1"/>
                <w:bCs w:val="1"/>
                <w:color w:val="009ADA"/>
              </w:rPr>
            </w:pPr>
            <w:hyperlink w:anchor="page69">
              <w:r>
                <w:rPr>
                  <w:rFonts w:ascii="Arial" w:cs="Arial" w:eastAsia="Arial" w:hAnsi="Arial"/>
                  <w:sz w:val="20"/>
                  <w:szCs w:val="20"/>
                  <w:b w:val="1"/>
                  <w:bCs w:val="1"/>
                  <w:color w:val="009ADA"/>
                </w:rPr>
                <w:t>SECURITY OWNERSHIP OF CERTAIN BENEFICIAL OWNERS AND MANAGEMENT</w:t>
              </w:r>
            </w:hyperlink>
          </w:p>
        </w:tc>
        <w:tc>
          <w:tcPr>
            <w:tcW w:w="2480" w:type="dxa"/>
            <w:vAlign w:val="bottom"/>
          </w:tcPr>
          <w:p>
            <w:pPr>
              <w:jc w:val="right"/>
              <w:spacing w:after="0"/>
              <w:rPr>
                <w:rFonts w:ascii="Arial" w:cs="Arial" w:eastAsia="Arial" w:hAnsi="Arial"/>
                <w:sz w:val="20"/>
                <w:szCs w:val="20"/>
                <w:b w:val="1"/>
                <w:bCs w:val="1"/>
                <w:color w:val="009ADA"/>
              </w:rPr>
            </w:pPr>
            <w:hyperlink w:anchor="page69">
              <w:r>
                <w:rPr>
                  <w:rFonts w:ascii="Arial" w:cs="Arial" w:eastAsia="Arial" w:hAnsi="Arial"/>
                  <w:sz w:val="20"/>
                  <w:szCs w:val="20"/>
                  <w:b w:val="1"/>
                  <w:bCs w:val="1"/>
                  <w:color w:val="009ADA"/>
                </w:rPr>
                <w:t>66</w:t>
              </w:r>
            </w:hyperlink>
          </w:p>
        </w:tc>
      </w:tr>
      <w:tr>
        <w:trPr>
          <w:trHeight w:val="22"/>
        </w:trPr>
        <w:tc>
          <w:tcPr>
            <w:tcW w:w="876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r>
      <w:tr>
        <w:trPr>
          <w:trHeight w:val="255"/>
        </w:trPr>
        <w:tc>
          <w:tcPr>
            <w:tcW w:w="8760" w:type="dxa"/>
            <w:vAlign w:val="bottom"/>
          </w:tcPr>
          <w:p>
            <w:pPr>
              <w:ind w:left="20"/>
              <w:spacing w:after="0"/>
              <w:rPr>
                <w:rFonts w:ascii="Arial" w:cs="Arial" w:eastAsia="Arial" w:hAnsi="Arial"/>
                <w:sz w:val="20"/>
                <w:szCs w:val="20"/>
                <w:b w:val="1"/>
                <w:bCs w:val="1"/>
                <w:color w:val="009ADA"/>
              </w:rPr>
            </w:pPr>
            <w:hyperlink w:anchor="page71">
              <w:r>
                <w:rPr>
                  <w:rFonts w:ascii="Arial" w:cs="Arial" w:eastAsia="Arial" w:hAnsi="Arial"/>
                  <w:sz w:val="20"/>
                  <w:szCs w:val="20"/>
                  <w:b w:val="1"/>
                  <w:bCs w:val="1"/>
                  <w:color w:val="009ADA"/>
                </w:rPr>
                <w:t>RELATED PERSON TRANSACTIONS</w:t>
              </w:r>
            </w:hyperlink>
          </w:p>
        </w:tc>
        <w:tc>
          <w:tcPr>
            <w:tcW w:w="2480" w:type="dxa"/>
            <w:vAlign w:val="bottom"/>
          </w:tcPr>
          <w:p>
            <w:pPr>
              <w:jc w:val="right"/>
              <w:spacing w:after="0"/>
              <w:rPr>
                <w:rFonts w:ascii="Arial" w:cs="Arial" w:eastAsia="Arial" w:hAnsi="Arial"/>
                <w:sz w:val="20"/>
                <w:szCs w:val="20"/>
                <w:b w:val="1"/>
                <w:bCs w:val="1"/>
                <w:color w:val="009ADA"/>
              </w:rPr>
            </w:pPr>
            <w:hyperlink w:anchor="page71">
              <w:r>
                <w:rPr>
                  <w:rFonts w:ascii="Arial" w:cs="Arial" w:eastAsia="Arial" w:hAnsi="Arial"/>
                  <w:sz w:val="20"/>
                  <w:szCs w:val="20"/>
                  <w:b w:val="1"/>
                  <w:bCs w:val="1"/>
                  <w:color w:val="009ADA"/>
                </w:rPr>
                <w:t>68</w:t>
              </w:r>
            </w:hyperlink>
          </w:p>
        </w:tc>
      </w:tr>
      <w:tr>
        <w:trPr>
          <w:trHeight w:val="22"/>
        </w:trPr>
        <w:tc>
          <w:tcPr>
            <w:tcW w:w="876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r>
      <w:tr>
        <w:trPr>
          <w:trHeight w:val="255"/>
        </w:trPr>
        <w:tc>
          <w:tcPr>
            <w:tcW w:w="8760" w:type="dxa"/>
            <w:vAlign w:val="bottom"/>
          </w:tcPr>
          <w:p>
            <w:pPr>
              <w:ind w:left="20"/>
              <w:spacing w:after="0"/>
              <w:rPr>
                <w:rFonts w:ascii="Arial" w:cs="Arial" w:eastAsia="Arial" w:hAnsi="Arial"/>
                <w:sz w:val="20"/>
                <w:szCs w:val="20"/>
                <w:b w:val="1"/>
                <w:bCs w:val="1"/>
                <w:color w:val="009ADA"/>
              </w:rPr>
            </w:pPr>
            <w:hyperlink w:anchor="page73">
              <w:r>
                <w:rPr>
                  <w:rFonts w:ascii="Arial" w:cs="Arial" w:eastAsia="Arial" w:hAnsi="Arial"/>
                  <w:sz w:val="20"/>
                  <w:szCs w:val="20"/>
                  <w:b w:val="1"/>
                  <w:bCs w:val="1"/>
                  <w:color w:val="009ADA"/>
                </w:rPr>
                <w:t>OTHER MATTERS</w:t>
              </w:r>
            </w:hyperlink>
          </w:p>
        </w:tc>
        <w:tc>
          <w:tcPr>
            <w:tcW w:w="2480" w:type="dxa"/>
            <w:vAlign w:val="bottom"/>
          </w:tcPr>
          <w:p>
            <w:pPr>
              <w:jc w:val="right"/>
              <w:spacing w:after="0"/>
              <w:rPr>
                <w:rFonts w:ascii="Arial" w:cs="Arial" w:eastAsia="Arial" w:hAnsi="Arial"/>
                <w:sz w:val="20"/>
                <w:szCs w:val="20"/>
                <w:b w:val="1"/>
                <w:bCs w:val="1"/>
                <w:color w:val="009ADA"/>
              </w:rPr>
            </w:pPr>
            <w:hyperlink w:anchor="page73">
              <w:r>
                <w:rPr>
                  <w:rFonts w:ascii="Arial" w:cs="Arial" w:eastAsia="Arial" w:hAnsi="Arial"/>
                  <w:sz w:val="20"/>
                  <w:szCs w:val="20"/>
                  <w:b w:val="1"/>
                  <w:bCs w:val="1"/>
                  <w:color w:val="009ADA"/>
                </w:rPr>
                <w:t>70</w:t>
              </w:r>
            </w:hyperlink>
          </w:p>
        </w:tc>
      </w:tr>
      <w:tr>
        <w:trPr>
          <w:trHeight w:val="273"/>
        </w:trPr>
        <w:tc>
          <w:tcPr>
            <w:tcW w:w="8760" w:type="dxa"/>
            <w:vAlign w:val="bottom"/>
          </w:tcPr>
          <w:p>
            <w:pPr>
              <w:ind w:left="360"/>
              <w:spacing w:after="0"/>
              <w:rPr>
                <w:rFonts w:ascii="Arial" w:cs="Arial" w:eastAsia="Arial" w:hAnsi="Arial"/>
                <w:sz w:val="16"/>
                <w:szCs w:val="16"/>
                <w:b w:val="1"/>
                <w:bCs w:val="1"/>
                <w:color w:val="auto"/>
              </w:rPr>
            </w:pPr>
            <w:hyperlink w:anchor="page74">
              <w:r>
                <w:rPr>
                  <w:rFonts w:ascii="Arial" w:cs="Arial" w:eastAsia="Arial" w:hAnsi="Arial"/>
                  <w:sz w:val="16"/>
                  <w:szCs w:val="16"/>
                  <w:b w:val="1"/>
                  <w:bCs w:val="1"/>
                  <w:color w:val="auto"/>
                </w:rPr>
                <w:t>Section 16(a) Beneficial Ownership Reporting Compliance</w:t>
              </w:r>
            </w:hyperlink>
          </w:p>
        </w:tc>
        <w:tc>
          <w:tcPr>
            <w:tcW w:w="2480" w:type="dxa"/>
            <w:vAlign w:val="bottom"/>
          </w:tcPr>
          <w:p>
            <w:pPr>
              <w:jc w:val="right"/>
              <w:spacing w:after="0"/>
              <w:rPr>
                <w:rFonts w:ascii="Arial" w:cs="Arial" w:eastAsia="Arial" w:hAnsi="Arial"/>
                <w:sz w:val="16"/>
                <w:szCs w:val="16"/>
                <w:b w:val="1"/>
                <w:bCs w:val="1"/>
                <w:color w:val="auto"/>
              </w:rPr>
            </w:pPr>
            <w:hyperlink w:anchor="page74">
              <w:r>
                <w:rPr>
                  <w:rFonts w:ascii="Arial" w:cs="Arial" w:eastAsia="Arial" w:hAnsi="Arial"/>
                  <w:sz w:val="16"/>
                  <w:szCs w:val="16"/>
                  <w:b w:val="1"/>
                  <w:bCs w:val="1"/>
                  <w:color w:val="auto"/>
                </w:rPr>
                <w:t>70</w:t>
              </w:r>
            </w:hyperlink>
          </w:p>
        </w:tc>
      </w:tr>
      <w:tr>
        <w:trPr>
          <w:trHeight w:val="375"/>
        </w:trPr>
        <w:tc>
          <w:tcPr>
            <w:tcW w:w="8760" w:type="dxa"/>
            <w:vAlign w:val="bottom"/>
          </w:tcPr>
          <w:p>
            <w:pPr>
              <w:ind w:left="20"/>
              <w:spacing w:after="0"/>
              <w:rPr>
                <w:rFonts w:ascii="Arial" w:cs="Arial" w:eastAsia="Arial" w:hAnsi="Arial"/>
                <w:sz w:val="20"/>
                <w:szCs w:val="20"/>
                <w:b w:val="1"/>
                <w:bCs w:val="1"/>
                <w:color w:val="009ADA"/>
              </w:rPr>
            </w:pPr>
            <w:hyperlink w:anchor="page74">
              <w:r>
                <w:rPr>
                  <w:rFonts w:ascii="Arial" w:cs="Arial" w:eastAsia="Arial" w:hAnsi="Arial"/>
                  <w:sz w:val="20"/>
                  <w:szCs w:val="20"/>
                  <w:b w:val="1"/>
                  <w:bCs w:val="1"/>
                  <w:color w:val="009ADA"/>
                </w:rPr>
                <w:t>PROPOSALS OF STOCKHOLDERS FOR THE FISCAL 2022 ANNUAL MEETING</w:t>
              </w:r>
            </w:hyperlink>
          </w:p>
        </w:tc>
        <w:tc>
          <w:tcPr>
            <w:tcW w:w="2480" w:type="dxa"/>
            <w:vAlign w:val="bottom"/>
          </w:tcPr>
          <w:p>
            <w:pPr>
              <w:jc w:val="right"/>
              <w:spacing w:after="0"/>
              <w:rPr>
                <w:rFonts w:ascii="Arial" w:cs="Arial" w:eastAsia="Arial" w:hAnsi="Arial"/>
                <w:sz w:val="20"/>
                <w:szCs w:val="20"/>
                <w:b w:val="1"/>
                <w:bCs w:val="1"/>
                <w:color w:val="009ADA"/>
              </w:rPr>
            </w:pPr>
            <w:hyperlink w:anchor="page74">
              <w:r>
                <w:rPr>
                  <w:rFonts w:ascii="Arial" w:cs="Arial" w:eastAsia="Arial" w:hAnsi="Arial"/>
                  <w:sz w:val="20"/>
                  <w:szCs w:val="20"/>
                  <w:b w:val="1"/>
                  <w:bCs w:val="1"/>
                  <w:color w:val="009ADA"/>
                </w:rPr>
                <w:t>71</w:t>
              </w:r>
            </w:hyperlink>
          </w:p>
        </w:tc>
      </w:tr>
      <w:tr>
        <w:trPr>
          <w:trHeight w:val="23"/>
        </w:trPr>
        <w:tc>
          <w:tcPr>
            <w:tcW w:w="876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r>
      <w:tr>
        <w:trPr>
          <w:trHeight w:val="255"/>
        </w:trPr>
        <w:tc>
          <w:tcPr>
            <w:tcW w:w="8760" w:type="dxa"/>
            <w:vAlign w:val="bottom"/>
          </w:tcPr>
          <w:p>
            <w:pPr>
              <w:ind w:left="20"/>
              <w:spacing w:after="0"/>
              <w:rPr>
                <w:rFonts w:ascii="Arial" w:cs="Arial" w:eastAsia="Arial" w:hAnsi="Arial"/>
                <w:sz w:val="20"/>
                <w:szCs w:val="20"/>
                <w:b w:val="1"/>
                <w:bCs w:val="1"/>
                <w:color w:val="009ADA"/>
              </w:rPr>
            </w:pPr>
            <w:hyperlink w:anchor="page75">
              <w:r>
                <w:rPr>
                  <w:rFonts w:ascii="Arial" w:cs="Arial" w:eastAsia="Arial" w:hAnsi="Arial"/>
                  <w:sz w:val="20"/>
                  <w:szCs w:val="20"/>
                  <w:b w:val="1"/>
                  <w:bCs w:val="1"/>
                  <w:color w:val="009ADA"/>
                </w:rPr>
                <w:t>APPENDIX A</w:t>
              </w:r>
            </w:hyperlink>
          </w:p>
        </w:tc>
        <w:tc>
          <w:tcPr>
            <w:tcW w:w="2480" w:type="dxa"/>
            <w:vAlign w:val="bottom"/>
          </w:tcPr>
          <w:p>
            <w:pPr>
              <w:jc w:val="right"/>
              <w:spacing w:after="0"/>
              <w:rPr>
                <w:rFonts w:ascii="Arial" w:cs="Arial" w:eastAsia="Arial" w:hAnsi="Arial"/>
                <w:sz w:val="20"/>
                <w:szCs w:val="20"/>
                <w:b w:val="1"/>
                <w:bCs w:val="1"/>
                <w:color w:val="009ADA"/>
              </w:rPr>
            </w:pPr>
            <w:hyperlink w:anchor="page75">
              <w:r>
                <w:rPr>
                  <w:rFonts w:ascii="Arial" w:cs="Arial" w:eastAsia="Arial" w:hAnsi="Arial"/>
                  <w:sz w:val="20"/>
                  <w:szCs w:val="20"/>
                  <w:b w:val="1"/>
                  <w:bCs w:val="1"/>
                  <w:color w:val="009ADA"/>
                </w:rPr>
                <w:t>A-1</w:t>
              </w:r>
            </w:hyperlink>
          </w:p>
        </w:tc>
      </w:tr>
      <w:tr>
        <w:trPr>
          <w:trHeight w:val="22"/>
        </w:trPr>
        <w:tc>
          <w:tcPr>
            <w:tcW w:w="876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r>
      <w:tr>
        <w:trPr>
          <w:trHeight w:val="670"/>
        </w:trPr>
        <w:tc>
          <w:tcPr>
            <w:tcW w:w="8760" w:type="dxa"/>
            <w:vAlign w:val="bottom"/>
          </w:tcPr>
          <w:p>
            <w:pPr>
              <w:ind w:left="5580"/>
              <w:spacing w:after="0"/>
              <w:rPr>
                <w:sz w:val="20"/>
                <w:szCs w:val="20"/>
                <w:color w:val="auto"/>
              </w:rPr>
            </w:pPr>
            <w:r>
              <w:rPr>
                <w:rFonts w:ascii="Arial" w:cs="Arial" w:eastAsia="Arial" w:hAnsi="Arial"/>
                <w:sz w:val="14"/>
                <w:szCs w:val="14"/>
                <w:color w:val="auto"/>
              </w:rPr>
              <w:t>1</w:t>
            </w:r>
          </w:p>
        </w:tc>
        <w:tc>
          <w:tcPr>
            <w:tcW w:w="2480" w:type="dxa"/>
            <w:vAlign w:val="bottom"/>
          </w:tcPr>
          <w:p>
            <w:pPr>
              <w:jc w:val="right"/>
              <w:spacing w:after="0"/>
              <w:rPr>
                <w:sz w:val="20"/>
                <w:szCs w:val="20"/>
                <w:color w:val="auto"/>
              </w:rPr>
            </w:pPr>
            <w:r>
              <w:rPr>
                <w:rFonts w:ascii="Arial" w:cs="Arial" w:eastAsia="Arial" w:hAnsi="Arial"/>
                <w:sz w:val="14"/>
                <w:szCs w:val="14"/>
                <w:color w:val="auto"/>
              </w:rPr>
              <w:t>2021 Proxy Statement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-188595</wp:posOffset>
            </wp:positionV>
            <wp:extent cx="342900" cy="2146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0" cy="214630"/>
                    </a:xfrm>
                    <a:prstGeom prst="rect">
                      <a:avLst/>
                    </a:prstGeom>
                    <a:noFill/>
                  </pic:spPr>
                </pic:pic>
              </a:graphicData>
            </a:graphic>
          </wp:anchor>
        </w:drawing>
      </w:r>
    </w:p>
    <w:p>
      <w:pPr>
        <w:sectPr>
          <w:pgSz w:w="11900" w:h="16838" w:orient="portrait"/>
          <w:cols w:equalWidth="0" w:num="1">
            <w:col w:w="11240"/>
          </w:cols>
          <w:pgMar w:left="320" w:top="1431" w:right="339" w:bottom="1440" w:gutter="0" w:footer="0" w:header="0"/>
          <w:type w:val="continuous"/>
        </w:sectPr>
      </w:pPr>
    </w:p>
    <w:bookmarkStart w:id="5" w:name="page6"/>
    <w:bookmarkEnd w:id="5"/>
    <w:p>
      <w:pPr>
        <w:ind w:left="280"/>
        <w:spacing w:after="0"/>
        <w:rPr>
          <w:sz w:val="20"/>
          <w:szCs w:val="20"/>
          <w:color w:val="auto"/>
        </w:rPr>
      </w:pPr>
      <w:r>
        <w:rPr>
          <w:rFonts w:ascii="Arial" w:cs="Arial" w:eastAsia="Arial" w:hAnsi="Arial"/>
          <w:sz w:val="13"/>
          <w:szCs w:val="13"/>
          <w:b w:val="1"/>
          <w:bCs w:val="1"/>
          <w:color w:val="929292"/>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7470" cy="596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470" cy="596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724535</wp:posOffset>
            </wp:positionV>
            <wp:extent cx="5923280" cy="1405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923280" cy="1405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140"/>
        <w:spacing w:after="0" w:line="337" w:lineRule="auto"/>
        <w:rPr>
          <w:sz w:val="20"/>
          <w:szCs w:val="20"/>
          <w:color w:val="auto"/>
        </w:rPr>
      </w:pPr>
      <w:r>
        <w:rPr>
          <w:rFonts w:ascii="Arial" w:cs="Arial" w:eastAsia="Arial" w:hAnsi="Arial"/>
          <w:sz w:val="16"/>
          <w:szCs w:val="16"/>
          <w:color w:val="auto"/>
        </w:rPr>
        <w:t xml:space="preserve">This Proxy Statement and form of proxy are furnished in connection with the solicitation of proxies by our board of directors for use at our 2021 Annual Meeting of Stockholders (the “Annual Meeting”), and any postponements, adjournments or continuations thereof. The Annual Meeting will be held on January 5, 2022 at 1:00 p.m. Pacific Time, via live audio webcast at </w:t>
      </w:r>
      <w:r>
        <w:rPr>
          <w:rFonts w:ascii="Arial" w:cs="Arial" w:eastAsia="Arial" w:hAnsi="Arial"/>
          <w:sz w:val="16"/>
          <w:szCs w:val="16"/>
          <w:b w:val="1"/>
          <w:bCs w:val="1"/>
          <w:color w:val="auto"/>
        </w:rPr>
        <w:t>www.virtualshareholdermeeting.com/ZS2021</w:t>
      </w:r>
      <w:r>
        <w:rPr>
          <w:rFonts w:ascii="Arial" w:cs="Arial" w:eastAsia="Arial" w:hAnsi="Arial"/>
          <w:sz w:val="16"/>
          <w:szCs w:val="16"/>
          <w:color w:val="auto"/>
        </w:rPr>
        <w:t>. The Notice of Internet Availability of Proxy Materials (the “Notice”) containing instructions on how to access this Proxy Statement and our Annual Report on Form 10-K for the fiscal year ended July 31, 2021 is first being mailed on or about November 24, 2021 to all stockholders entitled to vote at the Annual Meeting. If you receive a Notice by mail, you will not receive a printed copy of the proxy materials in the mail unless you specifically request these materials.</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009ADA"/>
        </w:rPr>
        <w:t>Ways to Vote</w:t>
      </w:r>
    </w:p>
    <w:p>
      <w:pPr>
        <w:spacing w:after="0" w:line="234" w:lineRule="exact"/>
        <w:rPr>
          <w:sz w:val="20"/>
          <w:szCs w:val="20"/>
          <w:color w:val="auto"/>
        </w:rPr>
      </w:pPr>
    </w:p>
    <w:p>
      <w:pPr>
        <w:ind w:left="820"/>
        <w:spacing w:after="0"/>
        <w:tabs>
          <w:tab w:leader="none" w:pos="3700" w:val="left"/>
          <w:tab w:leader="none" w:pos="6720" w:val="left"/>
          <w:tab w:leader="none" w:pos="8960" w:val="left"/>
        </w:tabs>
        <w:rPr>
          <w:sz w:val="20"/>
          <w:szCs w:val="20"/>
          <w:color w:val="auto"/>
        </w:rPr>
      </w:pPr>
      <w:r>
        <w:rPr>
          <w:rFonts w:ascii="Arial" w:cs="Arial" w:eastAsia="Arial" w:hAnsi="Arial"/>
          <w:sz w:val="16"/>
          <w:szCs w:val="16"/>
          <w:b w:val="1"/>
          <w:bCs w:val="1"/>
          <w:color w:val="2B338D"/>
        </w:rPr>
        <w:t>Via the Internet</w:t>
      </w:r>
      <w:r>
        <w:rPr>
          <w:sz w:val="20"/>
          <w:szCs w:val="20"/>
          <w:color w:val="auto"/>
        </w:rPr>
        <w:tab/>
      </w:r>
      <w:r>
        <w:rPr>
          <w:rFonts w:ascii="Arial" w:cs="Arial" w:eastAsia="Arial" w:hAnsi="Arial"/>
          <w:sz w:val="16"/>
          <w:szCs w:val="16"/>
          <w:b w:val="1"/>
          <w:bCs w:val="1"/>
          <w:color w:val="2B338D"/>
        </w:rPr>
        <w:t>By Telephone</w:t>
      </w:r>
      <w:r>
        <w:rPr>
          <w:sz w:val="20"/>
          <w:szCs w:val="20"/>
          <w:color w:val="auto"/>
        </w:rPr>
        <w:tab/>
      </w:r>
      <w:r>
        <w:rPr>
          <w:rFonts w:ascii="Arial" w:cs="Arial" w:eastAsia="Arial" w:hAnsi="Arial"/>
          <w:sz w:val="16"/>
          <w:szCs w:val="16"/>
          <w:b w:val="1"/>
          <w:bCs w:val="1"/>
          <w:color w:val="2B338D"/>
        </w:rPr>
        <w:t>By Mail</w:t>
      </w:r>
      <w:r>
        <w:rPr>
          <w:sz w:val="20"/>
          <w:szCs w:val="20"/>
          <w:color w:val="auto"/>
        </w:rPr>
        <w:tab/>
      </w:r>
      <w:r>
        <w:rPr>
          <w:rFonts w:ascii="Arial" w:cs="Arial" w:eastAsia="Arial" w:hAnsi="Arial"/>
          <w:sz w:val="16"/>
          <w:szCs w:val="16"/>
          <w:b w:val="1"/>
          <w:bCs w:val="1"/>
          <w:color w:val="2B338D"/>
        </w:rPr>
        <w:t>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83185</wp:posOffset>
            </wp:positionV>
            <wp:extent cx="685800" cy="6858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0" cy="685800"/>
                    </a:xfrm>
                    <a:prstGeom prst="rect">
                      <a:avLst/>
                    </a:prstGeom>
                    <a:noFill/>
                  </pic:spPr>
                </pic:pic>
              </a:graphicData>
            </a:graphic>
          </wp:anchor>
        </w:drawing>
        <w:drawing>
          <wp:anchor simplePos="0" relativeHeight="251657728" behindDoc="1" locked="0" layoutInCell="0" allowOverlap="1">
            <wp:simplePos x="0" y="0"/>
            <wp:positionH relativeFrom="column">
              <wp:posOffset>2293620</wp:posOffset>
            </wp:positionH>
            <wp:positionV relativeFrom="paragraph">
              <wp:posOffset>40640</wp:posOffset>
            </wp:positionV>
            <wp:extent cx="771525" cy="7715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71525" cy="77152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143510</wp:posOffset>
            </wp:positionV>
            <wp:extent cx="557530" cy="5575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57530" cy="55753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126365</wp:posOffset>
            </wp:positionV>
            <wp:extent cx="600075" cy="6000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00075"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20"/>
        <w:spacing w:after="0"/>
        <w:tabs>
          <w:tab w:leader="none" w:pos="3320" w:val="left"/>
          <w:tab w:leader="none" w:pos="6120" w:val="left"/>
          <w:tab w:leader="none" w:pos="8940" w:val="left"/>
        </w:tabs>
        <w:rPr>
          <w:sz w:val="20"/>
          <w:szCs w:val="20"/>
          <w:color w:val="auto"/>
        </w:rPr>
      </w:pPr>
      <w:r>
        <w:rPr>
          <w:rFonts w:ascii="Arial" w:cs="Arial" w:eastAsia="Arial" w:hAnsi="Arial"/>
          <w:sz w:val="14"/>
          <w:szCs w:val="14"/>
          <w:color w:val="auto"/>
        </w:rPr>
        <w:t>See page 6 for more details</w:t>
      </w:r>
      <w:r>
        <w:rPr>
          <w:sz w:val="20"/>
          <w:szCs w:val="20"/>
          <w:color w:val="auto"/>
        </w:rPr>
        <w:tab/>
      </w:r>
      <w:r>
        <w:rPr>
          <w:rFonts w:ascii="Arial" w:cs="Arial" w:eastAsia="Arial" w:hAnsi="Arial"/>
          <w:sz w:val="14"/>
          <w:szCs w:val="14"/>
          <w:color w:val="auto"/>
        </w:rPr>
        <w:t>See page 7 for more details</w:t>
      </w:r>
      <w:r>
        <w:rPr>
          <w:sz w:val="20"/>
          <w:szCs w:val="20"/>
          <w:color w:val="auto"/>
        </w:rPr>
        <w:tab/>
      </w:r>
      <w:r>
        <w:rPr>
          <w:rFonts w:ascii="Arial" w:cs="Arial" w:eastAsia="Arial" w:hAnsi="Arial"/>
          <w:sz w:val="14"/>
          <w:szCs w:val="14"/>
          <w:color w:val="auto"/>
        </w:rPr>
        <w:t>See page 7 for more details</w:t>
      </w:r>
      <w:r>
        <w:rPr>
          <w:sz w:val="20"/>
          <w:szCs w:val="20"/>
          <w:color w:val="auto"/>
        </w:rPr>
        <w:tab/>
      </w:r>
      <w:r>
        <w:rPr>
          <w:rFonts w:ascii="Arial" w:cs="Arial" w:eastAsia="Arial" w:hAnsi="Arial"/>
          <w:sz w:val="14"/>
          <w:szCs w:val="14"/>
          <w:color w:val="auto"/>
        </w:rPr>
        <w:t>See page 7 for more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31032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3103245"/>
                    </a:xfrm>
                    <a:prstGeom prst="rect">
                      <a:avLst/>
                    </a:prstGeom>
                    <a:noFill/>
                  </pic:spPr>
                </pic:pic>
              </a:graphicData>
            </a:graphic>
          </wp:anchor>
        </w:drawing>
      </w:r>
    </w:p>
    <w:p>
      <w:pPr>
        <w:sectPr>
          <w:pgSz w:w="11900" w:h="16838" w:orient="portrait"/>
          <w:cols w:equalWidth="0" w:num="1">
            <w:col w:w="11240"/>
          </w:cols>
          <w:pgMar w:left="320" w:top="172" w:right="339" w:bottom="1440" w:gutter="0" w:footer="0" w:header="0"/>
        </w:sectPr>
      </w:pPr>
    </w:p>
    <w:p>
      <w:pPr>
        <w:spacing w:after="0" w:line="200" w:lineRule="exact"/>
        <w:rPr>
          <w:sz w:val="20"/>
          <w:szCs w:val="20"/>
          <w:color w:val="auto"/>
        </w:rPr>
      </w:pPr>
    </w:p>
    <w:p>
      <w:pPr>
        <w:spacing w:after="0" w:line="236"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9ADA"/>
        </w:rPr>
        <w:t>Voting Matters</w:t>
      </w:r>
    </w:p>
    <w:p>
      <w:pPr>
        <w:spacing w:after="0" w:line="81" w:lineRule="exact"/>
        <w:rPr>
          <w:sz w:val="20"/>
          <w:szCs w:val="20"/>
          <w:color w:val="auto"/>
        </w:rPr>
      </w:pPr>
    </w:p>
    <w:p>
      <w:pPr>
        <w:ind w:left="780" w:right="200" w:hanging="579"/>
        <w:spacing w:after="0" w:line="182" w:lineRule="auto"/>
        <w:tabs>
          <w:tab w:leader="none" w:pos="780" w:val="left"/>
        </w:tabs>
        <w:numPr>
          <w:ilvl w:val="0"/>
          <w:numId w:val="7"/>
        </w:numPr>
        <w:rPr>
          <w:rFonts w:ascii="Arial" w:cs="Arial" w:eastAsia="Arial" w:hAnsi="Arial"/>
          <w:sz w:val="41"/>
          <w:szCs w:val="41"/>
          <w:b w:val="1"/>
          <w:bCs w:val="1"/>
          <w:color w:val="FFFFFF"/>
          <w:vertAlign w:val="subscript"/>
        </w:rPr>
      </w:pPr>
      <w:r>
        <w:rPr>
          <w:rFonts w:ascii="Arial" w:cs="Arial" w:eastAsia="Arial" w:hAnsi="Arial"/>
          <w:sz w:val="13"/>
          <w:szCs w:val="13"/>
          <w:color w:val="auto"/>
        </w:rPr>
        <w:t>To elect three Class I directors from the nominees described in this Proxy Statement to hold office until the 2024 annual meeting of stockholders or until their successors are elected and qualified, subject to their earlier death, resignation or removal.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-462280</wp:posOffset>
            </wp:positionV>
            <wp:extent cx="334010" cy="2743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401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325755</wp:posOffset>
            </wp:positionV>
            <wp:extent cx="3317240" cy="2743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17240" cy="27432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ind w:left="780" w:right="400" w:hanging="579"/>
        <w:spacing w:after="0" w:line="206" w:lineRule="auto"/>
        <w:tabs>
          <w:tab w:leader="none" w:pos="780" w:val="left"/>
        </w:tabs>
        <w:numPr>
          <w:ilvl w:val="0"/>
          <w:numId w:val="8"/>
        </w:numPr>
        <w:rPr>
          <w:rFonts w:ascii="Arial" w:cs="Arial" w:eastAsia="Arial" w:hAnsi="Arial"/>
          <w:sz w:val="25"/>
          <w:szCs w:val="25"/>
          <w:b w:val="1"/>
          <w:bCs w:val="1"/>
          <w:color w:val="FFFFFF"/>
        </w:rPr>
      </w:pPr>
      <w:r>
        <w:rPr>
          <w:rFonts w:ascii="Arial" w:cs="Arial" w:eastAsia="Arial" w:hAnsi="Arial"/>
          <w:sz w:val="14"/>
          <w:szCs w:val="14"/>
          <w:color w:val="auto"/>
        </w:rPr>
        <w:t>To ratify the selection of PricewaterhouseCoopers LLP as our independent registered public accounting firm for our fiscal year ending July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3317240" cy="2743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1724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780" w:right="240" w:hanging="579"/>
        <w:spacing w:after="0" w:line="186" w:lineRule="auto"/>
        <w:tabs>
          <w:tab w:leader="none" w:pos="780" w:val="left"/>
        </w:tabs>
        <w:numPr>
          <w:ilvl w:val="0"/>
          <w:numId w:val="9"/>
        </w:numPr>
        <w:rPr>
          <w:rFonts w:ascii="Arial" w:cs="Arial" w:eastAsia="Arial" w:hAnsi="Arial"/>
          <w:sz w:val="25"/>
          <w:szCs w:val="25"/>
          <w:b w:val="1"/>
          <w:bCs w:val="1"/>
          <w:color w:val="FFFFFF"/>
        </w:rPr>
      </w:pPr>
      <w:r>
        <w:rPr>
          <w:rFonts w:ascii="Arial" w:cs="Arial" w:eastAsia="Arial" w:hAnsi="Arial"/>
          <w:sz w:val="14"/>
          <w:szCs w:val="14"/>
          <w:color w:val="auto"/>
        </w:rPr>
        <w:t>To approve, on a non-binding advisory basis, the compensation of our Named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780" w:right="40" w:hanging="579"/>
        <w:spacing w:after="0" w:line="226" w:lineRule="auto"/>
        <w:tabs>
          <w:tab w:leader="none" w:pos="780" w:val="left"/>
        </w:tabs>
        <w:numPr>
          <w:ilvl w:val="0"/>
          <w:numId w:val="10"/>
        </w:numPr>
        <w:rPr>
          <w:rFonts w:ascii="Arial" w:cs="Arial" w:eastAsia="Arial" w:hAnsi="Arial"/>
          <w:sz w:val="32"/>
          <w:szCs w:val="32"/>
          <w:b w:val="1"/>
          <w:bCs w:val="1"/>
          <w:color w:val="FFFFFF"/>
          <w:vertAlign w:val="subscript"/>
        </w:rPr>
      </w:pPr>
      <w:r>
        <w:rPr>
          <w:rFonts w:ascii="Arial" w:cs="Arial" w:eastAsia="Arial" w:hAnsi="Arial"/>
          <w:sz w:val="12"/>
          <w:szCs w:val="12"/>
          <w:color w:val="auto"/>
        </w:rPr>
        <w:t>To transact other business that may properly come before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3317240" cy="2914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17240" cy="29146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257175</wp:posOffset>
            </wp:positionV>
            <wp:extent cx="342900" cy="2146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0" cy="2146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6"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9ADA"/>
        </w:rPr>
        <w:t>Voting Recommendations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1560" w:type="dxa"/>
            <w:vAlign w:val="bottom"/>
          </w:tcPr>
          <w:p>
            <w:pPr>
              <w:jc w:val="center"/>
              <w:spacing w:after="0"/>
              <w:rPr>
                <w:sz w:val="20"/>
                <w:szCs w:val="20"/>
                <w:color w:val="auto"/>
              </w:rPr>
            </w:pPr>
            <w:r>
              <w:rPr>
                <w:rFonts w:ascii="Arial" w:cs="Arial" w:eastAsia="Arial" w:hAnsi="Arial"/>
                <w:sz w:val="16"/>
                <w:szCs w:val="16"/>
                <w:b w:val="1"/>
                <w:bCs w:val="1"/>
                <w:color w:val="2B338D"/>
              </w:rPr>
              <w:t>Proposal 1</w:t>
            </w:r>
          </w:p>
        </w:tc>
        <w:tc>
          <w:tcPr>
            <w:tcW w:w="3740" w:type="dxa"/>
            <w:vAlign w:val="bottom"/>
          </w:tcPr>
          <w:p>
            <w:pPr>
              <w:ind w:left="120"/>
              <w:spacing w:after="0"/>
              <w:rPr>
                <w:sz w:val="20"/>
                <w:szCs w:val="20"/>
                <w:color w:val="auto"/>
              </w:rPr>
            </w:pPr>
            <w:r>
              <w:rPr>
                <w:rFonts w:ascii="Arial" w:cs="Arial" w:eastAsia="Arial" w:hAnsi="Arial"/>
                <w:sz w:val="14"/>
                <w:szCs w:val="14"/>
                <w:color w:val="auto"/>
              </w:rPr>
              <w:t xml:space="preserve">The board of directors recommends a vote </w:t>
            </w:r>
            <w:r>
              <w:rPr>
                <w:rFonts w:ascii="Arial" w:cs="Arial" w:eastAsia="Arial" w:hAnsi="Arial"/>
                <w:sz w:val="14"/>
                <w:szCs w:val="14"/>
                <w:b w:val="1"/>
                <w:bCs w:val="1"/>
                <w:color w:val="auto"/>
              </w:rPr>
              <w:t>"FOR"</w:t>
            </w:r>
            <w:r>
              <w:rPr>
                <w:rFonts w:ascii="Arial" w:cs="Arial" w:eastAsia="Arial" w:hAnsi="Arial"/>
                <w:sz w:val="14"/>
                <w:szCs w:val="14"/>
                <w:color w:val="auto"/>
              </w:rPr>
              <w:t xml:space="preserve"> the</w:t>
            </w:r>
          </w:p>
        </w:tc>
        <w:tc>
          <w:tcPr>
            <w:tcW w:w="0" w:type="dxa"/>
            <w:vAlign w:val="bottom"/>
          </w:tcPr>
          <w:p>
            <w:pPr>
              <w:spacing w:after="0"/>
              <w:rPr>
                <w:sz w:val="1"/>
                <w:szCs w:val="1"/>
                <w:color w:val="auto"/>
              </w:rPr>
            </w:pPr>
          </w:p>
        </w:tc>
      </w:tr>
      <w:tr>
        <w:trPr>
          <w:trHeight w:val="172"/>
        </w:trPr>
        <w:tc>
          <w:tcPr>
            <w:tcW w:w="1560" w:type="dxa"/>
            <w:vAlign w:val="bottom"/>
            <w:vMerge w:val="restart"/>
          </w:tcPr>
          <w:p>
            <w:pPr>
              <w:jc w:val="center"/>
              <w:spacing w:after="0"/>
              <w:rPr>
                <w:sz w:val="20"/>
                <w:szCs w:val="20"/>
                <w:color w:val="auto"/>
              </w:rPr>
            </w:pPr>
            <w:r>
              <w:rPr>
                <w:rFonts w:ascii="Arial" w:cs="Arial" w:eastAsia="Arial" w:hAnsi="Arial"/>
                <w:sz w:val="43"/>
                <w:szCs w:val="43"/>
                <w:color w:val="009ADA"/>
              </w:rPr>
              <w:t>"FOR"</w:t>
            </w:r>
          </w:p>
        </w:tc>
        <w:tc>
          <w:tcPr>
            <w:tcW w:w="3740" w:type="dxa"/>
            <w:vAlign w:val="bottom"/>
          </w:tcPr>
          <w:p>
            <w:pPr>
              <w:ind w:left="120"/>
              <w:spacing w:after="0"/>
              <w:rPr>
                <w:sz w:val="20"/>
                <w:szCs w:val="20"/>
                <w:color w:val="auto"/>
              </w:rPr>
            </w:pPr>
            <w:r>
              <w:rPr>
                <w:rFonts w:ascii="Arial" w:cs="Arial" w:eastAsia="Arial" w:hAnsi="Arial"/>
                <w:sz w:val="14"/>
                <w:szCs w:val="14"/>
                <w:color w:val="auto"/>
              </w:rPr>
              <w:t>election of each of the three director nominees</w:t>
            </w:r>
          </w:p>
        </w:tc>
        <w:tc>
          <w:tcPr>
            <w:tcW w:w="0" w:type="dxa"/>
            <w:vAlign w:val="bottom"/>
          </w:tcPr>
          <w:p>
            <w:pPr>
              <w:spacing w:after="0"/>
              <w:rPr>
                <w:sz w:val="1"/>
                <w:szCs w:val="1"/>
                <w:color w:val="auto"/>
              </w:rPr>
            </w:pPr>
          </w:p>
        </w:tc>
      </w:tr>
      <w:tr>
        <w:trPr>
          <w:trHeight w:val="176"/>
        </w:trPr>
        <w:tc>
          <w:tcPr>
            <w:tcW w:w="1560" w:type="dxa"/>
            <w:vAlign w:val="bottom"/>
            <w:vMerge w:val="continue"/>
          </w:tcPr>
          <w:p>
            <w:pPr>
              <w:spacing w:after="0"/>
              <w:rPr>
                <w:sz w:val="15"/>
                <w:szCs w:val="15"/>
                <w:color w:val="auto"/>
              </w:rPr>
            </w:pPr>
          </w:p>
        </w:tc>
        <w:tc>
          <w:tcPr>
            <w:tcW w:w="3740" w:type="dxa"/>
            <w:vAlign w:val="bottom"/>
          </w:tcPr>
          <w:p>
            <w:pPr>
              <w:ind w:left="120"/>
              <w:spacing w:after="0"/>
              <w:rPr>
                <w:sz w:val="20"/>
                <w:szCs w:val="20"/>
                <w:color w:val="auto"/>
              </w:rPr>
            </w:pPr>
            <w:r>
              <w:rPr>
                <w:rFonts w:ascii="Arial" w:cs="Arial" w:eastAsia="Arial" w:hAnsi="Arial"/>
                <w:sz w:val="14"/>
                <w:szCs w:val="14"/>
                <w:color w:val="auto"/>
              </w:rPr>
              <w:t>nominated by our board of directors and named in this</w:t>
            </w:r>
          </w:p>
        </w:tc>
        <w:tc>
          <w:tcPr>
            <w:tcW w:w="0" w:type="dxa"/>
            <w:vAlign w:val="bottom"/>
          </w:tcPr>
          <w:p>
            <w:pPr>
              <w:spacing w:after="0"/>
              <w:rPr>
                <w:sz w:val="1"/>
                <w:szCs w:val="1"/>
                <w:color w:val="auto"/>
              </w:rPr>
            </w:pPr>
          </w:p>
        </w:tc>
      </w:tr>
      <w:tr>
        <w:trPr>
          <w:trHeight w:val="179"/>
        </w:trPr>
        <w:tc>
          <w:tcPr>
            <w:tcW w:w="1560" w:type="dxa"/>
            <w:vAlign w:val="bottom"/>
            <w:vMerge w:val="continue"/>
          </w:tcPr>
          <w:p>
            <w:pPr>
              <w:spacing w:after="0"/>
              <w:rPr>
                <w:sz w:val="15"/>
                <w:szCs w:val="15"/>
                <w:color w:val="auto"/>
              </w:rPr>
            </w:pPr>
          </w:p>
        </w:tc>
        <w:tc>
          <w:tcPr>
            <w:tcW w:w="3740" w:type="dxa"/>
            <w:vAlign w:val="bottom"/>
          </w:tcPr>
          <w:p>
            <w:pPr>
              <w:ind w:left="120"/>
              <w:spacing w:after="0"/>
              <w:rPr>
                <w:sz w:val="20"/>
                <w:szCs w:val="20"/>
                <w:color w:val="auto"/>
              </w:rPr>
            </w:pPr>
            <w:r>
              <w:rPr>
                <w:rFonts w:ascii="Arial" w:cs="Arial" w:eastAsia="Arial" w:hAnsi="Arial"/>
                <w:sz w:val="14"/>
                <w:szCs w:val="14"/>
                <w:color w:val="auto"/>
              </w:rPr>
              <w:t>Proxy Statement as Class I directors to serve for a</w:t>
            </w:r>
          </w:p>
        </w:tc>
        <w:tc>
          <w:tcPr>
            <w:tcW w:w="0" w:type="dxa"/>
            <w:vAlign w:val="bottom"/>
          </w:tcPr>
          <w:p>
            <w:pPr>
              <w:spacing w:after="0"/>
              <w:rPr>
                <w:sz w:val="1"/>
                <w:szCs w:val="1"/>
                <w:color w:val="auto"/>
              </w:rPr>
            </w:pPr>
          </w:p>
        </w:tc>
      </w:tr>
      <w:tr>
        <w:trPr>
          <w:trHeight w:val="172"/>
        </w:trPr>
        <w:tc>
          <w:tcPr>
            <w:tcW w:w="1560" w:type="dxa"/>
            <w:vAlign w:val="bottom"/>
          </w:tcPr>
          <w:p>
            <w:pPr>
              <w:spacing w:after="0"/>
              <w:rPr>
                <w:sz w:val="14"/>
                <w:szCs w:val="14"/>
                <w:color w:val="auto"/>
              </w:rPr>
            </w:pPr>
          </w:p>
        </w:tc>
        <w:tc>
          <w:tcPr>
            <w:tcW w:w="3740" w:type="dxa"/>
            <w:vAlign w:val="bottom"/>
          </w:tcPr>
          <w:p>
            <w:pPr>
              <w:ind w:left="120"/>
              <w:spacing w:after="0"/>
              <w:rPr>
                <w:sz w:val="20"/>
                <w:szCs w:val="20"/>
                <w:color w:val="auto"/>
              </w:rPr>
            </w:pPr>
            <w:r>
              <w:rPr>
                <w:rFonts w:ascii="Arial" w:cs="Arial" w:eastAsia="Arial" w:hAnsi="Arial"/>
                <w:sz w:val="14"/>
                <w:szCs w:val="14"/>
                <w:color w:val="auto"/>
              </w:rPr>
              <w:t>three-year term.</w:t>
            </w:r>
          </w:p>
        </w:tc>
        <w:tc>
          <w:tcPr>
            <w:tcW w:w="0" w:type="dxa"/>
            <w:vAlign w:val="bottom"/>
          </w:tcPr>
          <w:p>
            <w:pPr>
              <w:spacing w:after="0"/>
              <w:rPr>
                <w:sz w:val="1"/>
                <w:szCs w:val="1"/>
                <w:color w:val="auto"/>
              </w:rPr>
            </w:pPr>
          </w:p>
        </w:tc>
      </w:tr>
      <w:tr>
        <w:trPr>
          <w:trHeight w:val="336"/>
        </w:trPr>
        <w:tc>
          <w:tcPr>
            <w:tcW w:w="156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1560" w:type="dxa"/>
            <w:vAlign w:val="bottom"/>
          </w:tcPr>
          <w:p>
            <w:pPr>
              <w:jc w:val="center"/>
              <w:spacing w:after="0"/>
              <w:rPr>
                <w:sz w:val="20"/>
                <w:szCs w:val="20"/>
                <w:color w:val="auto"/>
              </w:rPr>
            </w:pPr>
            <w:r>
              <w:rPr>
                <w:rFonts w:ascii="Arial" w:cs="Arial" w:eastAsia="Arial" w:hAnsi="Arial"/>
                <w:sz w:val="16"/>
                <w:szCs w:val="16"/>
                <w:b w:val="1"/>
                <w:bCs w:val="1"/>
                <w:color w:val="2B338D"/>
              </w:rPr>
              <w:t>Proposal 2</w:t>
            </w:r>
          </w:p>
        </w:tc>
        <w:tc>
          <w:tcPr>
            <w:tcW w:w="3740" w:type="dxa"/>
            <w:vAlign w:val="bottom"/>
          </w:tcPr>
          <w:p>
            <w:pPr>
              <w:ind w:left="120"/>
              <w:spacing w:after="0"/>
              <w:rPr>
                <w:sz w:val="20"/>
                <w:szCs w:val="20"/>
                <w:color w:val="auto"/>
              </w:rPr>
            </w:pPr>
            <w:r>
              <w:rPr>
                <w:rFonts w:ascii="Arial" w:cs="Arial" w:eastAsia="Arial" w:hAnsi="Arial"/>
                <w:sz w:val="14"/>
                <w:szCs w:val="14"/>
                <w:color w:val="auto"/>
              </w:rPr>
              <w:t xml:space="preserve">The board of directors recommends a vote </w:t>
            </w:r>
            <w:r>
              <w:rPr>
                <w:rFonts w:ascii="Arial" w:cs="Arial" w:eastAsia="Arial" w:hAnsi="Arial"/>
                <w:sz w:val="14"/>
                <w:szCs w:val="14"/>
                <w:b w:val="1"/>
                <w:bCs w:val="1"/>
                <w:color w:val="auto"/>
              </w:rPr>
              <w:t>"FOR"</w:t>
            </w:r>
            <w:r>
              <w:rPr>
                <w:rFonts w:ascii="Arial" w:cs="Arial" w:eastAsia="Arial" w:hAnsi="Arial"/>
                <w:sz w:val="14"/>
                <w:szCs w:val="14"/>
                <w:color w:val="auto"/>
              </w:rPr>
              <w:t xml:space="preserve"> the</w:t>
            </w:r>
          </w:p>
        </w:tc>
        <w:tc>
          <w:tcPr>
            <w:tcW w:w="0" w:type="dxa"/>
            <w:vAlign w:val="bottom"/>
          </w:tcPr>
          <w:p>
            <w:pPr>
              <w:spacing w:after="0"/>
              <w:rPr>
                <w:sz w:val="1"/>
                <w:szCs w:val="1"/>
                <w:color w:val="auto"/>
              </w:rPr>
            </w:pPr>
          </w:p>
        </w:tc>
      </w:tr>
      <w:tr>
        <w:trPr>
          <w:trHeight w:val="172"/>
        </w:trPr>
        <w:tc>
          <w:tcPr>
            <w:tcW w:w="1560" w:type="dxa"/>
            <w:vAlign w:val="bottom"/>
            <w:vMerge w:val="restart"/>
          </w:tcPr>
          <w:p>
            <w:pPr>
              <w:jc w:val="center"/>
              <w:spacing w:after="0" w:line="176" w:lineRule="exact"/>
              <w:rPr>
                <w:sz w:val="20"/>
                <w:szCs w:val="20"/>
                <w:color w:val="auto"/>
              </w:rPr>
            </w:pPr>
            <w:r>
              <w:rPr>
                <w:rFonts w:ascii="Arial" w:cs="Arial" w:eastAsia="Arial" w:hAnsi="Arial"/>
                <w:sz w:val="20"/>
                <w:szCs w:val="20"/>
                <w:color w:val="009ADA"/>
              </w:rPr>
              <w:t>"FOR"</w:t>
            </w:r>
          </w:p>
        </w:tc>
        <w:tc>
          <w:tcPr>
            <w:tcW w:w="3740" w:type="dxa"/>
            <w:vAlign w:val="bottom"/>
          </w:tcPr>
          <w:p>
            <w:pPr>
              <w:ind w:left="120"/>
              <w:spacing w:after="0"/>
              <w:rPr>
                <w:sz w:val="20"/>
                <w:szCs w:val="20"/>
                <w:color w:val="auto"/>
              </w:rPr>
            </w:pPr>
            <w:r>
              <w:rPr>
                <w:rFonts w:ascii="Arial" w:cs="Arial" w:eastAsia="Arial" w:hAnsi="Arial"/>
                <w:sz w:val="14"/>
                <w:szCs w:val="14"/>
                <w:color w:val="auto"/>
              </w:rPr>
              <w:t>ratification of the appointment of PwC as our</w:t>
            </w:r>
          </w:p>
        </w:tc>
        <w:tc>
          <w:tcPr>
            <w:tcW w:w="0" w:type="dxa"/>
            <w:vAlign w:val="bottom"/>
          </w:tcPr>
          <w:p>
            <w:pPr>
              <w:spacing w:after="0"/>
              <w:rPr>
                <w:sz w:val="1"/>
                <w:szCs w:val="1"/>
                <w:color w:val="auto"/>
              </w:rPr>
            </w:pPr>
          </w:p>
        </w:tc>
      </w:tr>
      <w:tr>
        <w:trPr>
          <w:trHeight w:val="3"/>
        </w:trPr>
        <w:tc>
          <w:tcPr>
            <w:tcW w:w="1560" w:type="dxa"/>
            <w:vAlign w:val="bottom"/>
            <w:vMerge w:val="continue"/>
          </w:tcPr>
          <w:p>
            <w:pPr>
              <w:spacing w:after="0" w:line="20" w:lineRule="exact"/>
              <w:rPr>
                <w:sz w:val="1"/>
                <w:szCs w:val="1"/>
                <w:color w:val="auto"/>
              </w:rPr>
            </w:pPr>
          </w:p>
        </w:tc>
        <w:tc>
          <w:tcPr>
            <w:tcW w:w="3740" w:type="dxa"/>
            <w:vAlign w:val="bottom"/>
          </w:tcPr>
          <w:p>
            <w:pPr>
              <w:ind w:left="120"/>
              <w:spacing w:after="0" w:line="4" w:lineRule="exact"/>
              <w:rPr>
                <w:sz w:val="20"/>
                <w:szCs w:val="20"/>
                <w:color w:val="auto"/>
              </w:rPr>
            </w:pPr>
            <w:r>
              <w:rPr>
                <w:rFonts w:ascii="Arial" w:cs="Arial" w:eastAsia="Arial" w:hAnsi="Arial"/>
                <w:sz w:val="1"/>
                <w:szCs w:val="1"/>
                <w:color w:val="auto"/>
              </w:rPr>
              <w:t>fiscal year ending July 31, 2022.</w:t>
            </w:r>
          </w:p>
        </w:tc>
        <w:tc>
          <w:tcPr>
            <w:tcW w:w="0" w:type="dxa"/>
            <w:vAlign w:val="bottom"/>
          </w:tcPr>
          <w:p>
            <w:pPr>
              <w:spacing w:after="0" w:line="20" w:lineRule="exact"/>
              <w:rPr>
                <w:sz w:val="1"/>
                <w:szCs w:val="1"/>
                <w:color w:val="auto"/>
              </w:rPr>
            </w:pPr>
          </w:p>
        </w:tc>
      </w:tr>
      <w:tr>
        <w:trPr>
          <w:trHeight w:val="172"/>
        </w:trPr>
        <w:tc>
          <w:tcPr>
            <w:tcW w:w="1560" w:type="dxa"/>
            <w:vAlign w:val="bottom"/>
          </w:tcPr>
          <w:p>
            <w:pPr>
              <w:spacing w:after="0"/>
              <w:rPr>
                <w:sz w:val="14"/>
                <w:szCs w:val="14"/>
                <w:color w:val="auto"/>
              </w:rPr>
            </w:pPr>
          </w:p>
        </w:tc>
        <w:tc>
          <w:tcPr>
            <w:tcW w:w="3740" w:type="dxa"/>
            <w:vAlign w:val="bottom"/>
          </w:tcPr>
          <w:p>
            <w:pPr>
              <w:ind w:left="120"/>
              <w:spacing w:after="0"/>
              <w:rPr>
                <w:sz w:val="20"/>
                <w:szCs w:val="20"/>
                <w:color w:val="auto"/>
              </w:rPr>
            </w:pPr>
            <w:r>
              <w:rPr>
                <w:rFonts w:ascii="Arial" w:cs="Arial" w:eastAsia="Arial" w:hAnsi="Arial"/>
                <w:sz w:val="14"/>
                <w:szCs w:val="14"/>
                <w:color w:val="auto"/>
              </w:rPr>
              <w:t>independent registered public accounting firm for our</w:t>
            </w:r>
          </w:p>
        </w:tc>
        <w:tc>
          <w:tcPr>
            <w:tcW w:w="0" w:type="dxa"/>
            <w:vAlign w:val="bottom"/>
          </w:tcPr>
          <w:p>
            <w:pPr>
              <w:spacing w:after="0"/>
              <w:rPr>
                <w:sz w:val="1"/>
                <w:szCs w:val="1"/>
                <w:color w:val="auto"/>
              </w:rPr>
            </w:pPr>
          </w:p>
        </w:tc>
      </w:tr>
      <w:tr>
        <w:trPr>
          <w:trHeight w:val="633"/>
        </w:trPr>
        <w:tc>
          <w:tcPr>
            <w:tcW w:w="156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1560" w:type="dxa"/>
            <w:vAlign w:val="bottom"/>
          </w:tcPr>
          <w:p>
            <w:pPr>
              <w:jc w:val="center"/>
              <w:spacing w:after="0"/>
              <w:rPr>
                <w:sz w:val="20"/>
                <w:szCs w:val="20"/>
                <w:color w:val="auto"/>
              </w:rPr>
            </w:pPr>
            <w:r>
              <w:rPr>
                <w:rFonts w:ascii="Arial" w:cs="Arial" w:eastAsia="Arial" w:hAnsi="Arial"/>
                <w:sz w:val="16"/>
                <w:szCs w:val="16"/>
                <w:b w:val="1"/>
                <w:bCs w:val="1"/>
                <w:color w:val="2B338D"/>
              </w:rPr>
              <w:t>Proposal 3</w:t>
            </w:r>
          </w:p>
        </w:tc>
        <w:tc>
          <w:tcPr>
            <w:tcW w:w="3740" w:type="dxa"/>
            <w:vAlign w:val="bottom"/>
          </w:tcPr>
          <w:p>
            <w:pPr>
              <w:ind w:left="120"/>
              <w:spacing w:after="0"/>
              <w:rPr>
                <w:sz w:val="20"/>
                <w:szCs w:val="20"/>
                <w:color w:val="auto"/>
              </w:rPr>
            </w:pPr>
            <w:r>
              <w:rPr>
                <w:rFonts w:ascii="Arial" w:cs="Arial" w:eastAsia="Arial" w:hAnsi="Arial"/>
                <w:sz w:val="14"/>
                <w:szCs w:val="14"/>
                <w:color w:val="auto"/>
              </w:rPr>
              <w:t xml:space="preserve">The board of directors recommends a vote </w:t>
            </w:r>
            <w:r>
              <w:rPr>
                <w:rFonts w:ascii="Arial" w:cs="Arial" w:eastAsia="Arial" w:hAnsi="Arial"/>
                <w:sz w:val="14"/>
                <w:szCs w:val="14"/>
                <w:b w:val="1"/>
                <w:bCs w:val="1"/>
                <w:color w:val="auto"/>
              </w:rPr>
              <w:t>"FOR"</w:t>
            </w:r>
            <w:r>
              <w:rPr>
                <w:rFonts w:ascii="Arial" w:cs="Arial" w:eastAsia="Arial" w:hAnsi="Arial"/>
                <w:sz w:val="14"/>
                <w:szCs w:val="14"/>
                <w:color w:val="auto"/>
              </w:rPr>
              <w:t xml:space="preserve"> the</w:t>
            </w:r>
          </w:p>
        </w:tc>
        <w:tc>
          <w:tcPr>
            <w:tcW w:w="0" w:type="dxa"/>
            <w:vAlign w:val="bottom"/>
          </w:tcPr>
          <w:p>
            <w:pPr>
              <w:spacing w:after="0"/>
              <w:rPr>
                <w:sz w:val="1"/>
                <w:szCs w:val="1"/>
                <w:color w:val="auto"/>
              </w:rPr>
            </w:pPr>
          </w:p>
        </w:tc>
      </w:tr>
      <w:tr>
        <w:trPr>
          <w:trHeight w:val="172"/>
        </w:trPr>
        <w:tc>
          <w:tcPr>
            <w:tcW w:w="1560" w:type="dxa"/>
            <w:vAlign w:val="bottom"/>
            <w:vMerge w:val="restart"/>
          </w:tcPr>
          <w:p>
            <w:pPr>
              <w:jc w:val="center"/>
              <w:spacing w:after="0"/>
              <w:rPr>
                <w:sz w:val="20"/>
                <w:szCs w:val="20"/>
                <w:color w:val="auto"/>
              </w:rPr>
            </w:pPr>
            <w:r>
              <w:rPr>
                <w:rFonts w:ascii="Arial" w:cs="Arial" w:eastAsia="Arial" w:hAnsi="Arial"/>
                <w:sz w:val="43"/>
                <w:szCs w:val="43"/>
                <w:color w:val="009ADA"/>
              </w:rPr>
              <w:t>"FOR"</w:t>
            </w:r>
          </w:p>
        </w:tc>
        <w:tc>
          <w:tcPr>
            <w:tcW w:w="3740" w:type="dxa"/>
            <w:vAlign w:val="bottom"/>
          </w:tcPr>
          <w:p>
            <w:pPr>
              <w:ind w:left="120"/>
              <w:spacing w:after="0"/>
              <w:rPr>
                <w:sz w:val="20"/>
                <w:szCs w:val="20"/>
                <w:color w:val="auto"/>
              </w:rPr>
            </w:pPr>
            <w:r>
              <w:rPr>
                <w:rFonts w:ascii="Arial" w:cs="Arial" w:eastAsia="Arial" w:hAnsi="Arial"/>
                <w:sz w:val="14"/>
                <w:szCs w:val="14"/>
                <w:color w:val="auto"/>
              </w:rPr>
              <w:t>approval, on an advisory non-binding basis, of the</w:t>
            </w:r>
          </w:p>
        </w:tc>
        <w:tc>
          <w:tcPr>
            <w:tcW w:w="0" w:type="dxa"/>
            <w:vAlign w:val="bottom"/>
          </w:tcPr>
          <w:p>
            <w:pPr>
              <w:spacing w:after="0"/>
              <w:rPr>
                <w:sz w:val="1"/>
                <w:szCs w:val="1"/>
                <w:color w:val="auto"/>
              </w:rPr>
            </w:pPr>
          </w:p>
        </w:tc>
      </w:tr>
      <w:tr>
        <w:trPr>
          <w:trHeight w:val="176"/>
        </w:trPr>
        <w:tc>
          <w:tcPr>
            <w:tcW w:w="1560" w:type="dxa"/>
            <w:vAlign w:val="bottom"/>
            <w:vMerge w:val="continue"/>
          </w:tcPr>
          <w:p>
            <w:pPr>
              <w:spacing w:after="0"/>
              <w:rPr>
                <w:sz w:val="15"/>
                <w:szCs w:val="15"/>
                <w:color w:val="auto"/>
              </w:rPr>
            </w:pPr>
          </w:p>
        </w:tc>
        <w:tc>
          <w:tcPr>
            <w:tcW w:w="3740" w:type="dxa"/>
            <w:vAlign w:val="bottom"/>
          </w:tcPr>
          <w:p>
            <w:pPr>
              <w:ind w:left="120"/>
              <w:spacing w:after="0"/>
              <w:rPr>
                <w:sz w:val="20"/>
                <w:szCs w:val="20"/>
                <w:color w:val="auto"/>
              </w:rPr>
            </w:pPr>
            <w:r>
              <w:rPr>
                <w:rFonts w:ascii="Arial" w:cs="Arial" w:eastAsia="Arial" w:hAnsi="Arial"/>
                <w:sz w:val="14"/>
                <w:szCs w:val="14"/>
                <w:color w:val="auto"/>
              </w:rPr>
              <w:t>compensation of our Named Executive Officers, as</w:t>
            </w:r>
          </w:p>
        </w:tc>
        <w:tc>
          <w:tcPr>
            <w:tcW w:w="0" w:type="dxa"/>
            <w:vAlign w:val="bottom"/>
          </w:tcPr>
          <w:p>
            <w:pPr>
              <w:spacing w:after="0"/>
              <w:rPr>
                <w:sz w:val="1"/>
                <w:szCs w:val="1"/>
                <w:color w:val="auto"/>
              </w:rPr>
            </w:pPr>
          </w:p>
        </w:tc>
      </w:tr>
      <w:tr>
        <w:trPr>
          <w:trHeight w:val="223"/>
        </w:trPr>
        <w:tc>
          <w:tcPr>
            <w:tcW w:w="1560" w:type="dxa"/>
            <w:vAlign w:val="bottom"/>
            <w:vMerge w:val="continue"/>
          </w:tcPr>
          <w:p>
            <w:pPr>
              <w:spacing w:after="0"/>
              <w:rPr>
                <w:sz w:val="19"/>
                <w:szCs w:val="19"/>
                <w:color w:val="auto"/>
              </w:rPr>
            </w:pPr>
          </w:p>
        </w:tc>
        <w:tc>
          <w:tcPr>
            <w:tcW w:w="3740" w:type="dxa"/>
            <w:vAlign w:val="bottom"/>
          </w:tcPr>
          <w:p>
            <w:pPr>
              <w:ind w:left="120"/>
              <w:spacing w:after="0"/>
              <w:rPr>
                <w:sz w:val="20"/>
                <w:szCs w:val="20"/>
                <w:color w:val="auto"/>
              </w:rPr>
            </w:pPr>
            <w:r>
              <w:rPr>
                <w:rFonts w:ascii="Arial" w:cs="Arial" w:eastAsia="Arial" w:hAnsi="Arial"/>
                <w:sz w:val="14"/>
                <w:szCs w:val="14"/>
                <w:color w:val="auto"/>
              </w:rPr>
              <w:t>disclosed in this Proxy Statement.</w:t>
            </w:r>
          </w:p>
        </w:tc>
        <w:tc>
          <w:tcPr>
            <w:tcW w:w="0" w:type="dxa"/>
            <w:vAlign w:val="bottom"/>
          </w:tcPr>
          <w:p>
            <w:pPr>
              <w:spacing w:after="0"/>
              <w:rPr>
                <w:sz w:val="1"/>
                <w:szCs w:val="1"/>
                <w:color w:val="auto"/>
              </w:rPr>
            </w:pPr>
          </w:p>
        </w:tc>
      </w:tr>
      <w:tr>
        <w:trPr>
          <w:trHeight w:val="410"/>
        </w:trPr>
        <w:tc>
          <w:tcPr>
            <w:tcW w:w="156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18" w:lineRule="exact"/>
        <w:rPr>
          <w:sz w:val="20"/>
          <w:szCs w:val="20"/>
          <w:color w:val="auto"/>
        </w:rPr>
      </w:pPr>
    </w:p>
    <w:p>
      <w:pPr>
        <w:sectPr>
          <w:pgSz w:w="11900" w:h="16838" w:orient="portrait"/>
          <w:cols w:equalWidth="0" w:num="2">
            <w:col w:w="5220" w:space="720"/>
            <w:col w:w="5300"/>
          </w:cols>
          <w:pgMar w:left="320" w:top="172" w:right="339" w:bottom="1440" w:gutter="0" w:footer="0" w:header="0"/>
          <w:type w:val="continuous"/>
        </w:sectPr>
      </w:pPr>
    </w:p>
    <w:p>
      <w:pPr>
        <w:spacing w:after="0" w:line="143" w:lineRule="exact"/>
        <w:rPr>
          <w:sz w:val="20"/>
          <w:szCs w:val="20"/>
          <w:color w:val="auto"/>
        </w:rPr>
      </w:pPr>
    </w:p>
    <w:p>
      <w:pPr>
        <w:ind w:left="5580"/>
        <w:spacing w:after="0"/>
        <w:tabs>
          <w:tab w:leader="none" w:pos="9780" w:val="left"/>
        </w:tabs>
        <w:rPr>
          <w:sz w:val="20"/>
          <w:szCs w:val="20"/>
          <w:color w:val="auto"/>
        </w:rPr>
      </w:pPr>
      <w:r>
        <w:rPr>
          <w:rFonts w:ascii="Arial" w:cs="Arial" w:eastAsia="Arial" w:hAnsi="Arial"/>
          <w:sz w:val="29"/>
          <w:szCs w:val="29"/>
          <w:color w:val="auto"/>
          <w:vertAlign w:val="superscript"/>
        </w:rPr>
        <w:t>2</w:t>
      </w:r>
      <w:r>
        <w:rPr>
          <w:sz w:val="20"/>
          <w:szCs w:val="20"/>
          <w:color w:val="auto"/>
        </w:rPr>
        <w:tab/>
      </w:r>
      <w:r>
        <w:rPr>
          <w:rFonts w:ascii="Arial" w:cs="Arial" w:eastAsia="Arial" w:hAnsi="Arial"/>
          <w:sz w:val="14"/>
          <w:szCs w:val="14"/>
          <w:color w:val="auto"/>
        </w:rPr>
        <w:t>2021 Proxy Statement</w:t>
      </w:r>
    </w:p>
    <w:p>
      <w:pPr>
        <w:sectPr>
          <w:pgSz w:w="11900" w:h="16838" w:orient="portrait"/>
          <w:cols w:equalWidth="0" w:num="1">
            <w:col w:w="11240"/>
          </w:cols>
          <w:pgMar w:left="320" w:top="172" w:right="339" w:bottom="1440" w:gutter="0" w:footer="0" w:header="0"/>
          <w:type w:val="continuous"/>
        </w:sectPr>
      </w:pPr>
    </w:p>
    <w:bookmarkStart w:id="6" w:name="page7"/>
    <w:bookmarkEnd w:id="6"/>
    <w:p>
      <w:pPr>
        <w:ind w:left="280"/>
        <w:spacing w:after="0"/>
        <w:rPr>
          <w:sz w:val="20"/>
          <w:szCs w:val="20"/>
          <w:color w:val="auto"/>
        </w:rPr>
      </w:pPr>
      <w:r>
        <w:rPr>
          <w:rFonts w:ascii="Arial" w:cs="Arial" w:eastAsia="Arial" w:hAnsi="Arial"/>
          <w:sz w:val="13"/>
          <w:szCs w:val="13"/>
          <w:b w:val="1"/>
          <w:bCs w:val="1"/>
          <w:color w:val="929292"/>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7470" cy="596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470" cy="59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b w:val="1"/>
          <w:bCs w:val="1"/>
          <w:color w:val="009ADA"/>
        </w:rPr>
        <w:t>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5688330</wp:posOffset>
            </wp:positionH>
            <wp:positionV relativeFrom="paragraph">
              <wp:posOffset>134620</wp:posOffset>
            </wp:positionV>
            <wp:extent cx="8255" cy="3086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255" cy="30861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134620</wp:posOffset>
            </wp:positionV>
            <wp:extent cx="8890" cy="3086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890" cy="30861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134620</wp:posOffset>
            </wp:positionV>
            <wp:extent cx="8255" cy="3086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255" cy="308610"/>
                    </a:xfrm>
                    <a:prstGeom prst="rect">
                      <a:avLst/>
                    </a:prstGeom>
                    <a:noFill/>
                  </pic:spPr>
                </pic:pic>
              </a:graphicData>
            </a:graphic>
          </wp:anchor>
        </w:drawing>
        <w:drawing>
          <wp:anchor simplePos="0" relativeHeight="251657728" behindDoc="1" locked="0" layoutInCell="0" allowOverlap="1">
            <wp:simplePos x="0" y="0"/>
            <wp:positionH relativeFrom="column">
              <wp:posOffset>2319655</wp:posOffset>
            </wp:positionH>
            <wp:positionV relativeFrom="paragraph">
              <wp:posOffset>134620</wp:posOffset>
            </wp:positionV>
            <wp:extent cx="8890" cy="3086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890" cy="308610"/>
                    </a:xfrm>
                    <a:prstGeom prst="rect">
                      <a:avLst/>
                    </a:prstGeom>
                    <a:noFill/>
                  </pic:spPr>
                </pic:pic>
              </a:graphicData>
            </a:graphic>
          </wp:anchor>
        </w:drawing>
        <w:drawing>
          <wp:anchor simplePos="0" relativeHeight="251657728" behindDoc="1" locked="0" layoutInCell="0" allowOverlap="1">
            <wp:simplePos x="0" y="0"/>
            <wp:positionH relativeFrom="column">
              <wp:posOffset>1908175</wp:posOffset>
            </wp:positionH>
            <wp:positionV relativeFrom="paragraph">
              <wp:posOffset>134620</wp:posOffset>
            </wp:positionV>
            <wp:extent cx="8890" cy="3086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890" cy="308610"/>
                    </a:xfrm>
                    <a:prstGeom prst="rect">
                      <a:avLst/>
                    </a:prstGeom>
                    <a:noFill/>
                  </pic:spPr>
                </pic:pic>
              </a:graphicData>
            </a:graphic>
          </wp:anchor>
        </w:drawing>
        <w:drawing>
          <wp:anchor simplePos="0" relativeHeight="251657728" behindDoc="1" locked="0" layoutInCell="0" allowOverlap="1">
            <wp:simplePos x="0" y="0"/>
            <wp:positionH relativeFrom="column">
              <wp:posOffset>1496695</wp:posOffset>
            </wp:positionH>
            <wp:positionV relativeFrom="paragraph">
              <wp:posOffset>134620</wp:posOffset>
            </wp:positionV>
            <wp:extent cx="8255" cy="3086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255" cy="308610"/>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360" w:type="dxa"/>
            <w:vAlign w:val="bottom"/>
            <w:shd w:val="clear" w:color="auto" w:fill="000000"/>
          </w:tcPr>
          <w:p>
            <w:pPr>
              <w:spacing w:after="0"/>
              <w:rPr>
                <w:sz w:val="17"/>
                <w:szCs w:val="17"/>
                <w:color w:val="auto"/>
              </w:rPr>
            </w:pPr>
          </w:p>
        </w:tc>
        <w:tc>
          <w:tcPr>
            <w:tcW w:w="640" w:type="dxa"/>
            <w:vAlign w:val="bottom"/>
            <w:shd w:val="clear" w:color="auto" w:fill="2B338D"/>
          </w:tcPr>
          <w:p>
            <w:pPr>
              <w:spacing w:after="0"/>
              <w:rPr>
                <w:sz w:val="17"/>
                <w:szCs w:val="17"/>
                <w:color w:val="auto"/>
              </w:rPr>
            </w:pPr>
          </w:p>
        </w:tc>
        <w:tc>
          <w:tcPr>
            <w:tcW w:w="620" w:type="dxa"/>
            <w:vAlign w:val="bottom"/>
            <w:shd w:val="clear" w:color="auto" w:fill="2B338D"/>
          </w:tcPr>
          <w:p>
            <w:pPr>
              <w:spacing w:after="0"/>
              <w:rPr>
                <w:sz w:val="17"/>
                <w:szCs w:val="17"/>
                <w:color w:val="auto"/>
              </w:rPr>
            </w:pPr>
          </w:p>
        </w:tc>
        <w:tc>
          <w:tcPr>
            <w:tcW w:w="2940" w:type="dxa"/>
            <w:vAlign w:val="bottom"/>
            <w:shd w:val="clear" w:color="auto" w:fill="2B338D"/>
          </w:tcPr>
          <w:p>
            <w:pPr>
              <w:spacing w:after="0"/>
              <w:rPr>
                <w:sz w:val="17"/>
                <w:szCs w:val="17"/>
                <w:color w:val="auto"/>
              </w:rPr>
            </w:pPr>
          </w:p>
        </w:tc>
        <w:tc>
          <w:tcPr>
            <w:tcW w:w="980" w:type="dxa"/>
            <w:vAlign w:val="bottom"/>
            <w:shd w:val="clear" w:color="auto" w:fill="2B338D"/>
          </w:tcPr>
          <w:p>
            <w:pPr>
              <w:jc w:val="center"/>
              <w:spacing w:after="0"/>
              <w:rPr>
                <w:sz w:val="20"/>
                <w:szCs w:val="20"/>
                <w:color w:val="auto"/>
              </w:rPr>
            </w:pPr>
            <w:r>
              <w:rPr>
                <w:rFonts w:ascii="Arial" w:cs="Arial" w:eastAsia="Arial" w:hAnsi="Arial"/>
                <w:sz w:val="16"/>
                <w:szCs w:val="16"/>
                <w:b w:val="1"/>
                <w:bCs w:val="1"/>
                <w:color w:val="FFFFFF"/>
              </w:rPr>
              <w:t>Director</w:t>
            </w:r>
          </w:p>
        </w:tc>
        <w:tc>
          <w:tcPr>
            <w:tcW w:w="1460" w:type="dxa"/>
            <w:vAlign w:val="bottom"/>
            <w:shd w:val="clear" w:color="auto" w:fill="2B338D"/>
          </w:tcPr>
          <w:p>
            <w:pPr>
              <w:jc w:val="center"/>
              <w:spacing w:after="0"/>
              <w:rPr>
                <w:sz w:val="20"/>
                <w:szCs w:val="20"/>
                <w:color w:val="auto"/>
              </w:rPr>
            </w:pPr>
            <w:r>
              <w:rPr>
                <w:rFonts w:ascii="Arial" w:cs="Arial" w:eastAsia="Arial" w:hAnsi="Arial"/>
                <w:sz w:val="16"/>
                <w:szCs w:val="16"/>
                <w:b w:val="1"/>
                <w:bCs w:val="1"/>
                <w:color w:val="FFFFFF"/>
                <w:w w:val="98"/>
              </w:rPr>
              <w:t>Current Term</w:t>
            </w:r>
          </w:p>
        </w:tc>
        <w:tc>
          <w:tcPr>
            <w:tcW w:w="2240" w:type="dxa"/>
            <w:vAlign w:val="bottom"/>
            <w:shd w:val="clear" w:color="auto" w:fill="2B338D"/>
          </w:tcPr>
          <w:p>
            <w:pPr>
              <w:jc w:val="center"/>
              <w:ind w:right="5"/>
              <w:spacing w:after="0"/>
              <w:rPr>
                <w:sz w:val="20"/>
                <w:szCs w:val="20"/>
                <w:color w:val="auto"/>
              </w:rPr>
            </w:pPr>
            <w:r>
              <w:rPr>
                <w:rFonts w:ascii="Arial" w:cs="Arial" w:eastAsia="Arial" w:hAnsi="Arial"/>
                <w:sz w:val="16"/>
                <w:szCs w:val="16"/>
                <w:b w:val="1"/>
                <w:bCs w:val="1"/>
                <w:color w:val="FFFFFF"/>
              </w:rPr>
              <w:t>Expiration of Term for</w:t>
            </w:r>
          </w:p>
        </w:tc>
        <w:tc>
          <w:tcPr>
            <w:tcW w:w="0" w:type="dxa"/>
            <w:vAlign w:val="bottom"/>
          </w:tcPr>
          <w:p>
            <w:pPr>
              <w:spacing w:after="0"/>
              <w:rPr>
                <w:sz w:val="1"/>
                <w:szCs w:val="1"/>
                <w:color w:val="auto"/>
              </w:rPr>
            </w:pPr>
          </w:p>
        </w:tc>
      </w:tr>
      <w:tr>
        <w:trPr>
          <w:trHeight w:val="215"/>
        </w:trPr>
        <w:tc>
          <w:tcPr>
            <w:tcW w:w="2360" w:type="dxa"/>
            <w:vAlign w:val="bottom"/>
            <w:shd w:val="clear" w:color="auto" w:fill="000000"/>
          </w:tcPr>
          <w:p>
            <w:pPr>
              <w:ind w:left="100"/>
              <w:spacing w:after="0"/>
              <w:rPr>
                <w:sz w:val="20"/>
                <w:szCs w:val="20"/>
                <w:color w:val="auto"/>
              </w:rPr>
            </w:pPr>
            <w:r>
              <w:rPr>
                <w:rFonts w:ascii="Arial" w:cs="Arial" w:eastAsia="Arial" w:hAnsi="Arial"/>
                <w:sz w:val="16"/>
                <w:szCs w:val="16"/>
                <w:b w:val="1"/>
                <w:bCs w:val="1"/>
                <w:color w:val="FFFFFF"/>
              </w:rPr>
              <w:t>Director Nominees</w:t>
            </w:r>
          </w:p>
        </w:tc>
        <w:tc>
          <w:tcPr>
            <w:tcW w:w="640" w:type="dxa"/>
            <w:vAlign w:val="bottom"/>
            <w:shd w:val="clear" w:color="auto" w:fill="2B338D"/>
          </w:tcPr>
          <w:p>
            <w:pPr>
              <w:jc w:val="center"/>
              <w:spacing w:after="0"/>
              <w:rPr>
                <w:sz w:val="20"/>
                <w:szCs w:val="20"/>
                <w:color w:val="auto"/>
              </w:rPr>
            </w:pPr>
            <w:r>
              <w:rPr>
                <w:rFonts w:ascii="Arial" w:cs="Arial" w:eastAsia="Arial" w:hAnsi="Arial"/>
                <w:sz w:val="16"/>
                <w:szCs w:val="16"/>
                <w:b w:val="1"/>
                <w:bCs w:val="1"/>
                <w:color w:val="FFFFFF"/>
                <w:w w:val="98"/>
              </w:rPr>
              <w:t>Class</w:t>
            </w:r>
          </w:p>
        </w:tc>
        <w:tc>
          <w:tcPr>
            <w:tcW w:w="620" w:type="dxa"/>
            <w:vAlign w:val="bottom"/>
            <w:shd w:val="clear" w:color="auto" w:fill="2B338D"/>
          </w:tcPr>
          <w:p>
            <w:pPr>
              <w:jc w:val="center"/>
              <w:spacing w:after="0"/>
              <w:rPr>
                <w:sz w:val="20"/>
                <w:szCs w:val="20"/>
                <w:color w:val="auto"/>
              </w:rPr>
            </w:pPr>
            <w:r>
              <w:rPr>
                <w:rFonts w:ascii="Arial" w:cs="Arial" w:eastAsia="Arial" w:hAnsi="Arial"/>
                <w:sz w:val="16"/>
                <w:szCs w:val="16"/>
                <w:b w:val="1"/>
                <w:bCs w:val="1"/>
                <w:color w:val="FFFFFF"/>
                <w:w w:val="99"/>
              </w:rPr>
              <w:t>Age</w:t>
            </w:r>
          </w:p>
        </w:tc>
        <w:tc>
          <w:tcPr>
            <w:tcW w:w="2940" w:type="dxa"/>
            <w:vAlign w:val="bottom"/>
            <w:shd w:val="clear" w:color="auto" w:fill="2B338D"/>
          </w:tcPr>
          <w:p>
            <w:pPr>
              <w:ind w:left="140"/>
              <w:spacing w:after="0"/>
              <w:rPr>
                <w:sz w:val="20"/>
                <w:szCs w:val="20"/>
                <w:color w:val="auto"/>
              </w:rPr>
            </w:pPr>
            <w:r>
              <w:rPr>
                <w:rFonts w:ascii="Arial" w:cs="Arial" w:eastAsia="Arial" w:hAnsi="Arial"/>
                <w:sz w:val="16"/>
                <w:szCs w:val="16"/>
                <w:b w:val="1"/>
                <w:bCs w:val="1"/>
                <w:color w:val="FFFFFF"/>
              </w:rPr>
              <w:t>Position</w:t>
            </w:r>
          </w:p>
        </w:tc>
        <w:tc>
          <w:tcPr>
            <w:tcW w:w="980" w:type="dxa"/>
            <w:vAlign w:val="bottom"/>
            <w:shd w:val="clear" w:color="auto" w:fill="2B338D"/>
          </w:tcPr>
          <w:p>
            <w:pPr>
              <w:jc w:val="center"/>
              <w:spacing w:after="0"/>
              <w:rPr>
                <w:sz w:val="20"/>
                <w:szCs w:val="20"/>
                <w:color w:val="auto"/>
              </w:rPr>
            </w:pPr>
            <w:r>
              <w:rPr>
                <w:rFonts w:ascii="Arial" w:cs="Arial" w:eastAsia="Arial" w:hAnsi="Arial"/>
                <w:sz w:val="16"/>
                <w:szCs w:val="16"/>
                <w:b w:val="1"/>
                <w:bCs w:val="1"/>
                <w:color w:val="FFFFFF"/>
              </w:rPr>
              <w:t>Since</w:t>
            </w:r>
          </w:p>
        </w:tc>
        <w:tc>
          <w:tcPr>
            <w:tcW w:w="1460" w:type="dxa"/>
            <w:vAlign w:val="bottom"/>
            <w:shd w:val="clear" w:color="auto" w:fill="2B338D"/>
          </w:tcPr>
          <w:p>
            <w:pPr>
              <w:jc w:val="center"/>
              <w:spacing w:after="0"/>
              <w:rPr>
                <w:sz w:val="20"/>
                <w:szCs w:val="20"/>
                <w:color w:val="auto"/>
              </w:rPr>
            </w:pPr>
            <w:r>
              <w:rPr>
                <w:rFonts w:ascii="Arial" w:cs="Arial" w:eastAsia="Arial" w:hAnsi="Arial"/>
                <w:sz w:val="16"/>
                <w:szCs w:val="16"/>
                <w:b w:val="1"/>
                <w:bCs w:val="1"/>
                <w:color w:val="FFFFFF"/>
              </w:rPr>
              <w:t>Expires</w:t>
            </w:r>
          </w:p>
        </w:tc>
        <w:tc>
          <w:tcPr>
            <w:tcW w:w="2240" w:type="dxa"/>
            <w:vAlign w:val="bottom"/>
            <w:shd w:val="clear" w:color="auto" w:fill="2B338D"/>
          </w:tcPr>
          <w:p>
            <w:pPr>
              <w:jc w:val="center"/>
              <w:spacing w:after="0"/>
              <w:rPr>
                <w:sz w:val="20"/>
                <w:szCs w:val="20"/>
                <w:color w:val="auto"/>
              </w:rPr>
            </w:pPr>
            <w:r>
              <w:rPr>
                <w:rFonts w:ascii="Arial" w:cs="Arial" w:eastAsia="Arial" w:hAnsi="Arial"/>
                <w:sz w:val="16"/>
                <w:szCs w:val="16"/>
                <w:b w:val="1"/>
                <w:bCs w:val="1"/>
                <w:color w:val="FFFFFF"/>
              </w:rPr>
              <w:t>Which Nominated</w:t>
            </w:r>
          </w:p>
        </w:tc>
        <w:tc>
          <w:tcPr>
            <w:tcW w:w="0" w:type="dxa"/>
            <w:vAlign w:val="bottom"/>
          </w:tcPr>
          <w:p>
            <w:pPr>
              <w:spacing w:after="0"/>
              <w:rPr>
                <w:sz w:val="1"/>
                <w:szCs w:val="1"/>
                <w:color w:val="auto"/>
              </w:rPr>
            </w:pPr>
          </w:p>
        </w:tc>
      </w:tr>
      <w:tr>
        <w:trPr>
          <w:trHeight w:val="73"/>
        </w:trPr>
        <w:tc>
          <w:tcPr>
            <w:tcW w:w="2360" w:type="dxa"/>
            <w:vAlign w:val="bottom"/>
            <w:shd w:val="clear" w:color="auto" w:fill="000000"/>
          </w:tcPr>
          <w:p>
            <w:pPr>
              <w:spacing w:after="0"/>
              <w:rPr>
                <w:sz w:val="6"/>
                <w:szCs w:val="6"/>
                <w:color w:val="auto"/>
              </w:rPr>
            </w:pPr>
          </w:p>
        </w:tc>
        <w:tc>
          <w:tcPr>
            <w:tcW w:w="640" w:type="dxa"/>
            <w:vAlign w:val="bottom"/>
            <w:shd w:val="clear" w:color="auto" w:fill="2B338D"/>
          </w:tcPr>
          <w:p>
            <w:pPr>
              <w:spacing w:after="0"/>
              <w:rPr>
                <w:sz w:val="6"/>
                <w:szCs w:val="6"/>
                <w:color w:val="auto"/>
              </w:rPr>
            </w:pPr>
          </w:p>
        </w:tc>
        <w:tc>
          <w:tcPr>
            <w:tcW w:w="620" w:type="dxa"/>
            <w:vAlign w:val="bottom"/>
            <w:shd w:val="clear" w:color="auto" w:fill="2B338D"/>
          </w:tcPr>
          <w:p>
            <w:pPr>
              <w:spacing w:after="0"/>
              <w:rPr>
                <w:sz w:val="6"/>
                <w:szCs w:val="6"/>
                <w:color w:val="auto"/>
              </w:rPr>
            </w:pPr>
          </w:p>
        </w:tc>
        <w:tc>
          <w:tcPr>
            <w:tcW w:w="2940" w:type="dxa"/>
            <w:vAlign w:val="bottom"/>
            <w:shd w:val="clear" w:color="auto" w:fill="2B338D"/>
          </w:tcPr>
          <w:p>
            <w:pPr>
              <w:spacing w:after="0"/>
              <w:rPr>
                <w:sz w:val="6"/>
                <w:szCs w:val="6"/>
                <w:color w:val="auto"/>
              </w:rPr>
            </w:pPr>
          </w:p>
        </w:tc>
        <w:tc>
          <w:tcPr>
            <w:tcW w:w="980" w:type="dxa"/>
            <w:vAlign w:val="bottom"/>
            <w:shd w:val="clear" w:color="auto" w:fill="2B338D"/>
          </w:tcPr>
          <w:p>
            <w:pPr>
              <w:spacing w:after="0"/>
              <w:rPr>
                <w:sz w:val="6"/>
                <w:szCs w:val="6"/>
                <w:color w:val="auto"/>
              </w:rPr>
            </w:pPr>
          </w:p>
        </w:tc>
        <w:tc>
          <w:tcPr>
            <w:tcW w:w="1460" w:type="dxa"/>
            <w:vAlign w:val="bottom"/>
            <w:shd w:val="clear" w:color="auto" w:fill="2B338D"/>
          </w:tcPr>
          <w:p>
            <w:pPr>
              <w:spacing w:after="0"/>
              <w:rPr>
                <w:sz w:val="6"/>
                <w:szCs w:val="6"/>
                <w:color w:val="auto"/>
              </w:rPr>
            </w:pPr>
          </w:p>
        </w:tc>
        <w:tc>
          <w:tcPr>
            <w:tcW w:w="2240" w:type="dxa"/>
            <w:vAlign w:val="bottom"/>
            <w:shd w:val="clear" w:color="auto" w:fill="2B338D"/>
          </w:tcPr>
          <w:p>
            <w:pPr>
              <w:spacing w:after="0"/>
              <w:rPr>
                <w:sz w:val="6"/>
                <w:szCs w:val="6"/>
                <w:color w:val="auto"/>
              </w:rPr>
            </w:pPr>
          </w:p>
        </w:tc>
        <w:tc>
          <w:tcPr>
            <w:tcW w:w="0" w:type="dxa"/>
            <w:vAlign w:val="bottom"/>
          </w:tcPr>
          <w:p>
            <w:pPr>
              <w:spacing w:after="0"/>
              <w:rPr>
                <w:sz w:val="1"/>
                <w:szCs w:val="1"/>
                <w:color w:val="auto"/>
              </w:rPr>
            </w:pPr>
          </w:p>
        </w:tc>
      </w:tr>
      <w:tr>
        <w:trPr>
          <w:trHeight w:val="231"/>
        </w:trPr>
        <w:tc>
          <w:tcPr>
            <w:tcW w:w="2360" w:type="dxa"/>
            <w:vAlign w:val="bottom"/>
          </w:tcPr>
          <w:p>
            <w:pPr>
              <w:ind w:left="100"/>
              <w:spacing w:after="0"/>
              <w:rPr>
                <w:sz w:val="20"/>
                <w:szCs w:val="20"/>
                <w:color w:val="auto"/>
              </w:rPr>
            </w:pPr>
            <w:r>
              <w:rPr>
                <w:rFonts w:ascii="Arial" w:cs="Arial" w:eastAsia="Arial" w:hAnsi="Arial"/>
                <w:sz w:val="14"/>
                <w:szCs w:val="14"/>
                <w:b w:val="1"/>
                <w:bCs w:val="1"/>
                <w:color w:val="auto"/>
              </w:rPr>
              <w:t>Karen Blasing</w:t>
            </w:r>
          </w:p>
        </w:tc>
        <w:tc>
          <w:tcPr>
            <w:tcW w:w="640" w:type="dxa"/>
            <w:vAlign w:val="bottom"/>
          </w:tcPr>
          <w:p>
            <w:pPr>
              <w:jc w:val="center"/>
              <w:spacing w:after="0"/>
              <w:rPr>
                <w:sz w:val="20"/>
                <w:szCs w:val="20"/>
                <w:color w:val="auto"/>
              </w:rPr>
            </w:pPr>
            <w:r>
              <w:rPr>
                <w:rFonts w:ascii="Arial" w:cs="Arial" w:eastAsia="Arial" w:hAnsi="Arial"/>
                <w:sz w:val="14"/>
                <w:szCs w:val="14"/>
                <w:color w:val="auto"/>
              </w:rPr>
              <w:t>I</w:t>
            </w:r>
          </w:p>
        </w:tc>
        <w:tc>
          <w:tcPr>
            <w:tcW w:w="620" w:type="dxa"/>
            <w:vAlign w:val="bottom"/>
          </w:tcPr>
          <w:p>
            <w:pPr>
              <w:jc w:val="center"/>
              <w:spacing w:after="0"/>
              <w:rPr>
                <w:sz w:val="20"/>
                <w:szCs w:val="20"/>
                <w:color w:val="auto"/>
              </w:rPr>
            </w:pPr>
            <w:r>
              <w:rPr>
                <w:rFonts w:ascii="Arial" w:cs="Arial" w:eastAsia="Arial" w:hAnsi="Arial"/>
                <w:sz w:val="14"/>
                <w:szCs w:val="14"/>
                <w:color w:val="auto"/>
              </w:rPr>
              <w:t>65</w:t>
            </w:r>
          </w:p>
        </w:tc>
        <w:tc>
          <w:tcPr>
            <w:tcW w:w="2940" w:type="dxa"/>
            <w:vAlign w:val="bottom"/>
          </w:tcPr>
          <w:p>
            <w:pPr>
              <w:ind w:left="140"/>
              <w:spacing w:after="0"/>
              <w:rPr>
                <w:sz w:val="20"/>
                <w:szCs w:val="20"/>
                <w:color w:val="auto"/>
              </w:rPr>
            </w:pPr>
            <w:r>
              <w:rPr>
                <w:rFonts w:ascii="Arial" w:cs="Arial" w:eastAsia="Arial" w:hAnsi="Arial"/>
                <w:sz w:val="14"/>
                <w:szCs w:val="14"/>
                <w:color w:val="auto"/>
              </w:rPr>
              <w:t>Director</w:t>
            </w:r>
          </w:p>
        </w:tc>
        <w:tc>
          <w:tcPr>
            <w:tcW w:w="980" w:type="dxa"/>
            <w:vAlign w:val="bottom"/>
          </w:tcPr>
          <w:p>
            <w:pPr>
              <w:jc w:val="center"/>
              <w:spacing w:after="0"/>
              <w:rPr>
                <w:sz w:val="20"/>
                <w:szCs w:val="20"/>
                <w:color w:val="auto"/>
              </w:rPr>
            </w:pPr>
            <w:r>
              <w:rPr>
                <w:rFonts w:ascii="Arial" w:cs="Arial" w:eastAsia="Arial" w:hAnsi="Arial"/>
                <w:sz w:val="14"/>
                <w:szCs w:val="14"/>
                <w:color w:val="auto"/>
              </w:rPr>
              <w:t>2017</w:t>
            </w:r>
          </w:p>
        </w:tc>
        <w:tc>
          <w:tcPr>
            <w:tcW w:w="1460" w:type="dxa"/>
            <w:vAlign w:val="bottom"/>
          </w:tcPr>
          <w:p>
            <w:pPr>
              <w:jc w:val="center"/>
              <w:spacing w:after="0"/>
              <w:rPr>
                <w:sz w:val="20"/>
                <w:szCs w:val="20"/>
                <w:color w:val="auto"/>
              </w:rPr>
            </w:pPr>
            <w:r>
              <w:rPr>
                <w:rFonts w:ascii="Arial" w:cs="Arial" w:eastAsia="Arial" w:hAnsi="Arial"/>
                <w:sz w:val="14"/>
                <w:szCs w:val="14"/>
                <w:color w:val="auto"/>
              </w:rPr>
              <w:t>2021</w:t>
            </w:r>
          </w:p>
        </w:tc>
        <w:tc>
          <w:tcPr>
            <w:tcW w:w="2240" w:type="dxa"/>
            <w:vAlign w:val="bottom"/>
          </w:tcPr>
          <w:p>
            <w:pPr>
              <w:jc w:val="center"/>
              <w:spacing w:after="0"/>
              <w:rPr>
                <w:sz w:val="20"/>
                <w:szCs w:val="20"/>
                <w:color w:val="auto"/>
              </w:rPr>
            </w:pPr>
            <w:r>
              <w:rPr>
                <w:rFonts w:ascii="Arial" w:cs="Arial" w:eastAsia="Arial" w:hAnsi="Arial"/>
                <w:sz w:val="14"/>
                <w:szCs w:val="14"/>
                <w:color w:val="auto"/>
              </w:rPr>
              <w:t>2024</w:t>
            </w:r>
          </w:p>
        </w:tc>
        <w:tc>
          <w:tcPr>
            <w:tcW w:w="0" w:type="dxa"/>
            <w:vAlign w:val="bottom"/>
          </w:tcPr>
          <w:p>
            <w:pPr>
              <w:spacing w:after="0"/>
              <w:rPr>
                <w:sz w:val="1"/>
                <w:szCs w:val="1"/>
                <w:color w:val="auto"/>
              </w:rPr>
            </w:pPr>
          </w:p>
        </w:tc>
      </w:tr>
      <w:tr>
        <w:trPr>
          <w:trHeight w:val="53"/>
        </w:trPr>
        <w:tc>
          <w:tcPr>
            <w:tcW w:w="23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9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2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2360" w:type="dxa"/>
            <w:vAlign w:val="bottom"/>
          </w:tcPr>
          <w:p>
            <w:pPr>
              <w:ind w:left="100"/>
              <w:spacing w:after="0"/>
              <w:rPr>
                <w:sz w:val="20"/>
                <w:szCs w:val="20"/>
                <w:color w:val="auto"/>
              </w:rPr>
            </w:pPr>
            <w:r>
              <w:rPr>
                <w:rFonts w:ascii="Arial" w:cs="Arial" w:eastAsia="Arial" w:hAnsi="Arial"/>
                <w:sz w:val="14"/>
                <w:szCs w:val="14"/>
                <w:b w:val="1"/>
                <w:bCs w:val="1"/>
                <w:color w:val="auto"/>
              </w:rPr>
              <w:t>Charles Giancarlo</w:t>
            </w:r>
          </w:p>
        </w:tc>
        <w:tc>
          <w:tcPr>
            <w:tcW w:w="640" w:type="dxa"/>
            <w:vAlign w:val="bottom"/>
          </w:tcPr>
          <w:p>
            <w:pPr>
              <w:jc w:val="center"/>
              <w:spacing w:after="0"/>
              <w:rPr>
                <w:sz w:val="20"/>
                <w:szCs w:val="20"/>
                <w:color w:val="auto"/>
              </w:rPr>
            </w:pPr>
            <w:r>
              <w:rPr>
                <w:rFonts w:ascii="Arial" w:cs="Arial" w:eastAsia="Arial" w:hAnsi="Arial"/>
                <w:sz w:val="14"/>
                <w:szCs w:val="14"/>
                <w:color w:val="auto"/>
              </w:rPr>
              <w:t>I</w:t>
            </w:r>
          </w:p>
        </w:tc>
        <w:tc>
          <w:tcPr>
            <w:tcW w:w="620" w:type="dxa"/>
            <w:vAlign w:val="bottom"/>
          </w:tcPr>
          <w:p>
            <w:pPr>
              <w:jc w:val="center"/>
              <w:spacing w:after="0"/>
              <w:rPr>
                <w:sz w:val="20"/>
                <w:szCs w:val="20"/>
                <w:color w:val="auto"/>
              </w:rPr>
            </w:pPr>
            <w:r>
              <w:rPr>
                <w:rFonts w:ascii="Arial" w:cs="Arial" w:eastAsia="Arial" w:hAnsi="Arial"/>
                <w:sz w:val="14"/>
                <w:szCs w:val="14"/>
                <w:color w:val="auto"/>
              </w:rPr>
              <w:t>63</w:t>
            </w:r>
          </w:p>
        </w:tc>
        <w:tc>
          <w:tcPr>
            <w:tcW w:w="2940" w:type="dxa"/>
            <w:vAlign w:val="bottom"/>
          </w:tcPr>
          <w:p>
            <w:pPr>
              <w:ind w:left="140"/>
              <w:spacing w:after="0"/>
              <w:rPr>
                <w:sz w:val="20"/>
                <w:szCs w:val="20"/>
                <w:color w:val="auto"/>
              </w:rPr>
            </w:pPr>
            <w:r>
              <w:rPr>
                <w:rFonts w:ascii="Arial" w:cs="Arial" w:eastAsia="Arial" w:hAnsi="Arial"/>
                <w:sz w:val="14"/>
                <w:szCs w:val="14"/>
                <w:color w:val="auto"/>
              </w:rPr>
              <w:t>Director</w:t>
            </w:r>
          </w:p>
        </w:tc>
        <w:tc>
          <w:tcPr>
            <w:tcW w:w="980" w:type="dxa"/>
            <w:vAlign w:val="bottom"/>
          </w:tcPr>
          <w:p>
            <w:pPr>
              <w:jc w:val="center"/>
              <w:spacing w:after="0"/>
              <w:rPr>
                <w:sz w:val="20"/>
                <w:szCs w:val="20"/>
                <w:color w:val="auto"/>
              </w:rPr>
            </w:pPr>
            <w:r>
              <w:rPr>
                <w:rFonts w:ascii="Arial" w:cs="Arial" w:eastAsia="Arial" w:hAnsi="Arial"/>
                <w:sz w:val="14"/>
                <w:szCs w:val="14"/>
                <w:color w:val="auto"/>
              </w:rPr>
              <w:t>2016</w:t>
            </w:r>
          </w:p>
        </w:tc>
        <w:tc>
          <w:tcPr>
            <w:tcW w:w="1460" w:type="dxa"/>
            <w:vAlign w:val="bottom"/>
          </w:tcPr>
          <w:p>
            <w:pPr>
              <w:jc w:val="center"/>
              <w:spacing w:after="0"/>
              <w:rPr>
                <w:sz w:val="20"/>
                <w:szCs w:val="20"/>
                <w:color w:val="auto"/>
              </w:rPr>
            </w:pPr>
            <w:r>
              <w:rPr>
                <w:rFonts w:ascii="Arial" w:cs="Arial" w:eastAsia="Arial" w:hAnsi="Arial"/>
                <w:sz w:val="14"/>
                <w:szCs w:val="14"/>
                <w:color w:val="auto"/>
              </w:rPr>
              <w:t>2021</w:t>
            </w:r>
          </w:p>
        </w:tc>
        <w:tc>
          <w:tcPr>
            <w:tcW w:w="2240" w:type="dxa"/>
            <w:vAlign w:val="bottom"/>
          </w:tcPr>
          <w:p>
            <w:pPr>
              <w:jc w:val="center"/>
              <w:spacing w:after="0"/>
              <w:rPr>
                <w:sz w:val="20"/>
                <w:szCs w:val="20"/>
                <w:color w:val="auto"/>
              </w:rPr>
            </w:pPr>
            <w:r>
              <w:rPr>
                <w:rFonts w:ascii="Arial" w:cs="Arial" w:eastAsia="Arial" w:hAnsi="Arial"/>
                <w:sz w:val="14"/>
                <w:szCs w:val="14"/>
                <w:color w:val="auto"/>
              </w:rPr>
              <w:t>2024</w:t>
            </w:r>
          </w:p>
        </w:tc>
        <w:tc>
          <w:tcPr>
            <w:tcW w:w="0" w:type="dxa"/>
            <w:vAlign w:val="bottom"/>
          </w:tcPr>
          <w:p>
            <w:pPr>
              <w:spacing w:after="0"/>
              <w:rPr>
                <w:sz w:val="1"/>
                <w:szCs w:val="1"/>
                <w:color w:val="auto"/>
              </w:rPr>
            </w:pPr>
          </w:p>
        </w:tc>
      </w:tr>
      <w:tr>
        <w:trPr>
          <w:trHeight w:val="53"/>
        </w:trPr>
        <w:tc>
          <w:tcPr>
            <w:tcW w:w="23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9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2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2360" w:type="dxa"/>
            <w:vAlign w:val="bottom"/>
          </w:tcPr>
          <w:p>
            <w:pPr>
              <w:ind w:left="100"/>
              <w:spacing w:after="0"/>
              <w:rPr>
                <w:sz w:val="20"/>
                <w:szCs w:val="20"/>
                <w:color w:val="auto"/>
              </w:rPr>
            </w:pPr>
            <w:r>
              <w:rPr>
                <w:rFonts w:ascii="Arial" w:cs="Arial" w:eastAsia="Arial" w:hAnsi="Arial"/>
                <w:sz w:val="14"/>
                <w:szCs w:val="14"/>
                <w:b w:val="1"/>
                <w:bCs w:val="1"/>
                <w:color w:val="auto"/>
              </w:rPr>
              <w:t>Eileen Naughton</w:t>
            </w:r>
          </w:p>
        </w:tc>
        <w:tc>
          <w:tcPr>
            <w:tcW w:w="640" w:type="dxa"/>
            <w:vAlign w:val="bottom"/>
          </w:tcPr>
          <w:p>
            <w:pPr>
              <w:jc w:val="center"/>
              <w:spacing w:after="0"/>
              <w:rPr>
                <w:sz w:val="20"/>
                <w:szCs w:val="20"/>
                <w:color w:val="auto"/>
              </w:rPr>
            </w:pPr>
            <w:r>
              <w:rPr>
                <w:rFonts w:ascii="Arial" w:cs="Arial" w:eastAsia="Arial" w:hAnsi="Arial"/>
                <w:sz w:val="14"/>
                <w:szCs w:val="14"/>
                <w:color w:val="auto"/>
              </w:rPr>
              <w:t>I</w:t>
            </w:r>
          </w:p>
        </w:tc>
        <w:tc>
          <w:tcPr>
            <w:tcW w:w="620" w:type="dxa"/>
            <w:vAlign w:val="bottom"/>
          </w:tcPr>
          <w:p>
            <w:pPr>
              <w:jc w:val="center"/>
              <w:spacing w:after="0"/>
              <w:rPr>
                <w:sz w:val="20"/>
                <w:szCs w:val="20"/>
                <w:color w:val="auto"/>
              </w:rPr>
            </w:pPr>
            <w:r>
              <w:rPr>
                <w:rFonts w:ascii="Arial" w:cs="Arial" w:eastAsia="Arial" w:hAnsi="Arial"/>
                <w:sz w:val="14"/>
                <w:szCs w:val="14"/>
                <w:color w:val="auto"/>
              </w:rPr>
              <w:t>64</w:t>
            </w:r>
          </w:p>
        </w:tc>
        <w:tc>
          <w:tcPr>
            <w:tcW w:w="2940" w:type="dxa"/>
            <w:vAlign w:val="bottom"/>
          </w:tcPr>
          <w:p>
            <w:pPr>
              <w:ind w:left="140"/>
              <w:spacing w:after="0"/>
              <w:rPr>
                <w:sz w:val="20"/>
                <w:szCs w:val="20"/>
                <w:color w:val="auto"/>
              </w:rPr>
            </w:pPr>
            <w:r>
              <w:rPr>
                <w:rFonts w:ascii="Arial" w:cs="Arial" w:eastAsia="Arial" w:hAnsi="Arial"/>
                <w:sz w:val="14"/>
                <w:szCs w:val="14"/>
                <w:color w:val="auto"/>
              </w:rPr>
              <w:t>Director</w:t>
            </w:r>
          </w:p>
        </w:tc>
        <w:tc>
          <w:tcPr>
            <w:tcW w:w="980" w:type="dxa"/>
            <w:vAlign w:val="bottom"/>
          </w:tcPr>
          <w:p>
            <w:pPr>
              <w:jc w:val="center"/>
              <w:spacing w:after="0"/>
              <w:rPr>
                <w:sz w:val="20"/>
                <w:szCs w:val="20"/>
                <w:color w:val="auto"/>
              </w:rPr>
            </w:pPr>
            <w:r>
              <w:rPr>
                <w:rFonts w:ascii="Arial" w:cs="Arial" w:eastAsia="Arial" w:hAnsi="Arial"/>
                <w:sz w:val="14"/>
                <w:szCs w:val="14"/>
                <w:color w:val="auto"/>
              </w:rPr>
              <w:t>2021</w:t>
            </w:r>
          </w:p>
        </w:tc>
        <w:tc>
          <w:tcPr>
            <w:tcW w:w="1460" w:type="dxa"/>
            <w:vAlign w:val="bottom"/>
          </w:tcPr>
          <w:p>
            <w:pPr>
              <w:jc w:val="center"/>
              <w:spacing w:after="0"/>
              <w:rPr>
                <w:sz w:val="20"/>
                <w:szCs w:val="20"/>
                <w:color w:val="auto"/>
              </w:rPr>
            </w:pPr>
            <w:r>
              <w:rPr>
                <w:rFonts w:ascii="Arial" w:cs="Arial" w:eastAsia="Arial" w:hAnsi="Arial"/>
                <w:sz w:val="14"/>
                <w:szCs w:val="14"/>
                <w:color w:val="auto"/>
              </w:rPr>
              <w:t>2021</w:t>
            </w:r>
          </w:p>
        </w:tc>
        <w:tc>
          <w:tcPr>
            <w:tcW w:w="2240" w:type="dxa"/>
            <w:vAlign w:val="bottom"/>
          </w:tcPr>
          <w:p>
            <w:pPr>
              <w:jc w:val="center"/>
              <w:spacing w:after="0"/>
              <w:rPr>
                <w:sz w:val="20"/>
                <w:szCs w:val="20"/>
                <w:color w:val="auto"/>
              </w:rPr>
            </w:pPr>
            <w:r>
              <w:rPr>
                <w:rFonts w:ascii="Arial" w:cs="Arial" w:eastAsia="Arial" w:hAnsi="Arial"/>
                <w:sz w:val="14"/>
                <w:szCs w:val="14"/>
                <w:color w:val="auto"/>
              </w:rPr>
              <w:t>2024</w:t>
            </w:r>
          </w:p>
        </w:tc>
        <w:tc>
          <w:tcPr>
            <w:tcW w:w="0" w:type="dxa"/>
            <w:vAlign w:val="bottom"/>
          </w:tcPr>
          <w:p>
            <w:pPr>
              <w:spacing w:after="0"/>
              <w:rPr>
                <w:sz w:val="1"/>
                <w:szCs w:val="1"/>
                <w:color w:val="auto"/>
              </w:rPr>
            </w:pPr>
          </w:p>
        </w:tc>
      </w:tr>
      <w:tr>
        <w:trPr>
          <w:trHeight w:val="53"/>
        </w:trPr>
        <w:tc>
          <w:tcPr>
            <w:tcW w:w="23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9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460" w:type="dxa"/>
            <w:vAlign w:val="bottom"/>
          </w:tcPr>
          <w:p>
            <w:pPr>
              <w:spacing w:after="0"/>
              <w:rPr>
                <w:sz w:val="4"/>
                <w:szCs w:val="4"/>
                <w:color w:val="auto"/>
              </w:rPr>
            </w:pPr>
          </w:p>
        </w:tc>
        <w:tc>
          <w:tcPr>
            <w:tcW w:w="2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8"/>
        </w:trPr>
        <w:tc>
          <w:tcPr>
            <w:tcW w:w="2360" w:type="dxa"/>
            <w:vAlign w:val="bottom"/>
            <w:shd w:val="clear" w:color="auto" w:fill="000000"/>
          </w:tcPr>
          <w:p>
            <w:pPr>
              <w:spacing w:after="0"/>
              <w:rPr>
                <w:sz w:val="17"/>
                <w:szCs w:val="17"/>
                <w:color w:val="auto"/>
              </w:rPr>
            </w:pPr>
          </w:p>
        </w:tc>
        <w:tc>
          <w:tcPr>
            <w:tcW w:w="640" w:type="dxa"/>
            <w:vAlign w:val="bottom"/>
            <w:shd w:val="clear" w:color="auto" w:fill="009ADA"/>
          </w:tcPr>
          <w:p>
            <w:pPr>
              <w:spacing w:after="0"/>
              <w:rPr>
                <w:sz w:val="17"/>
                <w:szCs w:val="17"/>
                <w:color w:val="auto"/>
              </w:rPr>
            </w:pPr>
          </w:p>
        </w:tc>
        <w:tc>
          <w:tcPr>
            <w:tcW w:w="620" w:type="dxa"/>
            <w:vAlign w:val="bottom"/>
            <w:shd w:val="clear" w:color="auto" w:fill="009ADA"/>
          </w:tcPr>
          <w:p>
            <w:pPr>
              <w:spacing w:after="0"/>
              <w:rPr>
                <w:sz w:val="17"/>
                <w:szCs w:val="17"/>
                <w:color w:val="auto"/>
              </w:rPr>
            </w:pPr>
          </w:p>
        </w:tc>
        <w:tc>
          <w:tcPr>
            <w:tcW w:w="2940" w:type="dxa"/>
            <w:vAlign w:val="bottom"/>
            <w:shd w:val="clear" w:color="auto" w:fill="009ADA"/>
          </w:tcPr>
          <w:p>
            <w:pPr>
              <w:spacing w:after="0"/>
              <w:rPr>
                <w:sz w:val="17"/>
                <w:szCs w:val="17"/>
                <w:color w:val="auto"/>
              </w:rPr>
            </w:pPr>
          </w:p>
        </w:tc>
        <w:tc>
          <w:tcPr>
            <w:tcW w:w="980" w:type="dxa"/>
            <w:vAlign w:val="bottom"/>
            <w:shd w:val="clear" w:color="auto" w:fill="009ADA"/>
          </w:tcPr>
          <w:p>
            <w:pPr>
              <w:jc w:val="center"/>
              <w:spacing w:after="0"/>
              <w:rPr>
                <w:sz w:val="20"/>
                <w:szCs w:val="20"/>
                <w:color w:val="auto"/>
              </w:rPr>
            </w:pPr>
            <w:r>
              <w:rPr>
                <w:rFonts w:ascii="Arial" w:cs="Arial" w:eastAsia="Arial" w:hAnsi="Arial"/>
                <w:sz w:val="16"/>
                <w:szCs w:val="16"/>
                <w:b w:val="1"/>
                <w:bCs w:val="1"/>
                <w:color w:val="FFFFFF"/>
              </w:rPr>
              <w:t>Director</w:t>
            </w:r>
          </w:p>
        </w:tc>
        <w:tc>
          <w:tcPr>
            <w:tcW w:w="1460" w:type="dxa"/>
            <w:vAlign w:val="bottom"/>
            <w:shd w:val="clear" w:color="auto" w:fill="009ADA"/>
          </w:tcPr>
          <w:p>
            <w:pPr>
              <w:jc w:val="center"/>
              <w:spacing w:after="0"/>
              <w:rPr>
                <w:sz w:val="20"/>
                <w:szCs w:val="20"/>
                <w:color w:val="auto"/>
              </w:rPr>
            </w:pPr>
            <w:r>
              <w:rPr>
                <w:rFonts w:ascii="Arial" w:cs="Arial" w:eastAsia="Arial" w:hAnsi="Arial"/>
                <w:sz w:val="16"/>
                <w:szCs w:val="16"/>
                <w:b w:val="1"/>
                <w:bCs w:val="1"/>
                <w:color w:val="FFFFFF"/>
                <w:w w:val="98"/>
              </w:rPr>
              <w:t>Current Term</w:t>
            </w:r>
          </w:p>
        </w:tc>
        <w:tc>
          <w:tcPr>
            <w:tcW w:w="2240" w:type="dxa"/>
            <w:vAlign w:val="bottom"/>
            <w:shd w:val="clear" w:color="auto" w:fill="009ADA"/>
          </w:tcPr>
          <w:p>
            <w:pPr>
              <w:jc w:val="center"/>
              <w:ind w:right="5"/>
              <w:spacing w:after="0"/>
              <w:rPr>
                <w:sz w:val="20"/>
                <w:szCs w:val="20"/>
                <w:color w:val="auto"/>
              </w:rPr>
            </w:pPr>
            <w:r>
              <w:rPr>
                <w:rFonts w:ascii="Arial" w:cs="Arial" w:eastAsia="Arial" w:hAnsi="Arial"/>
                <w:sz w:val="16"/>
                <w:szCs w:val="16"/>
                <w:b w:val="1"/>
                <w:bCs w:val="1"/>
                <w:color w:val="FFFFFF"/>
              </w:rPr>
              <w:t>Expiration of Term for</w:t>
            </w:r>
          </w:p>
        </w:tc>
        <w:tc>
          <w:tcPr>
            <w:tcW w:w="0" w:type="dxa"/>
            <w:vAlign w:val="bottom"/>
          </w:tcPr>
          <w:p>
            <w:pPr>
              <w:spacing w:after="0"/>
              <w:rPr>
                <w:sz w:val="1"/>
                <w:szCs w:val="1"/>
                <w:color w:val="auto"/>
              </w:rPr>
            </w:pPr>
          </w:p>
        </w:tc>
      </w:tr>
      <w:tr>
        <w:trPr>
          <w:trHeight w:val="215"/>
        </w:trPr>
        <w:tc>
          <w:tcPr>
            <w:tcW w:w="2360" w:type="dxa"/>
            <w:vAlign w:val="bottom"/>
            <w:shd w:val="clear" w:color="auto" w:fill="000000"/>
          </w:tcPr>
          <w:p>
            <w:pPr>
              <w:ind w:left="100"/>
              <w:spacing w:after="0"/>
              <w:rPr>
                <w:sz w:val="20"/>
                <w:szCs w:val="20"/>
                <w:color w:val="auto"/>
              </w:rPr>
            </w:pPr>
            <w:r>
              <w:rPr>
                <w:rFonts w:ascii="Arial" w:cs="Arial" w:eastAsia="Arial" w:hAnsi="Arial"/>
                <w:sz w:val="16"/>
                <w:szCs w:val="16"/>
                <w:b w:val="1"/>
                <w:bCs w:val="1"/>
                <w:color w:val="FFFFFF"/>
              </w:rPr>
              <w:t>Continuing Directors</w:t>
            </w:r>
          </w:p>
        </w:tc>
        <w:tc>
          <w:tcPr>
            <w:tcW w:w="640" w:type="dxa"/>
            <w:vAlign w:val="bottom"/>
            <w:shd w:val="clear" w:color="auto" w:fill="009ADA"/>
          </w:tcPr>
          <w:p>
            <w:pPr>
              <w:jc w:val="center"/>
              <w:spacing w:after="0"/>
              <w:rPr>
                <w:sz w:val="20"/>
                <w:szCs w:val="20"/>
                <w:color w:val="auto"/>
              </w:rPr>
            </w:pPr>
            <w:r>
              <w:rPr>
                <w:rFonts w:ascii="Arial" w:cs="Arial" w:eastAsia="Arial" w:hAnsi="Arial"/>
                <w:sz w:val="16"/>
                <w:szCs w:val="16"/>
                <w:b w:val="1"/>
                <w:bCs w:val="1"/>
                <w:color w:val="FFFFFF"/>
                <w:w w:val="98"/>
              </w:rPr>
              <w:t>Class</w:t>
            </w:r>
          </w:p>
        </w:tc>
        <w:tc>
          <w:tcPr>
            <w:tcW w:w="620" w:type="dxa"/>
            <w:vAlign w:val="bottom"/>
            <w:shd w:val="clear" w:color="auto" w:fill="009ADA"/>
          </w:tcPr>
          <w:p>
            <w:pPr>
              <w:jc w:val="center"/>
              <w:spacing w:after="0"/>
              <w:rPr>
                <w:sz w:val="20"/>
                <w:szCs w:val="20"/>
                <w:color w:val="auto"/>
              </w:rPr>
            </w:pPr>
            <w:r>
              <w:rPr>
                <w:rFonts w:ascii="Arial" w:cs="Arial" w:eastAsia="Arial" w:hAnsi="Arial"/>
                <w:sz w:val="16"/>
                <w:szCs w:val="16"/>
                <w:b w:val="1"/>
                <w:bCs w:val="1"/>
                <w:color w:val="FFFFFF"/>
                <w:w w:val="99"/>
              </w:rPr>
              <w:t>Age</w:t>
            </w:r>
          </w:p>
        </w:tc>
        <w:tc>
          <w:tcPr>
            <w:tcW w:w="2940" w:type="dxa"/>
            <w:vAlign w:val="bottom"/>
            <w:shd w:val="clear" w:color="auto" w:fill="009ADA"/>
          </w:tcPr>
          <w:p>
            <w:pPr>
              <w:ind w:left="140"/>
              <w:spacing w:after="0"/>
              <w:rPr>
                <w:sz w:val="20"/>
                <w:szCs w:val="20"/>
                <w:color w:val="auto"/>
              </w:rPr>
            </w:pPr>
            <w:r>
              <w:rPr>
                <w:rFonts w:ascii="Arial" w:cs="Arial" w:eastAsia="Arial" w:hAnsi="Arial"/>
                <w:sz w:val="16"/>
                <w:szCs w:val="16"/>
                <w:b w:val="1"/>
                <w:bCs w:val="1"/>
                <w:color w:val="FFFFFF"/>
              </w:rPr>
              <w:t>Position</w:t>
            </w:r>
          </w:p>
        </w:tc>
        <w:tc>
          <w:tcPr>
            <w:tcW w:w="980" w:type="dxa"/>
            <w:vAlign w:val="bottom"/>
            <w:shd w:val="clear" w:color="auto" w:fill="009ADA"/>
          </w:tcPr>
          <w:p>
            <w:pPr>
              <w:jc w:val="center"/>
              <w:spacing w:after="0"/>
              <w:rPr>
                <w:sz w:val="20"/>
                <w:szCs w:val="20"/>
                <w:color w:val="auto"/>
              </w:rPr>
            </w:pPr>
            <w:r>
              <w:rPr>
                <w:rFonts w:ascii="Arial" w:cs="Arial" w:eastAsia="Arial" w:hAnsi="Arial"/>
                <w:sz w:val="16"/>
                <w:szCs w:val="16"/>
                <w:b w:val="1"/>
                <w:bCs w:val="1"/>
                <w:color w:val="FFFFFF"/>
              </w:rPr>
              <w:t>Since</w:t>
            </w:r>
          </w:p>
        </w:tc>
        <w:tc>
          <w:tcPr>
            <w:tcW w:w="1460" w:type="dxa"/>
            <w:vAlign w:val="bottom"/>
            <w:shd w:val="clear" w:color="auto" w:fill="009ADA"/>
          </w:tcPr>
          <w:p>
            <w:pPr>
              <w:jc w:val="center"/>
              <w:spacing w:after="0"/>
              <w:rPr>
                <w:sz w:val="20"/>
                <w:szCs w:val="20"/>
                <w:color w:val="auto"/>
              </w:rPr>
            </w:pPr>
            <w:r>
              <w:rPr>
                <w:rFonts w:ascii="Arial" w:cs="Arial" w:eastAsia="Arial" w:hAnsi="Arial"/>
                <w:sz w:val="16"/>
                <w:szCs w:val="16"/>
                <w:b w:val="1"/>
                <w:bCs w:val="1"/>
                <w:color w:val="FFFFFF"/>
              </w:rPr>
              <w:t>Expires</w:t>
            </w:r>
          </w:p>
        </w:tc>
        <w:tc>
          <w:tcPr>
            <w:tcW w:w="2240" w:type="dxa"/>
            <w:vAlign w:val="bottom"/>
            <w:shd w:val="clear" w:color="auto" w:fill="009ADA"/>
          </w:tcPr>
          <w:p>
            <w:pPr>
              <w:jc w:val="center"/>
              <w:spacing w:after="0"/>
              <w:rPr>
                <w:sz w:val="20"/>
                <w:szCs w:val="20"/>
                <w:color w:val="auto"/>
              </w:rPr>
            </w:pPr>
            <w:r>
              <w:rPr>
                <w:rFonts w:ascii="Arial" w:cs="Arial" w:eastAsia="Arial" w:hAnsi="Arial"/>
                <w:sz w:val="16"/>
                <w:szCs w:val="16"/>
                <w:b w:val="1"/>
                <w:bCs w:val="1"/>
                <w:color w:val="FFFFFF"/>
              </w:rPr>
              <w:t>Which Nominated</w:t>
            </w:r>
          </w:p>
        </w:tc>
        <w:tc>
          <w:tcPr>
            <w:tcW w:w="0" w:type="dxa"/>
            <w:vAlign w:val="bottom"/>
          </w:tcPr>
          <w:p>
            <w:pPr>
              <w:spacing w:after="0"/>
              <w:rPr>
                <w:sz w:val="1"/>
                <w:szCs w:val="1"/>
                <w:color w:val="auto"/>
              </w:rPr>
            </w:pPr>
          </w:p>
        </w:tc>
      </w:tr>
      <w:tr>
        <w:trPr>
          <w:trHeight w:val="73"/>
        </w:trPr>
        <w:tc>
          <w:tcPr>
            <w:tcW w:w="2360" w:type="dxa"/>
            <w:vAlign w:val="bottom"/>
            <w:shd w:val="clear" w:color="auto" w:fill="000000"/>
          </w:tcPr>
          <w:p>
            <w:pPr>
              <w:spacing w:after="0"/>
              <w:rPr>
                <w:sz w:val="6"/>
                <w:szCs w:val="6"/>
                <w:color w:val="auto"/>
              </w:rPr>
            </w:pPr>
          </w:p>
        </w:tc>
        <w:tc>
          <w:tcPr>
            <w:tcW w:w="640" w:type="dxa"/>
            <w:vAlign w:val="bottom"/>
            <w:shd w:val="clear" w:color="auto" w:fill="009ADA"/>
          </w:tcPr>
          <w:p>
            <w:pPr>
              <w:spacing w:after="0"/>
              <w:rPr>
                <w:sz w:val="6"/>
                <w:szCs w:val="6"/>
                <w:color w:val="auto"/>
              </w:rPr>
            </w:pPr>
          </w:p>
        </w:tc>
        <w:tc>
          <w:tcPr>
            <w:tcW w:w="620" w:type="dxa"/>
            <w:vAlign w:val="bottom"/>
            <w:shd w:val="clear" w:color="auto" w:fill="009ADA"/>
          </w:tcPr>
          <w:p>
            <w:pPr>
              <w:spacing w:after="0"/>
              <w:rPr>
                <w:sz w:val="6"/>
                <w:szCs w:val="6"/>
                <w:color w:val="auto"/>
              </w:rPr>
            </w:pPr>
          </w:p>
        </w:tc>
        <w:tc>
          <w:tcPr>
            <w:tcW w:w="2940" w:type="dxa"/>
            <w:vAlign w:val="bottom"/>
            <w:shd w:val="clear" w:color="auto" w:fill="009ADA"/>
          </w:tcPr>
          <w:p>
            <w:pPr>
              <w:spacing w:after="0"/>
              <w:rPr>
                <w:sz w:val="6"/>
                <w:szCs w:val="6"/>
                <w:color w:val="auto"/>
              </w:rPr>
            </w:pPr>
          </w:p>
        </w:tc>
        <w:tc>
          <w:tcPr>
            <w:tcW w:w="980" w:type="dxa"/>
            <w:vAlign w:val="bottom"/>
            <w:shd w:val="clear" w:color="auto" w:fill="009ADA"/>
          </w:tcPr>
          <w:p>
            <w:pPr>
              <w:spacing w:after="0"/>
              <w:rPr>
                <w:sz w:val="6"/>
                <w:szCs w:val="6"/>
                <w:color w:val="auto"/>
              </w:rPr>
            </w:pPr>
          </w:p>
        </w:tc>
        <w:tc>
          <w:tcPr>
            <w:tcW w:w="1460" w:type="dxa"/>
            <w:vAlign w:val="bottom"/>
            <w:shd w:val="clear" w:color="auto" w:fill="009ADA"/>
          </w:tcPr>
          <w:p>
            <w:pPr>
              <w:spacing w:after="0"/>
              <w:rPr>
                <w:sz w:val="6"/>
                <w:szCs w:val="6"/>
                <w:color w:val="auto"/>
              </w:rPr>
            </w:pPr>
          </w:p>
        </w:tc>
        <w:tc>
          <w:tcPr>
            <w:tcW w:w="2240" w:type="dxa"/>
            <w:vAlign w:val="bottom"/>
            <w:shd w:val="clear" w:color="auto" w:fill="009ADA"/>
          </w:tcPr>
          <w:p>
            <w:pPr>
              <w:spacing w:after="0"/>
              <w:rPr>
                <w:sz w:val="6"/>
                <w:szCs w:val="6"/>
                <w:color w:val="auto"/>
              </w:rPr>
            </w:pPr>
          </w:p>
        </w:tc>
        <w:tc>
          <w:tcPr>
            <w:tcW w:w="0" w:type="dxa"/>
            <w:vAlign w:val="bottom"/>
          </w:tcPr>
          <w:p>
            <w:pPr>
              <w:spacing w:after="0"/>
              <w:rPr>
                <w:sz w:val="1"/>
                <w:szCs w:val="1"/>
                <w:color w:val="auto"/>
              </w:rPr>
            </w:pPr>
          </w:p>
        </w:tc>
      </w:tr>
      <w:tr>
        <w:trPr>
          <w:trHeight w:val="231"/>
        </w:trPr>
        <w:tc>
          <w:tcPr>
            <w:tcW w:w="2360" w:type="dxa"/>
            <w:vAlign w:val="bottom"/>
          </w:tcPr>
          <w:p>
            <w:pPr>
              <w:ind w:left="100"/>
              <w:spacing w:after="0"/>
              <w:rPr>
                <w:sz w:val="20"/>
                <w:szCs w:val="20"/>
                <w:color w:val="auto"/>
              </w:rPr>
            </w:pPr>
            <w:r>
              <w:rPr>
                <w:rFonts w:ascii="Arial" w:cs="Arial" w:eastAsia="Arial" w:hAnsi="Arial"/>
                <w:sz w:val="14"/>
                <w:szCs w:val="14"/>
                <w:b w:val="1"/>
                <w:bCs w:val="1"/>
                <w:color w:val="auto"/>
              </w:rPr>
              <w:t>Andrew Brown</w:t>
            </w:r>
          </w:p>
        </w:tc>
        <w:tc>
          <w:tcPr>
            <w:tcW w:w="640" w:type="dxa"/>
            <w:vAlign w:val="bottom"/>
          </w:tcPr>
          <w:p>
            <w:pPr>
              <w:jc w:val="center"/>
              <w:spacing w:after="0"/>
              <w:rPr>
                <w:sz w:val="20"/>
                <w:szCs w:val="20"/>
                <w:color w:val="auto"/>
              </w:rPr>
            </w:pPr>
            <w:r>
              <w:rPr>
                <w:rFonts w:ascii="Arial" w:cs="Arial" w:eastAsia="Arial" w:hAnsi="Arial"/>
                <w:sz w:val="14"/>
                <w:szCs w:val="14"/>
                <w:color w:val="auto"/>
              </w:rPr>
              <w:t>II</w:t>
            </w:r>
          </w:p>
        </w:tc>
        <w:tc>
          <w:tcPr>
            <w:tcW w:w="620" w:type="dxa"/>
            <w:vAlign w:val="bottom"/>
          </w:tcPr>
          <w:p>
            <w:pPr>
              <w:jc w:val="center"/>
              <w:spacing w:after="0"/>
              <w:rPr>
                <w:sz w:val="20"/>
                <w:szCs w:val="20"/>
                <w:color w:val="auto"/>
              </w:rPr>
            </w:pPr>
            <w:r>
              <w:rPr>
                <w:rFonts w:ascii="Arial" w:cs="Arial" w:eastAsia="Arial" w:hAnsi="Arial"/>
                <w:sz w:val="14"/>
                <w:szCs w:val="14"/>
                <w:color w:val="auto"/>
              </w:rPr>
              <w:t>58</w:t>
            </w:r>
          </w:p>
        </w:tc>
        <w:tc>
          <w:tcPr>
            <w:tcW w:w="2940" w:type="dxa"/>
            <w:vAlign w:val="bottom"/>
          </w:tcPr>
          <w:p>
            <w:pPr>
              <w:ind w:left="140"/>
              <w:spacing w:after="0"/>
              <w:rPr>
                <w:sz w:val="20"/>
                <w:szCs w:val="20"/>
                <w:color w:val="auto"/>
              </w:rPr>
            </w:pPr>
            <w:r>
              <w:rPr>
                <w:rFonts w:ascii="Arial" w:cs="Arial" w:eastAsia="Arial" w:hAnsi="Arial"/>
                <w:sz w:val="14"/>
                <w:szCs w:val="14"/>
                <w:color w:val="auto"/>
              </w:rPr>
              <w:t>Director</w:t>
            </w:r>
          </w:p>
        </w:tc>
        <w:tc>
          <w:tcPr>
            <w:tcW w:w="980" w:type="dxa"/>
            <w:vAlign w:val="bottom"/>
          </w:tcPr>
          <w:p>
            <w:pPr>
              <w:jc w:val="center"/>
              <w:spacing w:after="0"/>
              <w:rPr>
                <w:sz w:val="20"/>
                <w:szCs w:val="20"/>
                <w:color w:val="auto"/>
              </w:rPr>
            </w:pPr>
            <w:r>
              <w:rPr>
                <w:rFonts w:ascii="Arial" w:cs="Arial" w:eastAsia="Arial" w:hAnsi="Arial"/>
                <w:sz w:val="14"/>
                <w:szCs w:val="14"/>
                <w:color w:val="auto"/>
              </w:rPr>
              <w:t>2015</w:t>
            </w:r>
          </w:p>
        </w:tc>
        <w:tc>
          <w:tcPr>
            <w:tcW w:w="1460" w:type="dxa"/>
            <w:vAlign w:val="bottom"/>
          </w:tcPr>
          <w:p>
            <w:pPr>
              <w:jc w:val="center"/>
              <w:spacing w:after="0"/>
              <w:rPr>
                <w:sz w:val="20"/>
                <w:szCs w:val="20"/>
                <w:color w:val="auto"/>
              </w:rPr>
            </w:pPr>
            <w:r>
              <w:rPr>
                <w:rFonts w:ascii="Arial" w:cs="Arial" w:eastAsia="Arial" w:hAnsi="Arial"/>
                <w:sz w:val="14"/>
                <w:szCs w:val="14"/>
                <w:color w:val="auto"/>
              </w:rPr>
              <w:t>2022</w:t>
            </w:r>
          </w:p>
        </w:tc>
        <w:tc>
          <w:tcPr>
            <w:tcW w:w="224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3"/>
        </w:trPr>
        <w:tc>
          <w:tcPr>
            <w:tcW w:w="23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9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2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2360" w:type="dxa"/>
            <w:vAlign w:val="bottom"/>
          </w:tcPr>
          <w:p>
            <w:pPr>
              <w:ind w:left="100"/>
              <w:spacing w:after="0"/>
              <w:rPr>
                <w:sz w:val="20"/>
                <w:szCs w:val="20"/>
                <w:color w:val="auto"/>
              </w:rPr>
            </w:pPr>
            <w:r>
              <w:rPr>
                <w:rFonts w:ascii="Arial" w:cs="Arial" w:eastAsia="Arial" w:hAnsi="Arial"/>
                <w:sz w:val="14"/>
                <w:szCs w:val="14"/>
                <w:b w:val="1"/>
                <w:bCs w:val="1"/>
                <w:color w:val="auto"/>
              </w:rPr>
              <w:t>Scott Darling</w:t>
            </w:r>
          </w:p>
        </w:tc>
        <w:tc>
          <w:tcPr>
            <w:tcW w:w="640" w:type="dxa"/>
            <w:vAlign w:val="bottom"/>
          </w:tcPr>
          <w:p>
            <w:pPr>
              <w:jc w:val="center"/>
              <w:spacing w:after="0"/>
              <w:rPr>
                <w:sz w:val="20"/>
                <w:szCs w:val="20"/>
                <w:color w:val="auto"/>
              </w:rPr>
            </w:pPr>
            <w:r>
              <w:rPr>
                <w:rFonts w:ascii="Arial" w:cs="Arial" w:eastAsia="Arial" w:hAnsi="Arial"/>
                <w:sz w:val="14"/>
                <w:szCs w:val="14"/>
                <w:color w:val="auto"/>
              </w:rPr>
              <w:t>II</w:t>
            </w:r>
          </w:p>
        </w:tc>
        <w:tc>
          <w:tcPr>
            <w:tcW w:w="620" w:type="dxa"/>
            <w:vAlign w:val="bottom"/>
          </w:tcPr>
          <w:p>
            <w:pPr>
              <w:jc w:val="center"/>
              <w:spacing w:after="0"/>
              <w:rPr>
                <w:sz w:val="20"/>
                <w:szCs w:val="20"/>
                <w:color w:val="auto"/>
              </w:rPr>
            </w:pPr>
            <w:r>
              <w:rPr>
                <w:rFonts w:ascii="Arial" w:cs="Arial" w:eastAsia="Arial" w:hAnsi="Arial"/>
                <w:sz w:val="14"/>
                <w:szCs w:val="14"/>
                <w:color w:val="auto"/>
              </w:rPr>
              <w:t>65</w:t>
            </w:r>
          </w:p>
        </w:tc>
        <w:tc>
          <w:tcPr>
            <w:tcW w:w="2940" w:type="dxa"/>
            <w:vAlign w:val="bottom"/>
          </w:tcPr>
          <w:p>
            <w:pPr>
              <w:ind w:left="140"/>
              <w:spacing w:after="0"/>
              <w:rPr>
                <w:sz w:val="20"/>
                <w:szCs w:val="20"/>
                <w:color w:val="auto"/>
              </w:rPr>
            </w:pPr>
            <w:r>
              <w:rPr>
                <w:rFonts w:ascii="Arial" w:cs="Arial" w:eastAsia="Arial" w:hAnsi="Arial"/>
                <w:sz w:val="14"/>
                <w:szCs w:val="14"/>
                <w:color w:val="auto"/>
              </w:rPr>
              <w:t>Director</w:t>
            </w:r>
          </w:p>
        </w:tc>
        <w:tc>
          <w:tcPr>
            <w:tcW w:w="980" w:type="dxa"/>
            <w:vAlign w:val="bottom"/>
          </w:tcPr>
          <w:p>
            <w:pPr>
              <w:jc w:val="center"/>
              <w:spacing w:after="0"/>
              <w:rPr>
                <w:sz w:val="20"/>
                <w:szCs w:val="20"/>
                <w:color w:val="auto"/>
              </w:rPr>
            </w:pPr>
            <w:r>
              <w:rPr>
                <w:rFonts w:ascii="Arial" w:cs="Arial" w:eastAsia="Arial" w:hAnsi="Arial"/>
                <w:sz w:val="14"/>
                <w:szCs w:val="14"/>
                <w:color w:val="auto"/>
              </w:rPr>
              <w:t>2016</w:t>
            </w:r>
          </w:p>
        </w:tc>
        <w:tc>
          <w:tcPr>
            <w:tcW w:w="1460" w:type="dxa"/>
            <w:vAlign w:val="bottom"/>
          </w:tcPr>
          <w:p>
            <w:pPr>
              <w:jc w:val="center"/>
              <w:spacing w:after="0"/>
              <w:rPr>
                <w:sz w:val="20"/>
                <w:szCs w:val="20"/>
                <w:color w:val="auto"/>
              </w:rPr>
            </w:pPr>
            <w:r>
              <w:rPr>
                <w:rFonts w:ascii="Arial" w:cs="Arial" w:eastAsia="Arial" w:hAnsi="Arial"/>
                <w:sz w:val="14"/>
                <w:szCs w:val="14"/>
                <w:color w:val="auto"/>
              </w:rPr>
              <w:t>2022</w:t>
            </w:r>
          </w:p>
        </w:tc>
        <w:tc>
          <w:tcPr>
            <w:tcW w:w="224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3"/>
        </w:trPr>
        <w:tc>
          <w:tcPr>
            <w:tcW w:w="23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9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2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2360" w:type="dxa"/>
            <w:vAlign w:val="bottom"/>
          </w:tcPr>
          <w:p>
            <w:pPr>
              <w:ind w:left="100"/>
              <w:spacing w:after="0"/>
              <w:rPr>
                <w:sz w:val="20"/>
                <w:szCs w:val="20"/>
                <w:color w:val="auto"/>
              </w:rPr>
            </w:pPr>
            <w:r>
              <w:rPr>
                <w:rFonts w:ascii="Arial" w:cs="Arial" w:eastAsia="Arial" w:hAnsi="Arial"/>
                <w:sz w:val="14"/>
                <w:szCs w:val="14"/>
                <w:b w:val="1"/>
                <w:bCs w:val="1"/>
                <w:color w:val="auto"/>
              </w:rPr>
              <w:t>David Schneider</w:t>
            </w:r>
          </w:p>
        </w:tc>
        <w:tc>
          <w:tcPr>
            <w:tcW w:w="640" w:type="dxa"/>
            <w:vAlign w:val="bottom"/>
          </w:tcPr>
          <w:p>
            <w:pPr>
              <w:jc w:val="center"/>
              <w:spacing w:after="0"/>
              <w:rPr>
                <w:sz w:val="20"/>
                <w:szCs w:val="20"/>
                <w:color w:val="auto"/>
              </w:rPr>
            </w:pPr>
            <w:r>
              <w:rPr>
                <w:rFonts w:ascii="Arial" w:cs="Arial" w:eastAsia="Arial" w:hAnsi="Arial"/>
                <w:sz w:val="14"/>
                <w:szCs w:val="14"/>
                <w:color w:val="auto"/>
              </w:rPr>
              <w:t>II</w:t>
            </w:r>
          </w:p>
        </w:tc>
        <w:tc>
          <w:tcPr>
            <w:tcW w:w="620" w:type="dxa"/>
            <w:vAlign w:val="bottom"/>
          </w:tcPr>
          <w:p>
            <w:pPr>
              <w:jc w:val="center"/>
              <w:spacing w:after="0"/>
              <w:rPr>
                <w:sz w:val="20"/>
                <w:szCs w:val="20"/>
                <w:color w:val="auto"/>
              </w:rPr>
            </w:pPr>
            <w:r>
              <w:rPr>
                <w:rFonts w:ascii="Arial" w:cs="Arial" w:eastAsia="Arial" w:hAnsi="Arial"/>
                <w:sz w:val="14"/>
                <w:szCs w:val="14"/>
                <w:color w:val="auto"/>
              </w:rPr>
              <w:t>53</w:t>
            </w:r>
          </w:p>
        </w:tc>
        <w:tc>
          <w:tcPr>
            <w:tcW w:w="2940" w:type="dxa"/>
            <w:vAlign w:val="bottom"/>
          </w:tcPr>
          <w:p>
            <w:pPr>
              <w:ind w:left="140"/>
              <w:spacing w:after="0"/>
              <w:rPr>
                <w:sz w:val="20"/>
                <w:szCs w:val="20"/>
                <w:color w:val="auto"/>
              </w:rPr>
            </w:pPr>
            <w:r>
              <w:rPr>
                <w:rFonts w:ascii="Arial" w:cs="Arial" w:eastAsia="Arial" w:hAnsi="Arial"/>
                <w:sz w:val="14"/>
                <w:szCs w:val="14"/>
                <w:color w:val="auto"/>
              </w:rPr>
              <w:t>Director</w:t>
            </w:r>
          </w:p>
        </w:tc>
        <w:tc>
          <w:tcPr>
            <w:tcW w:w="980" w:type="dxa"/>
            <w:vAlign w:val="bottom"/>
          </w:tcPr>
          <w:p>
            <w:pPr>
              <w:jc w:val="center"/>
              <w:spacing w:after="0"/>
              <w:rPr>
                <w:sz w:val="20"/>
                <w:szCs w:val="20"/>
                <w:color w:val="auto"/>
              </w:rPr>
            </w:pPr>
            <w:r>
              <w:rPr>
                <w:rFonts w:ascii="Arial" w:cs="Arial" w:eastAsia="Arial" w:hAnsi="Arial"/>
                <w:sz w:val="14"/>
                <w:szCs w:val="14"/>
                <w:color w:val="auto"/>
              </w:rPr>
              <w:t>2019</w:t>
            </w:r>
          </w:p>
        </w:tc>
        <w:tc>
          <w:tcPr>
            <w:tcW w:w="1460" w:type="dxa"/>
            <w:vAlign w:val="bottom"/>
          </w:tcPr>
          <w:p>
            <w:pPr>
              <w:jc w:val="center"/>
              <w:spacing w:after="0"/>
              <w:rPr>
                <w:sz w:val="20"/>
                <w:szCs w:val="20"/>
                <w:color w:val="auto"/>
              </w:rPr>
            </w:pPr>
            <w:r>
              <w:rPr>
                <w:rFonts w:ascii="Arial" w:cs="Arial" w:eastAsia="Arial" w:hAnsi="Arial"/>
                <w:sz w:val="14"/>
                <w:szCs w:val="14"/>
                <w:color w:val="auto"/>
              </w:rPr>
              <w:t>2022</w:t>
            </w:r>
          </w:p>
        </w:tc>
        <w:tc>
          <w:tcPr>
            <w:tcW w:w="224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3"/>
        </w:trPr>
        <w:tc>
          <w:tcPr>
            <w:tcW w:w="23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9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2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8"/>
        </w:trPr>
        <w:tc>
          <w:tcPr>
            <w:tcW w:w="236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Jay Chaudhry</w:t>
            </w:r>
          </w:p>
        </w:tc>
        <w:tc>
          <w:tcPr>
            <w:tcW w:w="640" w:type="dxa"/>
            <w:vAlign w:val="bottom"/>
            <w:vMerge w:val="restart"/>
          </w:tcPr>
          <w:p>
            <w:pPr>
              <w:jc w:val="center"/>
              <w:spacing w:after="0"/>
              <w:rPr>
                <w:sz w:val="20"/>
                <w:szCs w:val="20"/>
                <w:color w:val="auto"/>
              </w:rPr>
            </w:pPr>
            <w:r>
              <w:rPr>
                <w:rFonts w:ascii="Arial" w:cs="Arial" w:eastAsia="Arial" w:hAnsi="Arial"/>
                <w:sz w:val="14"/>
                <w:szCs w:val="14"/>
                <w:color w:val="auto"/>
              </w:rPr>
              <w:t>III</w:t>
            </w:r>
          </w:p>
        </w:tc>
        <w:tc>
          <w:tcPr>
            <w:tcW w:w="620" w:type="dxa"/>
            <w:vAlign w:val="bottom"/>
            <w:vMerge w:val="restart"/>
          </w:tcPr>
          <w:p>
            <w:pPr>
              <w:jc w:val="center"/>
              <w:spacing w:after="0"/>
              <w:rPr>
                <w:sz w:val="20"/>
                <w:szCs w:val="20"/>
                <w:color w:val="auto"/>
              </w:rPr>
            </w:pPr>
            <w:r>
              <w:rPr>
                <w:rFonts w:ascii="Arial" w:cs="Arial" w:eastAsia="Arial" w:hAnsi="Arial"/>
                <w:sz w:val="14"/>
                <w:szCs w:val="14"/>
                <w:color w:val="auto"/>
              </w:rPr>
              <w:t>63</w:t>
            </w:r>
          </w:p>
        </w:tc>
        <w:tc>
          <w:tcPr>
            <w:tcW w:w="2940" w:type="dxa"/>
            <w:vAlign w:val="bottom"/>
          </w:tcPr>
          <w:p>
            <w:pPr>
              <w:ind w:left="140"/>
              <w:spacing w:after="0"/>
              <w:rPr>
                <w:sz w:val="20"/>
                <w:szCs w:val="20"/>
                <w:color w:val="auto"/>
              </w:rPr>
            </w:pPr>
            <w:r>
              <w:rPr>
                <w:rFonts w:ascii="Arial" w:cs="Arial" w:eastAsia="Arial" w:hAnsi="Arial"/>
                <w:sz w:val="14"/>
                <w:szCs w:val="14"/>
                <w:color w:val="auto"/>
              </w:rPr>
              <w:t>President, Chief Executive Officer and</w:t>
            </w:r>
          </w:p>
        </w:tc>
        <w:tc>
          <w:tcPr>
            <w:tcW w:w="980" w:type="dxa"/>
            <w:vAlign w:val="bottom"/>
            <w:vMerge w:val="restart"/>
          </w:tcPr>
          <w:p>
            <w:pPr>
              <w:jc w:val="center"/>
              <w:spacing w:after="0"/>
              <w:rPr>
                <w:sz w:val="20"/>
                <w:szCs w:val="20"/>
                <w:color w:val="auto"/>
              </w:rPr>
            </w:pPr>
            <w:r>
              <w:rPr>
                <w:rFonts w:ascii="Arial" w:cs="Arial" w:eastAsia="Arial" w:hAnsi="Arial"/>
                <w:sz w:val="14"/>
                <w:szCs w:val="14"/>
                <w:color w:val="auto"/>
              </w:rPr>
              <w:t>2007</w:t>
            </w:r>
          </w:p>
        </w:tc>
        <w:tc>
          <w:tcPr>
            <w:tcW w:w="1460" w:type="dxa"/>
            <w:vAlign w:val="bottom"/>
            <w:vMerge w:val="restart"/>
          </w:tcPr>
          <w:p>
            <w:pPr>
              <w:jc w:val="center"/>
              <w:spacing w:after="0"/>
              <w:rPr>
                <w:sz w:val="20"/>
                <w:szCs w:val="20"/>
                <w:color w:val="auto"/>
              </w:rPr>
            </w:pPr>
            <w:r>
              <w:rPr>
                <w:rFonts w:ascii="Arial" w:cs="Arial" w:eastAsia="Arial" w:hAnsi="Arial"/>
                <w:sz w:val="14"/>
                <w:szCs w:val="14"/>
                <w:color w:val="auto"/>
              </w:rPr>
              <w:t>2023</w:t>
            </w:r>
          </w:p>
        </w:tc>
        <w:tc>
          <w:tcPr>
            <w:tcW w:w="224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1"/>
        </w:trPr>
        <w:tc>
          <w:tcPr>
            <w:tcW w:w="236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2940" w:type="dxa"/>
            <w:vAlign w:val="bottom"/>
            <w:vMerge w:val="restart"/>
          </w:tcPr>
          <w:p>
            <w:pPr>
              <w:ind w:left="140"/>
              <w:spacing w:after="0"/>
              <w:rPr>
                <w:sz w:val="20"/>
                <w:szCs w:val="20"/>
                <w:color w:val="auto"/>
              </w:rPr>
            </w:pPr>
            <w:r>
              <w:rPr>
                <w:rFonts w:ascii="Arial" w:cs="Arial" w:eastAsia="Arial" w:hAnsi="Arial"/>
                <w:sz w:val="14"/>
                <w:szCs w:val="14"/>
                <w:color w:val="auto"/>
              </w:rPr>
              <w:t>Chairman of the Board</w:t>
            </w:r>
          </w:p>
        </w:tc>
        <w:tc>
          <w:tcPr>
            <w:tcW w:w="980" w:type="dxa"/>
            <w:vAlign w:val="bottom"/>
            <w:vMerge w:val="continue"/>
          </w:tcPr>
          <w:p>
            <w:pPr>
              <w:spacing w:after="0"/>
              <w:rPr>
                <w:sz w:val="7"/>
                <w:szCs w:val="7"/>
                <w:color w:val="auto"/>
              </w:rPr>
            </w:pPr>
          </w:p>
        </w:tc>
        <w:tc>
          <w:tcPr>
            <w:tcW w:w="1460" w:type="dxa"/>
            <w:vAlign w:val="bottom"/>
            <w:vMerge w:val="continue"/>
          </w:tcPr>
          <w:p>
            <w:pPr>
              <w:spacing w:after="0"/>
              <w:rPr>
                <w:sz w:val="7"/>
                <w:szCs w:val="7"/>
                <w:color w:val="auto"/>
              </w:rPr>
            </w:pPr>
          </w:p>
        </w:tc>
        <w:tc>
          <w:tcPr>
            <w:tcW w:w="22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23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94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1460" w:type="dxa"/>
            <w:vAlign w:val="bottom"/>
          </w:tcPr>
          <w:p>
            <w:pPr>
              <w:spacing w:after="0"/>
              <w:rPr>
                <w:sz w:val="8"/>
                <w:szCs w:val="8"/>
                <w:color w:val="auto"/>
              </w:rPr>
            </w:pPr>
          </w:p>
        </w:tc>
        <w:tc>
          <w:tcPr>
            <w:tcW w:w="2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
        </w:trPr>
        <w:tc>
          <w:tcPr>
            <w:tcW w:w="23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236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Amit Sinha, Ph.D.</w:t>
            </w: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940" w:type="dxa"/>
            <w:vAlign w:val="bottom"/>
          </w:tcPr>
          <w:p>
            <w:pPr>
              <w:ind w:left="140"/>
              <w:spacing w:after="0"/>
              <w:rPr>
                <w:sz w:val="20"/>
                <w:szCs w:val="20"/>
                <w:color w:val="auto"/>
              </w:rPr>
            </w:pPr>
            <w:r>
              <w:rPr>
                <w:rFonts w:ascii="Arial" w:cs="Arial" w:eastAsia="Arial" w:hAnsi="Arial"/>
                <w:sz w:val="14"/>
                <w:szCs w:val="14"/>
                <w:color w:val="auto"/>
              </w:rPr>
              <w:t>President of Research and Development,</w:t>
            </w:r>
          </w:p>
        </w:tc>
        <w:tc>
          <w:tcPr>
            <w:tcW w:w="9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360" w:type="dxa"/>
            <w:vAlign w:val="bottom"/>
            <w:vMerge w:val="continue"/>
          </w:tcPr>
          <w:p>
            <w:pPr>
              <w:spacing w:after="0"/>
              <w:rPr>
                <w:sz w:val="15"/>
                <w:szCs w:val="15"/>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rPr>
              <w:t>III</w:t>
            </w:r>
          </w:p>
        </w:tc>
        <w:tc>
          <w:tcPr>
            <w:tcW w:w="620" w:type="dxa"/>
            <w:vAlign w:val="bottom"/>
          </w:tcPr>
          <w:p>
            <w:pPr>
              <w:jc w:val="center"/>
              <w:spacing w:after="0"/>
              <w:rPr>
                <w:sz w:val="20"/>
                <w:szCs w:val="20"/>
                <w:color w:val="auto"/>
              </w:rPr>
            </w:pPr>
            <w:r>
              <w:rPr>
                <w:rFonts w:ascii="Arial" w:cs="Arial" w:eastAsia="Arial" w:hAnsi="Arial"/>
                <w:sz w:val="14"/>
                <w:szCs w:val="14"/>
                <w:color w:val="auto"/>
              </w:rPr>
              <w:t>45</w:t>
            </w:r>
          </w:p>
        </w:tc>
        <w:tc>
          <w:tcPr>
            <w:tcW w:w="2940" w:type="dxa"/>
            <w:vAlign w:val="bottom"/>
          </w:tcPr>
          <w:p>
            <w:pPr>
              <w:ind w:left="140"/>
              <w:spacing w:after="0"/>
              <w:rPr>
                <w:sz w:val="20"/>
                <w:szCs w:val="20"/>
                <w:color w:val="auto"/>
              </w:rPr>
            </w:pPr>
            <w:r>
              <w:rPr>
                <w:rFonts w:ascii="Arial" w:cs="Arial" w:eastAsia="Arial" w:hAnsi="Arial"/>
                <w:sz w:val="14"/>
                <w:szCs w:val="14"/>
                <w:color w:val="auto"/>
              </w:rPr>
              <w:t>Operations and Customer Service, Chief</w:t>
            </w:r>
          </w:p>
        </w:tc>
        <w:tc>
          <w:tcPr>
            <w:tcW w:w="980" w:type="dxa"/>
            <w:vAlign w:val="bottom"/>
          </w:tcPr>
          <w:p>
            <w:pPr>
              <w:jc w:val="center"/>
              <w:spacing w:after="0"/>
              <w:rPr>
                <w:sz w:val="20"/>
                <w:szCs w:val="20"/>
                <w:color w:val="auto"/>
              </w:rPr>
            </w:pPr>
            <w:r>
              <w:rPr>
                <w:rFonts w:ascii="Arial" w:cs="Arial" w:eastAsia="Arial" w:hAnsi="Arial"/>
                <w:sz w:val="14"/>
                <w:szCs w:val="14"/>
                <w:color w:val="auto"/>
              </w:rPr>
              <w:t>2017</w:t>
            </w:r>
          </w:p>
        </w:tc>
        <w:tc>
          <w:tcPr>
            <w:tcW w:w="1460" w:type="dxa"/>
            <w:vAlign w:val="bottom"/>
          </w:tcPr>
          <w:p>
            <w:pPr>
              <w:jc w:val="center"/>
              <w:spacing w:after="0"/>
              <w:rPr>
                <w:sz w:val="20"/>
                <w:szCs w:val="20"/>
                <w:color w:val="auto"/>
              </w:rPr>
            </w:pPr>
            <w:r>
              <w:rPr>
                <w:rFonts w:ascii="Arial" w:cs="Arial" w:eastAsia="Arial" w:hAnsi="Arial"/>
                <w:sz w:val="14"/>
                <w:szCs w:val="14"/>
                <w:color w:val="auto"/>
              </w:rPr>
              <w:t>2023</w:t>
            </w:r>
          </w:p>
        </w:tc>
        <w:tc>
          <w:tcPr>
            <w:tcW w:w="224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2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940" w:type="dxa"/>
            <w:vAlign w:val="bottom"/>
          </w:tcPr>
          <w:p>
            <w:pPr>
              <w:ind w:left="140"/>
              <w:spacing w:after="0"/>
              <w:rPr>
                <w:sz w:val="20"/>
                <w:szCs w:val="20"/>
                <w:color w:val="auto"/>
              </w:rPr>
            </w:pPr>
            <w:r>
              <w:rPr>
                <w:rFonts w:ascii="Arial" w:cs="Arial" w:eastAsia="Arial" w:hAnsi="Arial"/>
                <w:sz w:val="14"/>
                <w:szCs w:val="14"/>
                <w:color w:val="auto"/>
              </w:rPr>
              <w:t>Technology Officer and Director</w:t>
            </w:r>
          </w:p>
        </w:tc>
        <w:tc>
          <w:tcPr>
            <w:tcW w:w="9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23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5688330</wp:posOffset>
            </wp:positionH>
            <wp:positionV relativeFrom="paragraph">
              <wp:posOffset>-1516380</wp:posOffset>
            </wp:positionV>
            <wp:extent cx="8255" cy="3086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255" cy="30861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-1516380</wp:posOffset>
            </wp:positionV>
            <wp:extent cx="8890" cy="3086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890" cy="30861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-1516380</wp:posOffset>
            </wp:positionV>
            <wp:extent cx="8255" cy="3086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255" cy="308610"/>
                    </a:xfrm>
                    <a:prstGeom prst="rect">
                      <a:avLst/>
                    </a:prstGeom>
                    <a:noFill/>
                  </pic:spPr>
                </pic:pic>
              </a:graphicData>
            </a:graphic>
          </wp:anchor>
        </w:drawing>
        <w:drawing>
          <wp:anchor simplePos="0" relativeHeight="251657728" behindDoc="1" locked="0" layoutInCell="0" allowOverlap="1">
            <wp:simplePos x="0" y="0"/>
            <wp:positionH relativeFrom="column">
              <wp:posOffset>2319655</wp:posOffset>
            </wp:positionH>
            <wp:positionV relativeFrom="paragraph">
              <wp:posOffset>-1516380</wp:posOffset>
            </wp:positionV>
            <wp:extent cx="8890" cy="3086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890" cy="308610"/>
                    </a:xfrm>
                    <a:prstGeom prst="rect">
                      <a:avLst/>
                    </a:prstGeom>
                    <a:noFill/>
                  </pic:spPr>
                </pic:pic>
              </a:graphicData>
            </a:graphic>
          </wp:anchor>
        </w:drawing>
        <w:drawing>
          <wp:anchor simplePos="0" relativeHeight="251657728" behindDoc="1" locked="0" layoutInCell="0" allowOverlap="1">
            <wp:simplePos x="0" y="0"/>
            <wp:positionH relativeFrom="column">
              <wp:posOffset>1908175</wp:posOffset>
            </wp:positionH>
            <wp:positionV relativeFrom="paragraph">
              <wp:posOffset>-1516380</wp:posOffset>
            </wp:positionV>
            <wp:extent cx="8890" cy="3086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890" cy="308610"/>
                    </a:xfrm>
                    <a:prstGeom prst="rect">
                      <a:avLst/>
                    </a:prstGeom>
                    <a:noFill/>
                  </pic:spPr>
                </pic:pic>
              </a:graphicData>
            </a:graphic>
          </wp:anchor>
        </w:drawing>
        <w:drawing>
          <wp:anchor simplePos="0" relativeHeight="251657728" behindDoc="1" locked="0" layoutInCell="0" allowOverlap="1">
            <wp:simplePos x="0" y="0"/>
            <wp:positionH relativeFrom="column">
              <wp:posOffset>1496695</wp:posOffset>
            </wp:positionH>
            <wp:positionV relativeFrom="paragraph">
              <wp:posOffset>-1516380</wp:posOffset>
            </wp:positionV>
            <wp:extent cx="8255" cy="3086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255" cy="308610"/>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22"/>
          <w:szCs w:val="22"/>
          <w:b w:val="1"/>
          <w:bCs w:val="1"/>
          <w:color w:val="009ADA"/>
        </w:rPr>
        <w:t>Board Diversity</w:t>
      </w:r>
    </w:p>
    <w:p>
      <w:pPr>
        <w:spacing w:after="0" w:line="247" w:lineRule="exact"/>
        <w:rPr>
          <w:sz w:val="20"/>
          <w:szCs w:val="20"/>
          <w:color w:val="auto"/>
        </w:rPr>
      </w:pPr>
    </w:p>
    <w:p>
      <w:pPr>
        <w:ind w:left="20"/>
        <w:spacing w:after="0"/>
        <w:tabs>
          <w:tab w:leader="none" w:pos="2360" w:val="left"/>
          <w:tab w:leader="none" w:pos="4700" w:val="left"/>
          <w:tab w:leader="none" w:pos="7060" w:val="left"/>
        </w:tabs>
        <w:rPr>
          <w:sz w:val="20"/>
          <w:szCs w:val="20"/>
          <w:color w:val="auto"/>
        </w:rPr>
      </w:pPr>
      <w:r>
        <w:rPr>
          <w:rFonts w:ascii="Arial" w:cs="Arial" w:eastAsia="Arial" w:hAnsi="Arial"/>
          <w:sz w:val="16"/>
          <w:szCs w:val="16"/>
          <w:b w:val="1"/>
          <w:bCs w:val="1"/>
          <w:color w:val="auto"/>
        </w:rPr>
        <w:t>Independence</w:t>
      </w:r>
      <w:r>
        <w:rPr>
          <w:sz w:val="20"/>
          <w:szCs w:val="20"/>
          <w:color w:val="auto"/>
        </w:rPr>
        <w:tab/>
      </w:r>
      <w:r>
        <w:rPr>
          <w:rFonts w:ascii="Arial" w:cs="Arial" w:eastAsia="Arial" w:hAnsi="Arial"/>
          <w:sz w:val="16"/>
          <w:szCs w:val="16"/>
          <w:b w:val="1"/>
          <w:bCs w:val="1"/>
          <w:color w:val="auto"/>
        </w:rPr>
        <w:t>Tenure</w:t>
      </w:r>
      <w:r>
        <w:rPr>
          <w:sz w:val="20"/>
          <w:szCs w:val="20"/>
          <w:color w:val="auto"/>
        </w:rPr>
        <w:tab/>
      </w:r>
      <w:r>
        <w:rPr>
          <w:rFonts w:ascii="Arial" w:cs="Arial" w:eastAsia="Arial" w:hAnsi="Arial"/>
          <w:sz w:val="16"/>
          <w:szCs w:val="16"/>
          <w:b w:val="1"/>
          <w:bCs w:val="1"/>
          <w:color w:val="auto"/>
        </w:rPr>
        <w:t>Age</w:t>
      </w:r>
      <w:r>
        <w:rPr>
          <w:sz w:val="20"/>
          <w:szCs w:val="20"/>
          <w:color w:val="auto"/>
        </w:rPr>
        <w:tab/>
      </w:r>
      <w:r>
        <w:rPr>
          <w:rFonts w:ascii="Arial" w:cs="Arial" w:eastAsia="Arial" w:hAnsi="Arial"/>
          <w:sz w:val="15"/>
          <w:szCs w:val="15"/>
          <w:b w:val="1"/>
          <w:bCs w:val="1"/>
          <w:color w:val="auto"/>
        </w:rPr>
        <w:t>Gender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5932170" cy="17145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932170" cy="171450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2303780</wp:posOffset>
            </wp:positionV>
            <wp:extent cx="342900" cy="2146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0"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5580"/>
        <w:spacing w:after="0"/>
        <w:tabs>
          <w:tab w:leader="none" w:pos="9780" w:val="left"/>
        </w:tabs>
        <w:rPr>
          <w:sz w:val="20"/>
          <w:szCs w:val="20"/>
          <w:color w:val="auto"/>
        </w:rPr>
      </w:pPr>
      <w:r>
        <w:rPr>
          <w:rFonts w:ascii="Arial" w:cs="Arial" w:eastAsia="Arial" w:hAnsi="Arial"/>
          <w:sz w:val="29"/>
          <w:szCs w:val="29"/>
          <w:color w:val="auto"/>
          <w:vertAlign w:val="superscript"/>
        </w:rPr>
        <w:t>3</w:t>
      </w:r>
      <w:r>
        <w:rPr>
          <w:sz w:val="20"/>
          <w:szCs w:val="20"/>
          <w:color w:val="auto"/>
        </w:rPr>
        <w:tab/>
      </w:r>
      <w:r>
        <w:rPr>
          <w:rFonts w:ascii="Arial" w:cs="Arial" w:eastAsia="Arial" w:hAnsi="Arial"/>
          <w:sz w:val="14"/>
          <w:szCs w:val="14"/>
          <w:color w:val="auto"/>
        </w:rPr>
        <w:t>2021 Proxy Statement</w:t>
      </w:r>
    </w:p>
    <w:p>
      <w:pPr>
        <w:sectPr>
          <w:pgSz w:w="11900" w:h="16838" w:orient="portrait"/>
          <w:cols w:equalWidth="0" w:num="1">
            <w:col w:w="11240"/>
          </w:cols>
          <w:pgMar w:left="320" w:top="172" w:right="339" w:bottom="1440" w:gutter="0" w:footer="0" w:header="0"/>
        </w:sectPr>
      </w:pPr>
    </w:p>
    <w:bookmarkStart w:id="7" w:name="page8"/>
    <w:bookmarkEnd w:id="7"/>
    <w:p>
      <w:pPr>
        <w:ind w:left="280"/>
        <w:spacing w:after="0"/>
        <w:rPr>
          <w:sz w:val="20"/>
          <w:szCs w:val="20"/>
          <w:color w:val="auto"/>
        </w:rPr>
      </w:pPr>
      <w:r>
        <w:rPr>
          <w:rFonts w:ascii="Arial" w:cs="Arial" w:eastAsia="Arial" w:hAnsi="Arial"/>
          <w:sz w:val="13"/>
          <w:szCs w:val="13"/>
          <w:b w:val="1"/>
          <w:bCs w:val="1"/>
          <w:color w:val="929292"/>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7470" cy="596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7470" cy="59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b w:val="1"/>
          <w:bCs w:val="1"/>
          <w:color w:val="009ADA"/>
        </w:rPr>
        <w:t>Executive Compensation Highlights</w:t>
      </w:r>
    </w:p>
    <w:p>
      <w:pPr>
        <w:spacing w:after="0" w:line="213" w:lineRule="exact"/>
        <w:rPr>
          <w:sz w:val="20"/>
          <w:szCs w:val="20"/>
          <w:color w:val="auto"/>
        </w:rPr>
      </w:pPr>
    </w:p>
    <w:p>
      <w:pPr>
        <w:ind w:right="280"/>
        <w:spacing w:after="0" w:line="337" w:lineRule="auto"/>
        <w:rPr>
          <w:sz w:val="20"/>
          <w:szCs w:val="20"/>
          <w:color w:val="auto"/>
        </w:rPr>
      </w:pPr>
      <w:r>
        <w:rPr>
          <w:rFonts w:ascii="Arial" w:cs="Arial" w:eastAsia="Arial" w:hAnsi="Arial"/>
          <w:sz w:val="16"/>
          <w:szCs w:val="16"/>
          <w:color w:val="auto"/>
        </w:rPr>
        <w:t>Our pay practices align with our pay-for-performance philosophy and underscore our commitment to sound compensation and governance practices. We believe that organizations are still in the early stages of embracing cloud-based business solutions and adopting the security and networking solutions, including our products, that are necessary to secure and manage cloud-based operations. To be successful in this emerging market, we believe that delivering growth and capturing market share are paramount. To that end, we focus our compensation program on performance metrics that are key to achieving growth. We strongly believe that establishing and meeting aggressive growth targets in the short term is the best way to deliver long-term stockholder value in a highly competitive and emerging market.</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009ADA"/>
        </w:rPr>
        <w:t>Fiscal 2021 Financial Performance</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Fiscal 2021 was a strong year for us marked by significant achievement and growth across all of our key metrics. Fiscal 2021 highlights were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371"/>
        </w:trPr>
        <w:tc>
          <w:tcPr>
            <w:tcW w:w="4180" w:type="dxa"/>
            <w:vAlign w:val="bottom"/>
            <w:shd w:val="clear" w:color="auto" w:fill="000000"/>
          </w:tcPr>
          <w:p>
            <w:pPr>
              <w:ind w:left="180"/>
              <w:spacing w:after="0"/>
              <w:rPr>
                <w:sz w:val="20"/>
                <w:szCs w:val="20"/>
                <w:color w:val="auto"/>
              </w:rPr>
            </w:pPr>
            <w:r>
              <w:rPr>
                <w:rFonts w:ascii="Arial" w:cs="Arial" w:eastAsia="Arial" w:hAnsi="Arial"/>
                <w:sz w:val="22"/>
                <w:szCs w:val="22"/>
                <w:b w:val="1"/>
                <w:bCs w:val="1"/>
                <w:color w:val="FFFFFF"/>
              </w:rPr>
              <w:t>FY21 Revenue Growth</w:t>
            </w:r>
          </w:p>
        </w:tc>
        <w:tc>
          <w:tcPr>
            <w:tcW w:w="240" w:type="dxa"/>
            <w:vAlign w:val="bottom"/>
          </w:tcPr>
          <w:p>
            <w:pPr>
              <w:spacing w:after="0"/>
              <w:rPr>
                <w:sz w:val="24"/>
                <w:szCs w:val="24"/>
                <w:color w:val="auto"/>
              </w:rPr>
            </w:pPr>
          </w:p>
        </w:tc>
        <w:tc>
          <w:tcPr>
            <w:tcW w:w="4180" w:type="dxa"/>
            <w:vAlign w:val="bottom"/>
            <w:shd w:val="clear" w:color="auto" w:fill="2B338D"/>
          </w:tcPr>
          <w:p>
            <w:pPr>
              <w:ind w:left="180"/>
              <w:spacing w:after="0"/>
              <w:rPr>
                <w:sz w:val="20"/>
                <w:szCs w:val="20"/>
                <w:color w:val="auto"/>
              </w:rPr>
            </w:pPr>
            <w:r>
              <w:rPr>
                <w:rFonts w:ascii="Arial" w:cs="Arial" w:eastAsia="Arial" w:hAnsi="Arial"/>
                <w:sz w:val="22"/>
                <w:szCs w:val="22"/>
                <w:b w:val="1"/>
                <w:bCs w:val="1"/>
                <w:color w:val="FFFFFF"/>
              </w:rPr>
              <w:t>FY21 Calculated Billings Growth*</w:t>
            </w:r>
          </w:p>
        </w:tc>
      </w:tr>
      <w:tr>
        <w:trPr>
          <w:trHeight w:val="788"/>
        </w:trPr>
        <w:tc>
          <w:tcPr>
            <w:tcW w:w="4180" w:type="dxa"/>
            <w:vAlign w:val="bottom"/>
            <w:shd w:val="clear" w:color="auto" w:fill="000000"/>
          </w:tcPr>
          <w:p>
            <w:pPr>
              <w:ind w:left="180"/>
              <w:spacing w:after="0" w:line="787" w:lineRule="exact"/>
              <w:rPr>
                <w:sz w:val="20"/>
                <w:szCs w:val="20"/>
                <w:color w:val="auto"/>
              </w:rPr>
            </w:pPr>
            <w:r>
              <w:rPr>
                <w:rFonts w:ascii="Arial" w:cs="Arial" w:eastAsia="Arial" w:hAnsi="Arial"/>
                <w:sz w:val="72"/>
                <w:szCs w:val="72"/>
                <w:color w:val="FFFFFF"/>
              </w:rPr>
              <w:t xml:space="preserve">56% </w:t>
            </w:r>
            <w:r>
              <w:rPr>
                <w:rFonts w:ascii="Arial" w:cs="Arial" w:eastAsia="Arial" w:hAnsi="Arial"/>
                <w:sz w:val="35"/>
                <w:szCs w:val="35"/>
                <w:color w:val="FFFFFF"/>
              </w:rPr>
              <w:t>Y/Y</w:t>
            </w:r>
          </w:p>
        </w:tc>
        <w:tc>
          <w:tcPr>
            <w:tcW w:w="240" w:type="dxa"/>
            <w:vAlign w:val="bottom"/>
          </w:tcPr>
          <w:p>
            <w:pPr>
              <w:spacing w:after="0"/>
              <w:rPr>
                <w:sz w:val="24"/>
                <w:szCs w:val="24"/>
                <w:color w:val="auto"/>
              </w:rPr>
            </w:pPr>
          </w:p>
        </w:tc>
        <w:tc>
          <w:tcPr>
            <w:tcW w:w="4180" w:type="dxa"/>
            <w:vAlign w:val="bottom"/>
            <w:shd w:val="clear" w:color="auto" w:fill="2B338D"/>
          </w:tcPr>
          <w:p>
            <w:pPr>
              <w:ind w:left="180"/>
              <w:spacing w:after="0" w:line="787" w:lineRule="exact"/>
              <w:rPr>
                <w:sz w:val="20"/>
                <w:szCs w:val="20"/>
                <w:color w:val="auto"/>
              </w:rPr>
            </w:pPr>
            <w:r>
              <w:rPr>
                <w:rFonts w:ascii="Arial" w:cs="Arial" w:eastAsia="Arial" w:hAnsi="Arial"/>
                <w:sz w:val="72"/>
                <w:szCs w:val="72"/>
                <w:color w:val="FFFFFF"/>
              </w:rPr>
              <w:t xml:space="preserve">70% </w:t>
            </w:r>
            <w:r>
              <w:rPr>
                <w:rFonts w:ascii="Arial" w:cs="Arial" w:eastAsia="Arial" w:hAnsi="Arial"/>
                <w:sz w:val="35"/>
                <w:szCs w:val="35"/>
                <w:color w:val="FFFFFF"/>
              </w:rPr>
              <w:t>Y/Y</w:t>
            </w:r>
          </w:p>
        </w:tc>
      </w:tr>
      <w:tr>
        <w:trPr>
          <w:trHeight w:val="261"/>
        </w:trPr>
        <w:tc>
          <w:tcPr>
            <w:tcW w:w="4180" w:type="dxa"/>
            <w:vAlign w:val="bottom"/>
            <w:shd w:val="clear" w:color="auto" w:fill="000000"/>
          </w:tcPr>
          <w:p>
            <w:pPr>
              <w:ind w:left="180"/>
              <w:spacing w:after="0"/>
              <w:rPr>
                <w:sz w:val="20"/>
                <w:szCs w:val="20"/>
                <w:color w:val="auto"/>
              </w:rPr>
            </w:pPr>
            <w:r>
              <w:rPr>
                <w:rFonts w:ascii="Arial" w:cs="Arial" w:eastAsia="Arial" w:hAnsi="Arial"/>
                <w:sz w:val="20"/>
                <w:szCs w:val="20"/>
                <w:b w:val="1"/>
                <w:bCs w:val="1"/>
                <w:color w:val="FFFFFF"/>
              </w:rPr>
              <w:t>$673M Revenue</w:t>
            </w:r>
          </w:p>
        </w:tc>
        <w:tc>
          <w:tcPr>
            <w:tcW w:w="240" w:type="dxa"/>
            <w:vAlign w:val="bottom"/>
          </w:tcPr>
          <w:p>
            <w:pPr>
              <w:spacing w:after="0"/>
              <w:rPr>
                <w:sz w:val="22"/>
                <w:szCs w:val="22"/>
                <w:color w:val="auto"/>
              </w:rPr>
            </w:pPr>
          </w:p>
        </w:tc>
        <w:tc>
          <w:tcPr>
            <w:tcW w:w="4180" w:type="dxa"/>
            <w:vAlign w:val="bottom"/>
            <w:shd w:val="clear" w:color="auto" w:fill="2B338D"/>
          </w:tcPr>
          <w:p>
            <w:pPr>
              <w:ind w:left="180"/>
              <w:spacing w:after="0"/>
              <w:rPr>
                <w:sz w:val="20"/>
                <w:szCs w:val="20"/>
                <w:color w:val="auto"/>
              </w:rPr>
            </w:pPr>
            <w:r>
              <w:rPr>
                <w:rFonts w:ascii="Arial" w:cs="Arial" w:eastAsia="Arial" w:hAnsi="Arial"/>
                <w:sz w:val="20"/>
                <w:szCs w:val="20"/>
                <w:b w:val="1"/>
                <w:bCs w:val="1"/>
                <w:color w:val="FFFFFF"/>
              </w:rPr>
              <w:t>$934M Billings*</w:t>
            </w:r>
          </w:p>
        </w:tc>
      </w:tr>
      <w:tr>
        <w:trPr>
          <w:trHeight w:val="563"/>
        </w:trPr>
        <w:tc>
          <w:tcPr>
            <w:tcW w:w="4180" w:type="dxa"/>
            <w:vAlign w:val="bottom"/>
            <w:shd w:val="clear" w:color="auto" w:fill="000000"/>
          </w:tcPr>
          <w:p>
            <w:pPr>
              <w:spacing w:after="0"/>
              <w:rPr>
                <w:sz w:val="24"/>
                <w:szCs w:val="24"/>
                <w:color w:val="auto"/>
              </w:rPr>
            </w:pPr>
          </w:p>
        </w:tc>
        <w:tc>
          <w:tcPr>
            <w:tcW w:w="240" w:type="dxa"/>
            <w:vAlign w:val="bottom"/>
          </w:tcPr>
          <w:p>
            <w:pPr>
              <w:spacing w:after="0"/>
              <w:rPr>
                <w:sz w:val="24"/>
                <w:szCs w:val="24"/>
                <w:color w:val="auto"/>
              </w:rPr>
            </w:pPr>
          </w:p>
        </w:tc>
        <w:tc>
          <w:tcPr>
            <w:tcW w:w="4180" w:type="dxa"/>
            <w:vAlign w:val="bottom"/>
            <w:shd w:val="clear" w:color="auto" w:fill="2B338D"/>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-1774190</wp:posOffset>
            </wp:positionV>
            <wp:extent cx="385445" cy="3860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85445" cy="386080"/>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-1774190</wp:posOffset>
            </wp:positionV>
            <wp:extent cx="386080" cy="3860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86080" cy="386080"/>
                    </a:xfrm>
                    <a:prstGeom prst="rect">
                      <a:avLst/>
                    </a:prstGeom>
                    <a:noFill/>
                  </pic:spPr>
                </pic:pic>
              </a:graphicData>
            </a:graphic>
          </wp:anchor>
        </w:drawing>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371"/>
        </w:trPr>
        <w:tc>
          <w:tcPr>
            <w:tcW w:w="4180" w:type="dxa"/>
            <w:vAlign w:val="bottom"/>
            <w:shd w:val="clear" w:color="auto" w:fill="009ADA"/>
          </w:tcPr>
          <w:p>
            <w:pPr>
              <w:ind w:left="180"/>
              <w:spacing w:after="0"/>
              <w:rPr>
                <w:sz w:val="20"/>
                <w:szCs w:val="20"/>
                <w:color w:val="auto"/>
              </w:rPr>
            </w:pPr>
            <w:r>
              <w:rPr>
                <w:rFonts w:ascii="Arial" w:cs="Arial" w:eastAsia="Arial" w:hAnsi="Arial"/>
                <w:sz w:val="22"/>
                <w:szCs w:val="22"/>
                <w:b w:val="1"/>
                <w:bCs w:val="1"/>
                <w:color w:val="FFFFFF"/>
              </w:rPr>
              <w:t>Broader Platform Adoption</w:t>
            </w:r>
          </w:p>
        </w:tc>
        <w:tc>
          <w:tcPr>
            <w:tcW w:w="240" w:type="dxa"/>
            <w:vAlign w:val="bottom"/>
          </w:tcPr>
          <w:p>
            <w:pPr>
              <w:spacing w:after="0"/>
              <w:rPr>
                <w:sz w:val="24"/>
                <w:szCs w:val="24"/>
                <w:color w:val="auto"/>
              </w:rPr>
            </w:pPr>
          </w:p>
        </w:tc>
        <w:tc>
          <w:tcPr>
            <w:tcW w:w="4180" w:type="dxa"/>
            <w:vAlign w:val="bottom"/>
            <w:shd w:val="clear" w:color="auto" w:fill="929292"/>
          </w:tcPr>
          <w:p>
            <w:pPr>
              <w:ind w:left="180"/>
              <w:spacing w:after="0"/>
              <w:rPr>
                <w:sz w:val="20"/>
                <w:szCs w:val="20"/>
                <w:color w:val="auto"/>
              </w:rPr>
            </w:pPr>
            <w:r>
              <w:rPr>
                <w:rFonts w:ascii="Arial" w:cs="Arial" w:eastAsia="Arial" w:hAnsi="Arial"/>
                <w:sz w:val="22"/>
                <w:szCs w:val="22"/>
                <w:b w:val="1"/>
                <w:bCs w:val="1"/>
                <w:color w:val="FFFFFF"/>
              </w:rPr>
              <w:t>Growth in Large Customers</w:t>
            </w:r>
          </w:p>
        </w:tc>
      </w:tr>
      <w:tr>
        <w:trPr>
          <w:trHeight w:val="788"/>
        </w:trPr>
        <w:tc>
          <w:tcPr>
            <w:tcW w:w="4180" w:type="dxa"/>
            <w:vAlign w:val="bottom"/>
            <w:shd w:val="clear" w:color="auto" w:fill="009ADA"/>
          </w:tcPr>
          <w:p>
            <w:pPr>
              <w:ind w:left="180"/>
              <w:spacing w:after="0" w:line="787" w:lineRule="exact"/>
              <w:rPr>
                <w:sz w:val="20"/>
                <w:szCs w:val="20"/>
                <w:color w:val="auto"/>
              </w:rPr>
            </w:pPr>
            <w:r>
              <w:rPr>
                <w:rFonts w:ascii="Arial" w:cs="Arial" w:eastAsia="Arial" w:hAnsi="Arial"/>
                <w:sz w:val="72"/>
                <w:szCs w:val="72"/>
                <w:color w:val="FFFFFF"/>
              </w:rPr>
              <w:t>128%</w:t>
            </w:r>
          </w:p>
        </w:tc>
        <w:tc>
          <w:tcPr>
            <w:tcW w:w="240" w:type="dxa"/>
            <w:vAlign w:val="bottom"/>
          </w:tcPr>
          <w:p>
            <w:pPr>
              <w:spacing w:after="0"/>
              <w:rPr>
                <w:sz w:val="24"/>
                <w:szCs w:val="24"/>
                <w:color w:val="auto"/>
              </w:rPr>
            </w:pPr>
          </w:p>
        </w:tc>
        <w:tc>
          <w:tcPr>
            <w:tcW w:w="4180" w:type="dxa"/>
            <w:vAlign w:val="bottom"/>
            <w:shd w:val="clear" w:color="auto" w:fill="929292"/>
          </w:tcPr>
          <w:p>
            <w:pPr>
              <w:ind w:left="180"/>
              <w:spacing w:after="0" w:line="787" w:lineRule="exact"/>
              <w:rPr>
                <w:sz w:val="20"/>
                <w:szCs w:val="20"/>
                <w:color w:val="auto"/>
              </w:rPr>
            </w:pPr>
            <w:r>
              <w:rPr>
                <w:rFonts w:ascii="Arial" w:cs="Arial" w:eastAsia="Arial" w:hAnsi="Arial"/>
                <w:sz w:val="72"/>
                <w:szCs w:val="72"/>
                <w:color w:val="FFFFFF"/>
              </w:rPr>
              <w:t xml:space="preserve">87% </w:t>
            </w:r>
            <w:r>
              <w:rPr>
                <w:rFonts w:ascii="Arial" w:cs="Arial" w:eastAsia="Arial" w:hAnsi="Arial"/>
                <w:sz w:val="35"/>
                <w:szCs w:val="35"/>
                <w:color w:val="FFFFFF"/>
              </w:rPr>
              <w:t>Y/Y</w:t>
            </w:r>
          </w:p>
        </w:tc>
      </w:tr>
      <w:tr>
        <w:trPr>
          <w:trHeight w:val="348"/>
        </w:trPr>
        <w:tc>
          <w:tcPr>
            <w:tcW w:w="4180" w:type="dxa"/>
            <w:vAlign w:val="bottom"/>
            <w:shd w:val="clear" w:color="auto" w:fill="009ADA"/>
          </w:tcPr>
          <w:p>
            <w:pPr>
              <w:ind w:left="180"/>
              <w:spacing w:after="0"/>
              <w:rPr>
                <w:sz w:val="20"/>
                <w:szCs w:val="20"/>
                <w:color w:val="auto"/>
              </w:rPr>
            </w:pPr>
            <w:r>
              <w:rPr>
                <w:rFonts w:ascii="Arial" w:cs="Arial" w:eastAsia="Arial" w:hAnsi="Arial"/>
                <w:sz w:val="20"/>
                <w:szCs w:val="20"/>
                <w:b w:val="1"/>
                <w:bCs w:val="1"/>
                <w:color w:val="FFFFFF"/>
              </w:rPr>
              <w:t>Net $ Retention Rate</w:t>
            </w:r>
            <w:r>
              <w:rPr>
                <w:rFonts w:ascii="Arial" w:cs="Arial" w:eastAsia="Arial" w:hAnsi="Arial"/>
                <w:sz w:val="25"/>
                <w:szCs w:val="25"/>
                <w:b w:val="1"/>
                <w:bCs w:val="1"/>
                <w:color w:val="FFFFFF"/>
                <w:vertAlign w:val="superscript"/>
              </w:rPr>
              <w:t>†</w:t>
            </w:r>
          </w:p>
        </w:tc>
        <w:tc>
          <w:tcPr>
            <w:tcW w:w="240" w:type="dxa"/>
            <w:vAlign w:val="bottom"/>
          </w:tcPr>
          <w:p>
            <w:pPr>
              <w:spacing w:after="0"/>
              <w:rPr>
                <w:sz w:val="24"/>
                <w:szCs w:val="24"/>
                <w:color w:val="auto"/>
              </w:rPr>
            </w:pPr>
          </w:p>
        </w:tc>
        <w:tc>
          <w:tcPr>
            <w:tcW w:w="4180" w:type="dxa"/>
            <w:vAlign w:val="bottom"/>
            <w:shd w:val="clear" w:color="auto" w:fill="929292"/>
          </w:tcPr>
          <w:p>
            <w:pPr>
              <w:ind w:left="180"/>
              <w:spacing w:after="0"/>
              <w:rPr>
                <w:sz w:val="20"/>
                <w:szCs w:val="20"/>
                <w:color w:val="auto"/>
              </w:rPr>
            </w:pPr>
            <w:r>
              <w:rPr>
                <w:rFonts w:ascii="Arial" w:cs="Arial" w:eastAsia="Arial" w:hAnsi="Arial"/>
                <w:sz w:val="20"/>
                <w:szCs w:val="20"/>
                <w:b w:val="1"/>
                <w:bCs w:val="1"/>
                <w:color w:val="FFFFFF"/>
              </w:rPr>
              <w:t>200+ Enterprises (&gt;$1M ARR)</w:t>
            </w:r>
          </w:p>
        </w:tc>
      </w:tr>
      <w:tr>
        <w:trPr>
          <w:trHeight w:val="476"/>
        </w:trPr>
        <w:tc>
          <w:tcPr>
            <w:tcW w:w="4180" w:type="dxa"/>
            <w:vAlign w:val="bottom"/>
            <w:shd w:val="clear" w:color="auto" w:fill="009ADA"/>
          </w:tcPr>
          <w:p>
            <w:pPr>
              <w:spacing w:after="0"/>
              <w:rPr>
                <w:sz w:val="24"/>
                <w:szCs w:val="24"/>
                <w:color w:val="auto"/>
              </w:rPr>
            </w:pPr>
          </w:p>
        </w:tc>
        <w:tc>
          <w:tcPr>
            <w:tcW w:w="240" w:type="dxa"/>
            <w:vAlign w:val="bottom"/>
          </w:tcPr>
          <w:p>
            <w:pPr>
              <w:spacing w:after="0"/>
              <w:rPr>
                <w:sz w:val="24"/>
                <w:szCs w:val="24"/>
                <w:color w:val="auto"/>
              </w:rPr>
            </w:pPr>
          </w:p>
        </w:tc>
        <w:tc>
          <w:tcPr>
            <w:tcW w:w="4180" w:type="dxa"/>
            <w:vAlign w:val="bottom"/>
            <w:shd w:val="clear" w:color="auto" w:fill="929292"/>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-1774190</wp:posOffset>
            </wp:positionV>
            <wp:extent cx="385445" cy="3860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85445" cy="386080"/>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-1774190</wp:posOffset>
            </wp:positionV>
            <wp:extent cx="386080" cy="3860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86080" cy="386080"/>
                    </a:xfrm>
                    <a:prstGeom prst="rect">
                      <a:avLst/>
                    </a:prstGeom>
                    <a:noFill/>
                  </pic:spPr>
                </pic:pic>
              </a:graphicData>
            </a:graphic>
          </wp:anchor>
        </w:drawing>
      </w:r>
    </w:p>
    <w:p>
      <w:pPr>
        <w:spacing w:after="0" w:line="123" w:lineRule="exact"/>
        <w:rPr>
          <w:sz w:val="20"/>
          <w:szCs w:val="20"/>
          <w:color w:val="auto"/>
        </w:rPr>
      </w:pPr>
    </w:p>
    <w:p>
      <w:pPr>
        <w:ind w:left="180" w:right="80" w:hanging="172"/>
        <w:spacing w:after="0" w:line="242" w:lineRule="auto"/>
        <w:tabs>
          <w:tab w:leader="none" w:pos="175" w:val="left"/>
        </w:tabs>
        <w:numPr>
          <w:ilvl w:val="0"/>
          <w:numId w:val="11"/>
        </w:numPr>
        <w:rPr>
          <w:rFonts w:ascii="Arial" w:cs="Arial" w:eastAsia="Arial" w:hAnsi="Arial"/>
          <w:sz w:val="13"/>
          <w:szCs w:val="13"/>
          <w:color w:val="auto"/>
        </w:rPr>
      </w:pPr>
      <w:r>
        <w:rPr>
          <w:rFonts w:ascii="Arial" w:cs="Arial" w:eastAsia="Arial" w:hAnsi="Arial"/>
          <w:sz w:val="13"/>
          <w:szCs w:val="13"/>
          <w:color w:val="auto"/>
        </w:rPr>
        <w:t>Calculated billings is a non-GAAP financial measure that we believe is a key metric to measure our periodic performance. Calculated billings represents our total revenue plus the change in deferred revenue in a period. See Appendix A for the calculation of calculated billings.</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Our dollar-based net retention rate compares the recurring revenue from a set of customers against the same metric for the prior 12-month period on a trailing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217170</wp:posOffset>
            </wp:positionV>
            <wp:extent cx="342900" cy="2139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0" cy="213995"/>
                    </a:xfrm>
                    <a:prstGeom prst="rect">
                      <a:avLst/>
                    </a:prstGeom>
                    <a:noFill/>
                  </pic:spPr>
                </pic:pic>
              </a:graphicData>
            </a:graphic>
          </wp:anchor>
        </w:drawing>
      </w:r>
    </w:p>
    <w:p>
      <w:pPr>
        <w:spacing w:after="0" w:line="261" w:lineRule="exact"/>
        <w:rPr>
          <w:sz w:val="20"/>
          <w:szCs w:val="20"/>
          <w:color w:val="auto"/>
        </w:rPr>
      </w:pPr>
    </w:p>
    <w:p>
      <w:pPr>
        <w:jc w:val="both"/>
        <w:ind w:left="5580"/>
        <w:spacing w:after="0"/>
        <w:tabs>
          <w:tab w:leader="none" w:pos="9780" w:val="left"/>
        </w:tabs>
        <w:rPr>
          <w:sz w:val="20"/>
          <w:szCs w:val="20"/>
          <w:color w:val="auto"/>
        </w:rPr>
      </w:pPr>
      <w:r>
        <w:rPr>
          <w:rFonts w:ascii="Arial" w:cs="Arial" w:eastAsia="Arial" w:hAnsi="Arial"/>
          <w:sz w:val="29"/>
          <w:szCs w:val="29"/>
          <w:color w:val="auto"/>
          <w:vertAlign w:val="superscript"/>
        </w:rPr>
        <w:t>4</w:t>
      </w:r>
      <w:r>
        <w:rPr>
          <w:sz w:val="20"/>
          <w:szCs w:val="20"/>
          <w:color w:val="auto"/>
        </w:rPr>
        <w:tab/>
      </w:r>
      <w:r>
        <w:rPr>
          <w:rFonts w:ascii="Arial" w:cs="Arial" w:eastAsia="Arial" w:hAnsi="Arial"/>
          <w:sz w:val="14"/>
          <w:szCs w:val="14"/>
          <w:color w:val="auto"/>
        </w:rPr>
        <w:t>2021 Proxy Statement</w:t>
      </w:r>
    </w:p>
    <w:p>
      <w:pPr>
        <w:sectPr>
          <w:pgSz w:w="11900" w:h="16838" w:orient="portrait"/>
          <w:cols w:equalWidth="0" w:num="1">
            <w:col w:w="11220"/>
          </w:cols>
          <w:pgMar w:left="320" w:top="172" w:right="359" w:bottom="1440" w:gutter="0" w:footer="0" w:header="0"/>
        </w:sectPr>
      </w:pPr>
    </w:p>
    <w:bookmarkStart w:id="8" w:name="page9"/>
    <w:bookmarkEnd w:id="8"/>
    <w:p>
      <w:pPr>
        <w:ind w:left="280"/>
        <w:spacing w:after="0"/>
        <w:rPr>
          <w:sz w:val="20"/>
          <w:szCs w:val="20"/>
          <w:color w:val="auto"/>
        </w:rPr>
      </w:pPr>
      <w:r>
        <w:rPr>
          <w:rFonts w:ascii="Arial" w:cs="Arial" w:eastAsia="Arial" w:hAnsi="Arial"/>
          <w:sz w:val="13"/>
          <w:szCs w:val="13"/>
          <w:b w:val="1"/>
          <w:bCs w:val="1"/>
          <w:color w:val="929292"/>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7470" cy="596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7470" cy="59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b w:val="1"/>
          <w:bCs w:val="1"/>
          <w:color w:val="009ADA"/>
        </w:rPr>
        <w:t>Environmental, Social, and Governance (ESG) Approach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134620</wp:posOffset>
            </wp:positionV>
            <wp:extent cx="351155" cy="5314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51155" cy="531495"/>
                    </a:xfrm>
                    <a:prstGeom prst="rect">
                      <a:avLst/>
                    </a:prstGeom>
                    <a:noFill/>
                  </pic:spPr>
                </pic:pic>
              </a:graphicData>
            </a:graphic>
          </wp:anchor>
        </w:drawing>
      </w:r>
    </w:p>
    <w:p>
      <w:pPr>
        <w:spacing w:after="0" w:line="335" w:lineRule="exact"/>
        <w:rPr>
          <w:sz w:val="20"/>
          <w:szCs w:val="20"/>
          <w:color w:val="auto"/>
        </w:rPr>
      </w:pPr>
    </w:p>
    <w:p>
      <w:pPr>
        <w:ind w:left="1140" w:right="720"/>
        <w:spacing w:after="0" w:line="351" w:lineRule="auto"/>
        <w:rPr>
          <w:sz w:val="20"/>
          <w:szCs w:val="20"/>
          <w:color w:val="auto"/>
        </w:rPr>
      </w:pPr>
      <w:r>
        <w:rPr>
          <w:rFonts w:ascii="Arial" w:cs="Arial" w:eastAsia="Arial" w:hAnsi="Arial"/>
          <w:sz w:val="22"/>
          <w:szCs w:val="22"/>
          <w:b w:val="1"/>
          <w:bCs w:val="1"/>
          <w:i w:val="1"/>
          <w:iCs w:val="1"/>
          <w:color w:val="auto"/>
        </w:rPr>
        <w:t>We believe that transformation happens when people with big ideas come together to drive change.</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line="339" w:lineRule="auto"/>
        <w:rPr>
          <w:sz w:val="20"/>
          <w:szCs w:val="20"/>
          <w:color w:val="auto"/>
        </w:rPr>
      </w:pPr>
      <w:r>
        <w:rPr>
          <w:rFonts w:ascii="Arial" w:cs="Arial" w:eastAsia="Arial" w:hAnsi="Arial"/>
          <w:sz w:val="16"/>
          <w:szCs w:val="16"/>
          <w:color w:val="auto"/>
        </w:rPr>
        <w:t>From Zscaler’s inception, we have recognized the importance of values, ethics, and doing the right thing for our customers and our business. To further these efforts, we formally established our ESG program in 2021 with oversight provided by the nominating and corporate governance committee. We believe a carefully considered and deliberate ESG program will drive sustained value creation for our stakeholders. While our program continues to evolve and grow, our current priorities include:</w:t>
      </w:r>
    </w:p>
    <w:p>
      <w:pPr>
        <w:spacing w:after="0" w:line="148"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Reducing environmental impact and lowering greenhouse gas emissions</w:t>
      </w:r>
    </w:p>
    <w:p>
      <w:pPr>
        <w:spacing w:after="0" w:line="234" w:lineRule="exact"/>
        <w:rPr>
          <w:rFonts w:ascii="Arial" w:cs="Arial" w:eastAsia="Arial" w:hAnsi="Arial"/>
          <w:sz w:val="16"/>
          <w:szCs w:val="16"/>
          <w:color w:val="auto"/>
        </w:rPr>
      </w:pPr>
    </w:p>
    <w:p>
      <w:pPr>
        <w:ind w:left="660" w:hanging="328"/>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Hiring and retaining diverse talent to support rapid and sustainable growth</w:t>
      </w:r>
    </w:p>
    <w:p>
      <w:pPr>
        <w:spacing w:after="0" w:line="234" w:lineRule="exact"/>
        <w:rPr>
          <w:rFonts w:ascii="Arial" w:cs="Arial" w:eastAsia="Arial" w:hAnsi="Arial"/>
          <w:sz w:val="16"/>
          <w:szCs w:val="16"/>
          <w:color w:val="auto"/>
        </w:rPr>
      </w:pPr>
    </w:p>
    <w:p>
      <w:pPr>
        <w:ind w:left="660" w:hanging="328"/>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Respecting privacy and protecting our customers’ sensitive data</w:t>
      </w:r>
    </w:p>
    <w:p>
      <w:pPr>
        <w:spacing w:after="0" w:line="234" w:lineRule="exact"/>
        <w:rPr>
          <w:rFonts w:ascii="Arial" w:cs="Arial" w:eastAsia="Arial" w:hAnsi="Arial"/>
          <w:sz w:val="16"/>
          <w:szCs w:val="16"/>
          <w:color w:val="auto"/>
        </w:rPr>
      </w:pPr>
    </w:p>
    <w:p>
      <w:pPr>
        <w:ind w:left="660" w:hanging="328"/>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Maintaining robust and effective governance and risk oversight practices</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b w:val="1"/>
          <w:bCs w:val="1"/>
          <w:color w:val="2B338D"/>
        </w:rPr>
        <w:t>ESG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100330</wp:posOffset>
            </wp:positionV>
            <wp:extent cx="291465" cy="3257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91465" cy="325755"/>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117475</wp:posOffset>
            </wp:positionV>
            <wp:extent cx="539750" cy="2914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39750" cy="29146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109220</wp:posOffset>
            </wp:positionV>
            <wp:extent cx="300355" cy="3086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0035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20"/>
        <w:spacing w:after="0"/>
        <w:tabs>
          <w:tab w:leader="none" w:pos="4280" w:val="left"/>
          <w:tab w:leader="none" w:pos="8440" w:val="left"/>
        </w:tabs>
        <w:rPr>
          <w:sz w:val="20"/>
          <w:szCs w:val="20"/>
          <w:color w:val="auto"/>
        </w:rPr>
      </w:pPr>
      <w:r>
        <w:rPr>
          <w:rFonts w:ascii="Arial" w:cs="Arial" w:eastAsia="Arial" w:hAnsi="Arial"/>
          <w:sz w:val="16"/>
          <w:szCs w:val="16"/>
          <w:b w:val="1"/>
          <w:bCs w:val="1"/>
          <w:color w:val="2B338D"/>
        </w:rPr>
        <w:t>Enabling Green Security</w:t>
      </w:r>
      <w:r>
        <w:rPr>
          <w:sz w:val="20"/>
          <w:szCs w:val="20"/>
          <w:color w:val="auto"/>
        </w:rPr>
        <w:tab/>
      </w:r>
      <w:r>
        <w:rPr>
          <w:rFonts w:ascii="Arial" w:cs="Arial" w:eastAsia="Arial" w:hAnsi="Arial"/>
          <w:sz w:val="16"/>
          <w:szCs w:val="16"/>
          <w:b w:val="1"/>
          <w:bCs w:val="1"/>
          <w:color w:val="2B338D"/>
        </w:rPr>
        <w:t>Investing in People</w:t>
      </w:r>
      <w:r>
        <w:rPr>
          <w:sz w:val="20"/>
          <w:szCs w:val="20"/>
          <w:color w:val="auto"/>
        </w:rPr>
        <w:tab/>
      </w:r>
      <w:r>
        <w:rPr>
          <w:rFonts w:ascii="Arial" w:cs="Arial" w:eastAsia="Arial" w:hAnsi="Arial"/>
          <w:sz w:val="16"/>
          <w:szCs w:val="16"/>
          <w:b w:val="1"/>
          <w:bCs w:val="1"/>
          <w:color w:val="2B338D"/>
        </w:rPr>
        <w:t>Building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72" w:right="359" w:bottom="1440" w:gutter="0" w:footer="0" w:header="0"/>
        </w:sectPr>
      </w:pPr>
    </w:p>
    <w:p>
      <w:pPr>
        <w:spacing w:after="0" w:line="336" w:lineRule="exact"/>
        <w:rPr>
          <w:sz w:val="20"/>
          <w:szCs w:val="20"/>
          <w:color w:val="auto"/>
        </w:rPr>
      </w:pPr>
    </w:p>
    <w:p>
      <w:pPr>
        <w:jc w:val="both"/>
        <w:ind w:left="180" w:right="965" w:hanging="154"/>
        <w:spacing w:after="0" w:line="341" w:lineRule="auto"/>
        <w:tabs>
          <w:tab w:leader="none" w:pos="142" w:val="left"/>
        </w:tabs>
        <w:numPr>
          <w:ilvl w:val="0"/>
          <w:numId w:val="13"/>
        </w:numPr>
        <w:rPr>
          <w:rFonts w:ascii="Arial" w:cs="Arial" w:eastAsia="Arial" w:hAnsi="Arial"/>
          <w:sz w:val="16"/>
          <w:szCs w:val="16"/>
          <w:color w:val="auto"/>
        </w:rPr>
      </w:pPr>
      <w:r>
        <w:rPr>
          <w:rFonts w:ascii="Arial" w:cs="Arial" w:eastAsia="Arial" w:hAnsi="Arial"/>
          <w:sz w:val="16"/>
          <w:szCs w:val="16"/>
          <w:color w:val="auto"/>
        </w:rPr>
        <w:t>Achieved 100% renewable energy for global data centers and offices for calendar year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1155065</wp:posOffset>
            </wp:positionV>
            <wp:extent cx="342900" cy="2146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2900" cy="2146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6" w:lineRule="exact"/>
        <w:rPr>
          <w:sz w:val="20"/>
          <w:szCs w:val="20"/>
          <w:color w:val="auto"/>
        </w:rPr>
      </w:pPr>
    </w:p>
    <w:p>
      <w:pPr>
        <w:ind w:left="155" w:right="1123" w:hanging="155"/>
        <w:spacing w:after="0" w:line="348" w:lineRule="auto"/>
        <w:tabs>
          <w:tab w:leader="none" w:pos="117" w:val="left"/>
        </w:tabs>
        <w:numPr>
          <w:ilvl w:val="0"/>
          <w:numId w:val="14"/>
        </w:numPr>
        <w:rPr>
          <w:rFonts w:ascii="Arial" w:cs="Arial" w:eastAsia="Arial" w:hAnsi="Arial"/>
          <w:sz w:val="16"/>
          <w:szCs w:val="16"/>
          <w:color w:val="auto"/>
        </w:rPr>
      </w:pPr>
      <w:r>
        <w:rPr>
          <w:rFonts w:ascii="Arial" w:cs="Arial" w:eastAsia="Arial" w:hAnsi="Arial"/>
          <w:sz w:val="16"/>
          <w:szCs w:val="16"/>
          <w:color w:val="auto"/>
        </w:rPr>
        <w:t>Named a "Best Place to Work" by Glassdoor in 2021</w:t>
      </w:r>
    </w:p>
    <w:p>
      <w:pPr>
        <w:spacing w:after="0" w:line="33" w:lineRule="exact"/>
        <w:rPr>
          <w:rFonts w:ascii="Arial" w:cs="Arial" w:eastAsia="Arial" w:hAnsi="Arial"/>
          <w:sz w:val="16"/>
          <w:szCs w:val="16"/>
          <w:color w:val="auto"/>
        </w:rPr>
      </w:pPr>
    </w:p>
    <w:p>
      <w:pPr>
        <w:ind w:left="155" w:right="1223" w:hanging="155"/>
        <w:spacing w:after="0" w:line="341" w:lineRule="auto"/>
        <w:tabs>
          <w:tab w:leader="none" w:pos="117" w:val="left"/>
        </w:tabs>
        <w:numPr>
          <w:ilvl w:val="0"/>
          <w:numId w:val="14"/>
        </w:numPr>
        <w:rPr>
          <w:rFonts w:ascii="Arial" w:cs="Arial" w:eastAsia="Arial" w:hAnsi="Arial"/>
          <w:sz w:val="16"/>
          <w:szCs w:val="16"/>
          <w:color w:val="auto"/>
        </w:rPr>
      </w:pPr>
      <w:r>
        <w:rPr>
          <w:rFonts w:ascii="Arial" w:cs="Arial" w:eastAsia="Arial" w:hAnsi="Arial"/>
          <w:sz w:val="16"/>
          <w:szCs w:val="16"/>
          <w:color w:val="auto"/>
        </w:rPr>
        <w:t>96% of our employees are aligned to Zscaler's strategic direction</w:t>
      </w:r>
    </w:p>
    <w:p>
      <w:pPr>
        <w:spacing w:after="0" w:line="20" w:lineRule="exact"/>
        <w:rPr>
          <w:sz w:val="20"/>
          <w:szCs w:val="20"/>
          <w:color w:val="auto"/>
        </w:rPr>
      </w:pPr>
      <w:r>
        <w:rPr>
          <w:sz w:val="20"/>
          <w:szCs w:val="20"/>
          <w:color w:val="auto"/>
        </w:rPr>
        <w:br w:type="column"/>
      </w:r>
    </w:p>
    <w:p>
      <w:pPr>
        <w:spacing w:after="0" w:line="316" w:lineRule="exact"/>
        <w:rPr>
          <w:sz w:val="20"/>
          <w:szCs w:val="20"/>
          <w:color w:val="auto"/>
        </w:rPr>
      </w:pPr>
    </w:p>
    <w:p>
      <w:pPr>
        <w:ind w:left="157" w:right="120" w:hanging="157"/>
        <w:spacing w:after="0" w:line="341" w:lineRule="auto"/>
        <w:tabs>
          <w:tab w:leader="none" w:pos="119" w:val="left"/>
        </w:tabs>
        <w:numPr>
          <w:ilvl w:val="0"/>
          <w:numId w:val="15"/>
        </w:numPr>
        <w:rPr>
          <w:rFonts w:ascii="Arial" w:cs="Arial" w:eastAsia="Arial" w:hAnsi="Arial"/>
          <w:sz w:val="16"/>
          <w:szCs w:val="16"/>
          <w:color w:val="auto"/>
        </w:rPr>
      </w:pPr>
      <w:r>
        <w:rPr>
          <w:rFonts w:ascii="Arial" w:cs="Arial" w:eastAsia="Arial" w:hAnsi="Arial"/>
          <w:sz w:val="16"/>
          <w:szCs w:val="16"/>
          <w:color w:val="auto"/>
        </w:rPr>
        <w:t>ISO 27001, 27701, 27017 &amp; 27018 information security management certified</w:t>
      </w:r>
    </w:p>
    <w:p>
      <w:pPr>
        <w:spacing w:after="0" w:line="39" w:lineRule="exact"/>
        <w:rPr>
          <w:rFonts w:ascii="Arial" w:cs="Arial" w:eastAsia="Arial" w:hAnsi="Arial"/>
          <w:sz w:val="16"/>
          <w:szCs w:val="16"/>
          <w:color w:val="auto"/>
        </w:rPr>
      </w:pPr>
    </w:p>
    <w:p>
      <w:pPr>
        <w:ind w:left="157" w:right="40" w:hanging="157"/>
        <w:spacing w:after="0" w:line="348" w:lineRule="auto"/>
        <w:tabs>
          <w:tab w:leader="none" w:pos="119" w:val="left"/>
        </w:tabs>
        <w:numPr>
          <w:ilvl w:val="0"/>
          <w:numId w:val="15"/>
        </w:numPr>
        <w:rPr>
          <w:rFonts w:ascii="Arial" w:cs="Arial" w:eastAsia="Arial" w:hAnsi="Arial"/>
          <w:sz w:val="16"/>
          <w:szCs w:val="16"/>
          <w:color w:val="auto"/>
        </w:rPr>
      </w:pPr>
      <w:r>
        <w:rPr>
          <w:rFonts w:ascii="Arial" w:cs="Arial" w:eastAsia="Arial" w:hAnsi="Arial"/>
          <w:sz w:val="16"/>
          <w:szCs w:val="16"/>
          <w:color w:val="auto"/>
        </w:rPr>
        <w:t>ZIA FedRAMP Moderate Authorized and High Ready</w:t>
      </w:r>
    </w:p>
    <w:p>
      <w:pPr>
        <w:spacing w:after="0" w:line="33" w:lineRule="exact"/>
        <w:rPr>
          <w:rFonts w:ascii="Arial" w:cs="Arial" w:eastAsia="Arial" w:hAnsi="Arial"/>
          <w:sz w:val="16"/>
          <w:szCs w:val="16"/>
          <w:color w:val="auto"/>
        </w:rPr>
      </w:pPr>
    </w:p>
    <w:p>
      <w:pPr>
        <w:ind w:left="157" w:right="20" w:hanging="157"/>
        <w:spacing w:after="0" w:line="348" w:lineRule="auto"/>
        <w:tabs>
          <w:tab w:leader="none" w:pos="119" w:val="left"/>
        </w:tabs>
        <w:numPr>
          <w:ilvl w:val="0"/>
          <w:numId w:val="15"/>
        </w:numPr>
        <w:rPr>
          <w:rFonts w:ascii="Arial" w:cs="Arial" w:eastAsia="Arial" w:hAnsi="Arial"/>
          <w:sz w:val="16"/>
          <w:szCs w:val="16"/>
          <w:color w:val="auto"/>
        </w:rPr>
      </w:pPr>
      <w:r>
        <w:rPr>
          <w:rFonts w:ascii="Arial" w:cs="Arial" w:eastAsia="Arial" w:hAnsi="Arial"/>
          <w:sz w:val="16"/>
          <w:szCs w:val="16"/>
          <w:color w:val="auto"/>
        </w:rPr>
        <w:t>ZPA FedRAMP High JAB authorized and IL5 P-ATO</w:t>
      </w:r>
    </w:p>
    <w:p>
      <w:pPr>
        <w:spacing w:after="0" w:line="200" w:lineRule="exact"/>
        <w:rPr>
          <w:sz w:val="20"/>
          <w:szCs w:val="20"/>
          <w:color w:val="auto"/>
        </w:rPr>
      </w:pPr>
    </w:p>
    <w:p>
      <w:pPr>
        <w:sectPr>
          <w:pgSz w:w="11900" w:h="16838" w:orient="portrait"/>
          <w:cols w:equalWidth="0" w:num="3">
            <w:col w:w="3585" w:space="720"/>
            <w:col w:w="3438" w:space="720"/>
            <w:col w:w="2757"/>
          </w:cols>
          <w:pgMar w:left="320" w:top="172" w:right="359" w:bottom="1440" w:gutter="0" w:footer="0" w:header="0"/>
          <w:type w:val="continuous"/>
        </w:sectPr>
      </w:pPr>
    </w:p>
    <w:p>
      <w:pPr>
        <w:spacing w:after="0" w:line="200" w:lineRule="exact"/>
        <w:rPr>
          <w:sz w:val="20"/>
          <w:szCs w:val="20"/>
          <w:color w:val="auto"/>
        </w:rPr>
      </w:pPr>
    </w:p>
    <w:p>
      <w:pPr>
        <w:spacing w:after="0" w:line="218" w:lineRule="exact"/>
        <w:rPr>
          <w:sz w:val="20"/>
          <w:szCs w:val="20"/>
          <w:color w:val="auto"/>
        </w:rPr>
      </w:pPr>
    </w:p>
    <w:p>
      <w:pPr>
        <w:ind w:left="5580"/>
        <w:spacing w:after="0"/>
        <w:tabs>
          <w:tab w:leader="none" w:pos="9780" w:val="left"/>
        </w:tabs>
        <w:rPr>
          <w:sz w:val="20"/>
          <w:szCs w:val="20"/>
          <w:color w:val="auto"/>
        </w:rPr>
      </w:pPr>
      <w:r>
        <w:rPr>
          <w:rFonts w:ascii="Arial" w:cs="Arial" w:eastAsia="Arial" w:hAnsi="Arial"/>
          <w:sz w:val="29"/>
          <w:szCs w:val="29"/>
          <w:color w:val="auto"/>
          <w:vertAlign w:val="superscript"/>
        </w:rPr>
        <w:t>5</w:t>
      </w:r>
      <w:r>
        <w:rPr>
          <w:sz w:val="20"/>
          <w:szCs w:val="20"/>
          <w:color w:val="auto"/>
        </w:rPr>
        <w:tab/>
      </w:r>
      <w:r>
        <w:rPr>
          <w:rFonts w:ascii="Arial" w:cs="Arial" w:eastAsia="Arial" w:hAnsi="Arial"/>
          <w:sz w:val="14"/>
          <w:szCs w:val="14"/>
          <w:color w:val="auto"/>
        </w:rPr>
        <w:t>2021 Proxy Statement</w:t>
      </w:r>
    </w:p>
    <w:p>
      <w:pPr>
        <w:sectPr>
          <w:pgSz w:w="11900" w:h="16838" w:orient="portrait"/>
          <w:cols w:equalWidth="0" w:num="1">
            <w:col w:w="11220"/>
          </w:cols>
          <w:pgMar w:left="320" w:top="172" w:right="359" w:bottom="1440" w:gutter="0" w:footer="0" w:header="0"/>
          <w:type w:val="continuous"/>
        </w:sectPr>
      </w:pPr>
    </w:p>
    <w:bookmarkStart w:id="9" w:name="page10"/>
    <w:bookmarkEnd w:id="9"/>
    <w:p>
      <w:pPr>
        <w:ind w:left="280"/>
        <w:spacing w:after="0"/>
        <w:rPr>
          <w:sz w:val="20"/>
          <w:szCs w:val="20"/>
          <w:color w:val="auto"/>
        </w:rPr>
      </w:pPr>
      <w:r>
        <w:rPr>
          <w:rFonts w:ascii="Arial" w:cs="Arial" w:eastAsia="Arial" w:hAnsi="Arial"/>
          <w:sz w:val="13"/>
          <w:szCs w:val="13"/>
          <w:b w:val="1"/>
          <w:bCs w:val="1"/>
          <w:color w:val="929292"/>
        </w:rPr>
        <w:t>QUESTIONS AND ANSWERS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7470" cy="596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7470" cy="59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5000"/>
        <w:spacing w:after="0" w:line="241" w:lineRule="auto"/>
        <w:rPr>
          <w:sz w:val="20"/>
          <w:szCs w:val="20"/>
          <w:color w:val="auto"/>
        </w:rPr>
      </w:pPr>
      <w:r>
        <w:rPr>
          <w:rFonts w:ascii="Arial" w:cs="Arial" w:eastAsia="Arial" w:hAnsi="Arial"/>
          <w:sz w:val="54"/>
          <w:szCs w:val="54"/>
          <w:color w:val="auto"/>
        </w:rPr>
        <w:t>Questions and Answers About the Annual Meeting</w:t>
      </w:r>
    </w:p>
    <w:p>
      <w:pPr>
        <w:spacing w:after="0" w:line="83" w:lineRule="exact"/>
        <w:rPr>
          <w:sz w:val="20"/>
          <w:szCs w:val="20"/>
          <w:color w:val="auto"/>
        </w:rPr>
      </w:pPr>
    </w:p>
    <w:p>
      <w:pPr>
        <w:ind w:right="60"/>
        <w:spacing w:after="0" w:line="348" w:lineRule="auto"/>
        <w:rPr>
          <w:sz w:val="20"/>
          <w:szCs w:val="20"/>
          <w:color w:val="auto"/>
        </w:rPr>
      </w:pPr>
      <w:r>
        <w:rPr>
          <w:rFonts w:ascii="Arial" w:cs="Arial" w:eastAsia="Arial" w:hAnsi="Arial"/>
          <w:sz w:val="16"/>
          <w:szCs w:val="16"/>
          <w:color w:val="auto"/>
        </w:rPr>
        <w:t>The information provided in the “question and answer” format below addresses certain frequently asked questions but is not intended to be a summary of all matters contained in this Proxy Statement. Please read the entire Proxy Statement carefully before voting your shares.</w:t>
      </w:r>
    </w:p>
    <w:p>
      <w:pPr>
        <w:spacing w:after="0" w:line="94" w:lineRule="exact"/>
        <w:rPr>
          <w:sz w:val="20"/>
          <w:szCs w:val="20"/>
          <w:color w:val="auto"/>
        </w:rPr>
      </w:pPr>
    </w:p>
    <w:p>
      <w:pPr>
        <w:spacing w:after="0"/>
        <w:rPr>
          <w:sz w:val="20"/>
          <w:szCs w:val="20"/>
          <w:color w:val="auto"/>
        </w:rPr>
      </w:pPr>
      <w:r>
        <w:rPr>
          <w:rFonts w:ascii="Arial" w:cs="Arial" w:eastAsia="Arial" w:hAnsi="Arial"/>
          <w:sz w:val="22"/>
          <w:szCs w:val="22"/>
          <w:b w:val="1"/>
          <w:bCs w:val="1"/>
          <w:color w:val="009ADA"/>
        </w:rPr>
        <w:t>Why am I receiving these materials?</w:t>
      </w:r>
    </w:p>
    <w:p>
      <w:pPr>
        <w:spacing w:after="0" w:line="213" w:lineRule="exact"/>
        <w:rPr>
          <w:sz w:val="20"/>
          <w:szCs w:val="20"/>
          <w:color w:val="auto"/>
        </w:rPr>
      </w:pPr>
    </w:p>
    <w:p>
      <w:pPr>
        <w:jc w:val="both"/>
        <w:ind w:right="300"/>
        <w:spacing w:after="0" w:line="341" w:lineRule="auto"/>
        <w:rPr>
          <w:sz w:val="20"/>
          <w:szCs w:val="20"/>
          <w:color w:val="auto"/>
        </w:rPr>
      </w:pPr>
      <w:r>
        <w:rPr>
          <w:rFonts w:ascii="Arial" w:cs="Arial" w:eastAsia="Arial" w:hAnsi="Arial"/>
          <w:sz w:val="16"/>
          <w:szCs w:val="16"/>
          <w:color w:val="auto"/>
        </w:rPr>
        <w:t>Our board of directors is providing these proxy materials to you in connection with our board of directors’ solicitation of proxies for use at Zscaler’s virtual Annual Meeting, which will take place on January 5, 2022. Stockholders are invited to attend the virtual Annual Meeting and are requested to vote on the proposals described in this Proxy Statement.</w:t>
      </w:r>
    </w:p>
    <w:p>
      <w:pPr>
        <w:spacing w:after="0" w:line="147" w:lineRule="exact"/>
        <w:rPr>
          <w:sz w:val="20"/>
          <w:szCs w:val="20"/>
          <w:color w:val="auto"/>
        </w:rPr>
      </w:pPr>
    </w:p>
    <w:p>
      <w:pPr>
        <w:ind w:right="160"/>
        <w:spacing w:after="0" w:line="338" w:lineRule="auto"/>
        <w:rPr>
          <w:sz w:val="20"/>
          <w:szCs w:val="20"/>
          <w:color w:val="auto"/>
        </w:rPr>
      </w:pPr>
      <w:r>
        <w:rPr>
          <w:rFonts w:ascii="Arial" w:cs="Arial" w:eastAsia="Arial" w:hAnsi="Arial"/>
          <w:sz w:val="16"/>
          <w:szCs w:val="16"/>
          <w:color w:val="auto"/>
        </w:rPr>
        <w:t xml:space="preserve">All stockholders will have the ability to access the proxy materials via the internet, including this Proxy Statement and our Annual Report on Form 10-K for the fiscal year ended July 31, 2021 (the “Annual Report”), as filed with the U.S. Securities and Exchange Commission (the “SEC”) on September 16, 2021. This Proxy Statement and the Annual Report are available at </w:t>
      </w:r>
      <w:r>
        <w:rPr>
          <w:rFonts w:ascii="Arial" w:cs="Arial" w:eastAsia="Arial" w:hAnsi="Arial"/>
          <w:sz w:val="16"/>
          <w:szCs w:val="16"/>
          <w:b w:val="1"/>
          <w:bCs w:val="1"/>
          <w:color w:val="auto"/>
        </w:rPr>
        <w:t>http://www.proxyvote.com</w:t>
      </w:r>
      <w:r>
        <w:rPr>
          <w:rFonts w:ascii="Arial" w:cs="Arial" w:eastAsia="Arial" w:hAnsi="Arial"/>
          <w:sz w:val="16"/>
          <w:szCs w:val="16"/>
          <w:color w:val="auto"/>
        </w:rPr>
        <w:t xml:space="preserve">, as well as on our website at </w:t>
      </w:r>
      <w:r>
        <w:rPr>
          <w:rFonts w:ascii="Arial" w:cs="Arial" w:eastAsia="Arial" w:hAnsi="Arial"/>
          <w:sz w:val="16"/>
          <w:szCs w:val="16"/>
          <w:b w:val="1"/>
          <w:bCs w:val="1"/>
          <w:color w:val="auto"/>
        </w:rPr>
        <w:t>http://ir.zscaler.com</w:t>
      </w:r>
      <w:r>
        <w:rPr>
          <w:rFonts w:ascii="Arial" w:cs="Arial" w:eastAsia="Arial" w:hAnsi="Arial"/>
          <w:sz w:val="16"/>
          <w:szCs w:val="16"/>
          <w:color w:val="auto"/>
        </w:rPr>
        <w:t xml:space="preserve"> in the Financials section of our Investor Relations webpage. The Notice of Annual Meeting of Stockholders includes information on how to access the proxy materials, how to submit your vote over the internet, by phone or how to request a paper copy of the proxy materials.</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009ADA"/>
        </w:rPr>
        <w:t>What proposals will be voted on at the Annual Meeting?</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There are three proposals scheduled to be voted on at the Annual Meeting:</w:t>
      </w:r>
    </w:p>
    <w:p>
      <w:pPr>
        <w:spacing w:after="0" w:line="235" w:lineRule="exact"/>
        <w:rPr>
          <w:sz w:val="20"/>
          <w:szCs w:val="20"/>
          <w:color w:val="auto"/>
        </w:rPr>
      </w:pPr>
    </w:p>
    <w:p>
      <w:pPr>
        <w:ind w:left="500" w:right="220" w:hanging="168"/>
        <w:spacing w:after="0" w:line="348" w:lineRule="auto"/>
        <w:tabs>
          <w:tab w:leader="none" w:pos="462"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election of three Class I directors to hold office until the 2024 annual meeting of stockholders or until their successors are elected and qualified, subject to their earlier death, resignation or removal;</w:t>
      </w:r>
    </w:p>
    <w:p>
      <w:pPr>
        <w:spacing w:after="0" w:line="141" w:lineRule="exact"/>
        <w:rPr>
          <w:rFonts w:ascii="Arial" w:cs="Arial" w:eastAsia="Arial" w:hAnsi="Arial"/>
          <w:sz w:val="16"/>
          <w:szCs w:val="16"/>
          <w:color w:val="auto"/>
        </w:rPr>
      </w:pPr>
    </w:p>
    <w:p>
      <w:pPr>
        <w:ind w:left="500" w:right="240" w:hanging="168"/>
        <w:spacing w:after="0" w:line="348" w:lineRule="auto"/>
        <w:tabs>
          <w:tab w:leader="none" w:pos="462"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ratification of the appointment of PricewaterhouseCoopers LLP ("PwC") as our independent registered public accounting firm for our fiscal year ending July 31, 2022; and</w:t>
      </w:r>
    </w:p>
    <w:p>
      <w:pPr>
        <w:spacing w:after="0" w:line="141" w:lineRule="exact"/>
        <w:rPr>
          <w:rFonts w:ascii="Arial" w:cs="Arial" w:eastAsia="Arial" w:hAnsi="Arial"/>
          <w:sz w:val="16"/>
          <w:szCs w:val="16"/>
          <w:color w:val="auto"/>
        </w:rPr>
      </w:pPr>
    </w:p>
    <w:p>
      <w:pPr>
        <w:ind w:left="460" w:hanging="128"/>
        <w:spacing w:after="0"/>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 proposal to approve, on a non-binding advisory basis, the compensation of our Named Executive Officers.</w:t>
      </w:r>
    </w:p>
    <w:p>
      <w:pPr>
        <w:spacing w:after="0" w:line="235" w:lineRule="exact"/>
        <w:rPr>
          <w:sz w:val="20"/>
          <w:szCs w:val="20"/>
          <w:color w:val="auto"/>
        </w:rPr>
      </w:pPr>
    </w:p>
    <w:p>
      <w:pPr>
        <w:ind w:right="300"/>
        <w:spacing w:after="0" w:line="348" w:lineRule="auto"/>
        <w:rPr>
          <w:sz w:val="20"/>
          <w:szCs w:val="20"/>
          <w:color w:val="auto"/>
        </w:rPr>
      </w:pPr>
      <w:r>
        <w:rPr>
          <w:rFonts w:ascii="Arial" w:cs="Arial" w:eastAsia="Arial" w:hAnsi="Arial"/>
          <w:sz w:val="16"/>
          <w:szCs w:val="16"/>
          <w:color w:val="auto"/>
        </w:rPr>
        <w:t>At the time this Proxy Statement was mailed, our management and board of directors were not aware of any other matters to be presented at the Annual Meeting.</w:t>
      </w:r>
    </w:p>
    <w:p>
      <w:pPr>
        <w:spacing w:after="0" w:line="94" w:lineRule="exact"/>
        <w:rPr>
          <w:sz w:val="20"/>
          <w:szCs w:val="20"/>
          <w:color w:val="auto"/>
        </w:rPr>
      </w:pPr>
    </w:p>
    <w:p>
      <w:pPr>
        <w:spacing w:after="0"/>
        <w:rPr>
          <w:sz w:val="20"/>
          <w:szCs w:val="20"/>
          <w:color w:val="auto"/>
        </w:rPr>
      </w:pPr>
      <w:r>
        <w:rPr>
          <w:rFonts w:ascii="Arial" w:cs="Arial" w:eastAsia="Arial" w:hAnsi="Arial"/>
          <w:sz w:val="22"/>
          <w:szCs w:val="22"/>
          <w:b w:val="1"/>
          <w:bCs w:val="1"/>
          <w:color w:val="009ADA"/>
        </w:rPr>
        <w:t>How does our board of directors recommend that I vote?</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Our board of directors recommends that you vote:</w:t>
      </w:r>
    </w:p>
    <w:p>
      <w:pPr>
        <w:spacing w:after="0" w:line="242" w:lineRule="exact"/>
        <w:rPr>
          <w:sz w:val="20"/>
          <w:szCs w:val="20"/>
          <w:color w:val="auto"/>
        </w:rPr>
      </w:pPr>
    </w:p>
    <w:p>
      <w:pPr>
        <w:ind w:left="500" w:hanging="168"/>
        <w:spacing w:after="0" w:line="374" w:lineRule="auto"/>
        <w:tabs>
          <w:tab w:leader="none" w:pos="463" w:val="left"/>
        </w:tabs>
        <w:numPr>
          <w:ilvl w:val="0"/>
          <w:numId w:val="17"/>
        </w:numPr>
        <w:rPr>
          <w:rFonts w:ascii="Arial" w:cs="Arial" w:eastAsia="Arial" w:hAnsi="Arial"/>
          <w:sz w:val="13"/>
          <w:szCs w:val="13"/>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election of each of the three director nominees nominated by our board of directors and named in this Proxy Statement as Class I directors to</w:t>
      </w:r>
      <w:r>
        <w:rPr>
          <w:rFonts w:ascii="Arial" w:cs="Arial" w:eastAsia="Arial" w:hAnsi="Arial"/>
          <w:sz w:val="16"/>
          <w:szCs w:val="16"/>
          <w:b w:val="1"/>
          <w:bCs w:val="1"/>
          <w:color w:val="auto"/>
        </w:rPr>
        <w:t xml:space="preserve"> </w:t>
      </w:r>
      <w:r>
        <w:rPr>
          <w:rFonts w:ascii="Arial" w:cs="Arial" w:eastAsia="Arial" w:hAnsi="Arial"/>
          <w:sz w:val="16"/>
          <w:szCs w:val="16"/>
          <w:color w:val="auto"/>
        </w:rPr>
        <w:t>serve for a three-year term;</w:t>
      </w:r>
    </w:p>
    <w:p>
      <w:pPr>
        <w:spacing w:after="0" w:line="101" w:lineRule="exact"/>
        <w:rPr>
          <w:rFonts w:ascii="Arial" w:cs="Arial" w:eastAsia="Arial" w:hAnsi="Arial"/>
          <w:sz w:val="13"/>
          <w:szCs w:val="13"/>
          <w:color w:val="auto"/>
        </w:rPr>
      </w:pPr>
    </w:p>
    <w:p>
      <w:pPr>
        <w:ind w:left="460" w:hanging="128"/>
        <w:spacing w:after="0"/>
        <w:tabs>
          <w:tab w:leader="none" w:pos="460" w:val="left"/>
        </w:tabs>
        <w:numPr>
          <w:ilvl w:val="0"/>
          <w:numId w:val="17"/>
        </w:numPr>
        <w:rPr>
          <w:rFonts w:ascii="Arial" w:cs="Arial" w:eastAsia="Arial" w:hAnsi="Arial"/>
          <w:sz w:val="13"/>
          <w:szCs w:val="13"/>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ratification of the appointment of PwC as our independent registered public accounting firm for our fiscal year ending July 31, 2022; and</w:t>
      </w:r>
    </w:p>
    <w:p>
      <w:pPr>
        <w:spacing w:after="0" w:line="234" w:lineRule="exact"/>
        <w:rPr>
          <w:rFonts w:ascii="Arial" w:cs="Arial" w:eastAsia="Arial" w:hAnsi="Arial"/>
          <w:sz w:val="13"/>
          <w:szCs w:val="13"/>
          <w:color w:val="auto"/>
        </w:rPr>
      </w:pPr>
    </w:p>
    <w:p>
      <w:pPr>
        <w:ind w:left="460" w:hanging="128"/>
        <w:spacing w:after="0"/>
        <w:tabs>
          <w:tab w:leader="none" w:pos="460" w:val="left"/>
        </w:tabs>
        <w:numPr>
          <w:ilvl w:val="0"/>
          <w:numId w:val="17"/>
        </w:numPr>
        <w:rPr>
          <w:rFonts w:ascii="Arial" w:cs="Arial" w:eastAsia="Arial" w:hAnsi="Arial"/>
          <w:sz w:val="13"/>
          <w:szCs w:val="13"/>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approval, on an advisory non-binding basis, of the compensation of our Named Executive Officers, as disclosed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323215</wp:posOffset>
            </wp:positionV>
            <wp:extent cx="342900" cy="2146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0" cy="21463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jc w:val="both"/>
        <w:ind w:left="5580"/>
        <w:spacing w:after="0"/>
        <w:tabs>
          <w:tab w:leader="none" w:pos="9780" w:val="left"/>
        </w:tabs>
        <w:rPr>
          <w:sz w:val="20"/>
          <w:szCs w:val="20"/>
          <w:color w:val="auto"/>
        </w:rPr>
      </w:pPr>
      <w:r>
        <w:rPr>
          <w:rFonts w:ascii="Arial" w:cs="Arial" w:eastAsia="Arial" w:hAnsi="Arial"/>
          <w:sz w:val="29"/>
          <w:szCs w:val="29"/>
          <w:color w:val="auto"/>
          <w:vertAlign w:val="superscript"/>
        </w:rPr>
        <w:t>6</w:t>
      </w:r>
      <w:r>
        <w:rPr>
          <w:sz w:val="20"/>
          <w:szCs w:val="20"/>
          <w:color w:val="auto"/>
        </w:rPr>
        <w:tab/>
      </w:r>
      <w:r>
        <w:rPr>
          <w:rFonts w:ascii="Arial" w:cs="Arial" w:eastAsia="Arial" w:hAnsi="Arial"/>
          <w:sz w:val="14"/>
          <w:szCs w:val="14"/>
          <w:color w:val="auto"/>
        </w:rPr>
        <w:t>2021 Proxy Statement</w:t>
      </w:r>
    </w:p>
    <w:p>
      <w:pPr>
        <w:sectPr>
          <w:pgSz w:w="11900" w:h="16838" w:orient="portrait"/>
          <w:cols w:equalWidth="0" w:num="1">
            <w:col w:w="11220"/>
          </w:cols>
          <w:pgMar w:left="320" w:top="172" w:right="359" w:bottom="1440" w:gutter="0" w:footer="0" w:header="0"/>
        </w:sectPr>
      </w:pPr>
    </w:p>
    <w:bookmarkStart w:id="10" w:name="page11"/>
    <w:bookmarkEnd w:id="10"/>
    <w:p>
      <w:pPr>
        <w:ind w:left="280"/>
        <w:spacing w:after="0"/>
        <w:rPr>
          <w:sz w:val="20"/>
          <w:szCs w:val="20"/>
          <w:color w:val="auto"/>
        </w:rPr>
      </w:pPr>
      <w:r>
        <w:rPr>
          <w:rFonts w:ascii="Arial" w:cs="Arial" w:eastAsia="Arial" w:hAnsi="Arial"/>
          <w:sz w:val="13"/>
          <w:szCs w:val="13"/>
          <w:b w:val="1"/>
          <w:bCs w:val="1"/>
          <w:color w:val="929292"/>
        </w:rPr>
        <w:t>QUESTIONS AND ANSWERS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7470" cy="596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7470" cy="59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b w:val="1"/>
          <w:bCs w:val="1"/>
          <w:color w:val="009ADA"/>
        </w:rPr>
        <w:t>Who is entitled to vote at the Annual Meeting?</w:t>
      </w:r>
    </w:p>
    <w:p>
      <w:pPr>
        <w:spacing w:after="0" w:line="213" w:lineRule="exact"/>
        <w:rPr>
          <w:sz w:val="20"/>
          <w:szCs w:val="20"/>
          <w:color w:val="auto"/>
        </w:rPr>
      </w:pPr>
    </w:p>
    <w:p>
      <w:pPr>
        <w:ind w:right="20"/>
        <w:spacing w:after="0" w:line="338" w:lineRule="auto"/>
        <w:rPr>
          <w:sz w:val="20"/>
          <w:szCs w:val="20"/>
          <w:color w:val="auto"/>
        </w:rPr>
      </w:pPr>
      <w:r>
        <w:rPr>
          <w:rFonts w:ascii="Arial" w:cs="Arial" w:eastAsia="Arial" w:hAnsi="Arial"/>
          <w:sz w:val="16"/>
          <w:szCs w:val="16"/>
          <w:color w:val="auto"/>
        </w:rPr>
        <w:t>Holders of our common stock at the close of business on November 10, 2021, the record date for the Annual Meeting (the “Record Date”), are entitled to notice of and to vote at the Annual Meeting. Each stockholder is entitled to one vote for each share of our common stock held as of the Record Date. As of the Record Date, there were 140,052,835 shares of common stock outstanding and entitled to vote. Stockholders are not permitted to cumulate votes with respect to the election of directors. The shares you are entitled to vote include shares that are (1) held of record directly in your name and (2) held for you as the beneficial owner through a stockbroker, bank or other nominee.</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009ADA"/>
        </w:rPr>
        <w:t>What is the difference between holding shares as a stockholder of record and as a beneficial owner?</w:t>
      </w:r>
    </w:p>
    <w:p>
      <w:pPr>
        <w:spacing w:after="0" w:line="193" w:lineRule="exact"/>
        <w:rPr>
          <w:sz w:val="20"/>
          <w:szCs w:val="20"/>
          <w:color w:val="auto"/>
        </w:rPr>
      </w:pPr>
    </w:p>
    <w:p>
      <w:pPr>
        <w:ind w:right="200"/>
        <w:spacing w:after="0" w:line="347" w:lineRule="auto"/>
        <w:rPr>
          <w:sz w:val="20"/>
          <w:szCs w:val="20"/>
          <w:color w:val="auto"/>
        </w:rPr>
      </w:pPr>
      <w:r>
        <w:rPr>
          <w:rFonts w:ascii="Arial" w:cs="Arial" w:eastAsia="Arial" w:hAnsi="Arial"/>
          <w:sz w:val="16"/>
          <w:szCs w:val="16"/>
          <w:b w:val="1"/>
          <w:bCs w:val="1"/>
          <w:i w:val="1"/>
          <w:iCs w:val="1"/>
          <w:color w:val="auto"/>
        </w:rPr>
        <w:t xml:space="preserve">Stockholder of Record: Shares Registered in Your Name. </w:t>
      </w:r>
      <w:r>
        <w:rPr>
          <w:rFonts w:ascii="Arial" w:cs="Arial" w:eastAsia="Arial" w:hAnsi="Arial"/>
          <w:sz w:val="16"/>
          <w:szCs w:val="16"/>
          <w:color w:val="auto"/>
        </w:rPr>
        <w:t>If, at the close of business on the Record Date, your shares were registered directly in your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name with American Stock Transfer &amp; Trust Company, LLC, our transfer agent, then you are considered the stockholder of record with respect to those shares. As the stockholder of record, you have the right to grant your voting proxy directly to the individuals listed on the proxy card or to vote on your own behalf at the Annual Meeting.</w:t>
      </w:r>
    </w:p>
    <w:p>
      <w:pPr>
        <w:spacing w:after="0" w:line="124"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b w:val="1"/>
          <w:bCs w:val="1"/>
          <w:i w:val="1"/>
          <w:iCs w:val="1"/>
          <w:color w:val="auto"/>
        </w:rPr>
        <w:t xml:space="preserve">Beneficial Owners: Shares Registered in the Name of a Broker, Bank or Other Nominee. </w:t>
      </w:r>
      <w:r>
        <w:rPr>
          <w:rFonts w:ascii="Arial" w:cs="Arial" w:eastAsia="Arial" w:hAnsi="Arial"/>
          <w:sz w:val="16"/>
          <w:szCs w:val="16"/>
          <w:color w:val="auto"/>
        </w:rPr>
        <w:t>If, at the close of business on the Record Date, your shares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were held, not in your name, but rather in a stock brokerage account or by a bank or other nominee on your behalf, then you are considered the beneficial owner of shares held in “street name.” As the beneficial owner, you have the right to direct your broker, bank or other nominee how to vote your shares by following the voting instructions your broker, bank or other nominee provides. If you do not provide your broker, bank or other nominee with instructions on how to vote your shares, your broker, bank or other nominee may, in its discretion, vote your shares with respect to routine matters but may not vote your shares with respect to any non-routine matters. For additional information, see “</w:t>
      </w:r>
      <w:r>
        <w:rPr>
          <w:rFonts w:ascii="Arial" w:cs="Arial" w:eastAsia="Arial" w:hAnsi="Arial"/>
          <w:sz w:val="16"/>
          <w:szCs w:val="16"/>
          <w:i w:val="1"/>
          <w:iCs w:val="1"/>
          <w:color w:val="auto"/>
        </w:rPr>
        <w:t>What if I do not specify how my shares are to be voted?</w:t>
      </w:r>
      <w:r>
        <w:rPr>
          <w:rFonts w:ascii="Arial" w:cs="Arial" w:eastAsia="Arial" w:hAnsi="Arial"/>
          <w:sz w:val="16"/>
          <w:szCs w:val="16"/>
          <w:color w:val="auto"/>
        </w:rPr>
        <w:t>” below.</w:t>
      </w:r>
    </w:p>
    <w:p>
      <w:pPr>
        <w:spacing w:after="0" w:line="100" w:lineRule="exact"/>
        <w:rPr>
          <w:sz w:val="20"/>
          <w:szCs w:val="20"/>
          <w:color w:val="auto"/>
        </w:rPr>
      </w:pPr>
    </w:p>
    <w:p>
      <w:pPr>
        <w:spacing w:after="0"/>
        <w:rPr>
          <w:sz w:val="20"/>
          <w:szCs w:val="20"/>
          <w:color w:val="auto"/>
        </w:rPr>
      </w:pPr>
      <w:r>
        <w:rPr>
          <w:rFonts w:ascii="Arial" w:cs="Arial" w:eastAsia="Arial" w:hAnsi="Arial"/>
          <w:sz w:val="22"/>
          <w:szCs w:val="22"/>
          <w:b w:val="1"/>
          <w:bCs w:val="1"/>
          <w:color w:val="009ADA"/>
        </w:rPr>
        <w:t>Do I have to do anything in advance if I plan to attend the Annual Meeting?</w:t>
      </w:r>
    </w:p>
    <w:p>
      <w:pPr>
        <w:spacing w:after="0" w:line="213" w:lineRule="exact"/>
        <w:rPr>
          <w:sz w:val="20"/>
          <w:szCs w:val="20"/>
          <w:color w:val="auto"/>
        </w:rPr>
      </w:pPr>
    </w:p>
    <w:p>
      <w:pPr>
        <w:spacing w:after="0" w:line="348" w:lineRule="auto"/>
        <w:rPr>
          <w:sz w:val="20"/>
          <w:szCs w:val="20"/>
          <w:color w:val="auto"/>
        </w:rPr>
      </w:pPr>
      <w:r>
        <w:rPr>
          <w:rFonts w:ascii="Arial" w:cs="Arial" w:eastAsia="Arial" w:hAnsi="Arial"/>
          <w:sz w:val="16"/>
          <w:szCs w:val="16"/>
          <w:color w:val="auto"/>
        </w:rPr>
        <w:t>The Annual Meeting will be a completely virtual meeting , which will be conducted via live audio webcast. You are entitled to participate in the annual meeting only if you were a holder of our common stock as of the close of business on November 10, 2021 or if you hold a valid proxy for the Annual Meeting.</w:t>
      </w:r>
    </w:p>
    <w:p>
      <w:pPr>
        <w:spacing w:after="0" w:line="141" w:lineRule="exact"/>
        <w:rPr>
          <w:sz w:val="20"/>
          <w:szCs w:val="20"/>
          <w:color w:val="auto"/>
        </w:rPr>
      </w:pPr>
    </w:p>
    <w:p>
      <w:pPr>
        <w:ind w:right="2140"/>
        <w:spacing w:after="0" w:line="348" w:lineRule="auto"/>
        <w:rPr>
          <w:sz w:val="20"/>
          <w:szCs w:val="20"/>
          <w:color w:val="auto"/>
        </w:rPr>
      </w:pPr>
      <w:r>
        <w:rPr>
          <w:rFonts w:ascii="Arial" w:cs="Arial" w:eastAsia="Arial" w:hAnsi="Arial"/>
          <w:sz w:val="16"/>
          <w:szCs w:val="16"/>
          <w:color w:val="auto"/>
        </w:rPr>
        <w:t xml:space="preserve">You will be able to attend the Annual Meeting and submit your questions during the Annual Meeting by visiting </w:t>
      </w:r>
      <w:r>
        <w:rPr>
          <w:rFonts w:ascii="Arial" w:cs="Arial" w:eastAsia="Arial" w:hAnsi="Arial"/>
          <w:sz w:val="16"/>
          <w:szCs w:val="16"/>
          <w:b w:val="1"/>
          <w:bCs w:val="1"/>
          <w:color w:val="auto"/>
        </w:rPr>
        <w:t>www.virtualshareholdermeeting.com/ZS2021</w:t>
      </w:r>
      <w:r>
        <w:rPr>
          <w:rFonts w:ascii="Arial" w:cs="Arial" w:eastAsia="Arial" w:hAnsi="Arial"/>
          <w:sz w:val="16"/>
          <w:szCs w:val="16"/>
          <w:color w:val="auto"/>
        </w:rPr>
        <w:t>. You also will be able to vote your shares electronically at the Annual Meeting.</w:t>
      </w:r>
    </w:p>
    <w:p>
      <w:pPr>
        <w:spacing w:after="0" w:line="141" w:lineRule="exact"/>
        <w:rPr>
          <w:sz w:val="20"/>
          <w:szCs w:val="20"/>
          <w:color w:val="auto"/>
        </w:rPr>
      </w:pPr>
    </w:p>
    <w:p>
      <w:pPr>
        <w:jc w:val="both"/>
        <w:ind w:right="160"/>
        <w:spacing w:after="0" w:line="341" w:lineRule="auto"/>
        <w:rPr>
          <w:sz w:val="20"/>
          <w:szCs w:val="20"/>
          <w:color w:val="auto"/>
        </w:rPr>
      </w:pPr>
      <w:r>
        <w:rPr>
          <w:rFonts w:ascii="Arial" w:cs="Arial" w:eastAsia="Arial" w:hAnsi="Arial"/>
          <w:sz w:val="16"/>
          <w:szCs w:val="16"/>
          <w:color w:val="auto"/>
        </w:rPr>
        <w:t>To participate in the Annual Meeting, you will need the control number included on your Notice or proxy card. The live audio webcast will begin promptly at 1:00 p.m. Pacific Time on January 5, 2022. We encourage you to access the meeting prior to the start time. Online check-in will begin at 12:45 p.m. Pacific Time, and you should allow ample time for the check-in procedures.</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color w:val="009ADA"/>
        </w:rPr>
        <w:t>How can I get help if I have trouble checking in or listening to the meeting online?</w:t>
      </w:r>
    </w:p>
    <w:p>
      <w:pPr>
        <w:spacing w:after="0" w:line="213" w:lineRule="exact"/>
        <w:rPr>
          <w:sz w:val="20"/>
          <w:szCs w:val="20"/>
          <w:color w:val="auto"/>
        </w:rPr>
      </w:pPr>
    </w:p>
    <w:p>
      <w:pPr>
        <w:ind w:right="400"/>
        <w:spacing w:after="0" w:line="348" w:lineRule="auto"/>
        <w:rPr>
          <w:sz w:val="20"/>
          <w:szCs w:val="20"/>
          <w:color w:val="auto"/>
        </w:rPr>
      </w:pPr>
      <w:r>
        <w:rPr>
          <w:rFonts w:ascii="Arial" w:cs="Arial" w:eastAsia="Arial" w:hAnsi="Arial"/>
          <w:sz w:val="16"/>
          <w:szCs w:val="16"/>
          <w:color w:val="auto"/>
        </w:rPr>
        <w:t>If you encounter any difficulties accessing the Annual Meeting during the check-in or meeting time, please call the technical support number that will be posted on the Annual Meeting log-in page.</w:t>
      </w:r>
    </w:p>
    <w:p>
      <w:pPr>
        <w:spacing w:after="0" w:line="94" w:lineRule="exact"/>
        <w:rPr>
          <w:sz w:val="20"/>
          <w:szCs w:val="20"/>
          <w:color w:val="auto"/>
        </w:rPr>
      </w:pPr>
    </w:p>
    <w:p>
      <w:pPr>
        <w:spacing w:after="0"/>
        <w:rPr>
          <w:sz w:val="20"/>
          <w:szCs w:val="20"/>
          <w:color w:val="auto"/>
        </w:rPr>
      </w:pPr>
      <w:r>
        <w:rPr>
          <w:rFonts w:ascii="Arial" w:cs="Arial" w:eastAsia="Arial" w:hAnsi="Arial"/>
          <w:sz w:val="22"/>
          <w:szCs w:val="22"/>
          <w:b w:val="1"/>
          <w:bCs w:val="1"/>
          <w:color w:val="009ADA"/>
        </w:rPr>
        <w:t>How do I vote and what are the voting deadlines?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Stockholder of Record: Shares Registered in Your Name</w:t>
      </w:r>
      <w:r>
        <w:rPr>
          <w:rFonts w:ascii="Arial" w:cs="Arial" w:eastAsia="Arial" w:hAnsi="Arial"/>
          <w:sz w:val="16"/>
          <w:szCs w:val="16"/>
          <w:color w:val="auto"/>
        </w:rPr>
        <w:t>. If you are a stockholder of record, you can vote in one of the following ways:</w:t>
      </w:r>
    </w:p>
    <w:p>
      <w:pPr>
        <w:spacing w:after="0" w:line="235" w:lineRule="exact"/>
        <w:rPr>
          <w:sz w:val="20"/>
          <w:szCs w:val="20"/>
          <w:color w:val="auto"/>
        </w:rPr>
      </w:pPr>
    </w:p>
    <w:p>
      <w:pPr>
        <w:ind w:left="500" w:right="120" w:hanging="168"/>
        <w:spacing w:after="0" w:line="354" w:lineRule="auto"/>
        <w:tabs>
          <w:tab w:leader="none" w:pos="463" w:val="left"/>
        </w:tabs>
        <w:numPr>
          <w:ilvl w:val="0"/>
          <w:numId w:val="18"/>
        </w:numPr>
        <w:rPr>
          <w:rFonts w:ascii="Arial" w:cs="Arial" w:eastAsia="Arial" w:hAnsi="Arial"/>
          <w:sz w:val="13"/>
          <w:szCs w:val="13"/>
          <w:color w:val="auto"/>
        </w:rPr>
      </w:pPr>
      <w:r>
        <w:rPr>
          <w:rFonts w:ascii="Arial" w:cs="Arial" w:eastAsia="Arial" w:hAnsi="Arial"/>
          <w:sz w:val="16"/>
          <w:szCs w:val="16"/>
          <w:b w:val="1"/>
          <w:bCs w:val="1"/>
          <w:color w:val="auto"/>
        </w:rPr>
        <w:t xml:space="preserve">You may vote via the Internet. </w:t>
      </w:r>
      <w:r>
        <w:rPr>
          <w:rFonts w:ascii="Arial" w:cs="Arial" w:eastAsia="Arial" w:hAnsi="Arial"/>
          <w:sz w:val="16"/>
          <w:szCs w:val="16"/>
          <w:color w:val="auto"/>
        </w:rPr>
        <w:t>To vote via the internet, go to</w:t>
      </w:r>
      <w:r>
        <w:rPr>
          <w:rFonts w:ascii="Arial" w:cs="Arial" w:eastAsia="Arial" w:hAnsi="Arial"/>
          <w:sz w:val="16"/>
          <w:szCs w:val="16"/>
          <w:b w:val="1"/>
          <w:bCs w:val="1"/>
          <w:color w:val="auto"/>
        </w:rPr>
        <w:t xml:space="preserve"> http://www.proxyvote.com </w:t>
      </w:r>
      <w:r>
        <w:rPr>
          <w:rFonts w:ascii="Arial" w:cs="Arial" w:eastAsia="Arial" w:hAnsi="Arial"/>
          <w:sz w:val="16"/>
          <w:szCs w:val="16"/>
          <w:color w:val="auto"/>
        </w:rPr>
        <w:t>to complete an electronic proxy card. You will be asked to</w:t>
      </w:r>
      <w:r>
        <w:rPr>
          <w:rFonts w:ascii="Arial" w:cs="Arial" w:eastAsia="Arial" w:hAnsi="Arial"/>
          <w:sz w:val="16"/>
          <w:szCs w:val="16"/>
          <w:b w:val="1"/>
          <w:bCs w:val="1"/>
          <w:color w:val="auto"/>
        </w:rPr>
        <w:t xml:space="preserve"> </w:t>
      </w:r>
      <w:r>
        <w:rPr>
          <w:rFonts w:ascii="Arial" w:cs="Arial" w:eastAsia="Arial" w:hAnsi="Arial"/>
          <w:sz w:val="16"/>
          <w:szCs w:val="16"/>
          <w:color w:val="auto"/>
        </w:rPr>
        <w:t>provide the control number from the proxy card you receive. Your vote must be received by 11:59 p.m. Eastern Time on January 4, 2022 to be counted. If you vote via the internet, you do not need to return a proxy card by 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214630</wp:posOffset>
            </wp:positionV>
            <wp:extent cx="342900" cy="2146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2900" cy="214630"/>
                    </a:xfrm>
                    <a:prstGeom prst="rect">
                      <a:avLst/>
                    </a:prstGeom>
                    <a:noFill/>
                  </pic:spPr>
                </pic:pic>
              </a:graphicData>
            </a:graphic>
          </wp:anchor>
        </w:drawing>
      </w:r>
    </w:p>
    <w:p>
      <w:pPr>
        <w:spacing w:after="0" w:line="256" w:lineRule="exact"/>
        <w:rPr>
          <w:sz w:val="20"/>
          <w:szCs w:val="20"/>
          <w:color w:val="auto"/>
        </w:rPr>
      </w:pPr>
    </w:p>
    <w:p>
      <w:pPr>
        <w:ind w:left="5580"/>
        <w:spacing w:after="0"/>
        <w:tabs>
          <w:tab w:leader="none" w:pos="9780" w:val="left"/>
        </w:tabs>
        <w:rPr>
          <w:sz w:val="20"/>
          <w:szCs w:val="20"/>
          <w:color w:val="auto"/>
        </w:rPr>
      </w:pPr>
      <w:r>
        <w:rPr>
          <w:rFonts w:ascii="Arial" w:cs="Arial" w:eastAsia="Arial" w:hAnsi="Arial"/>
          <w:sz w:val="29"/>
          <w:szCs w:val="29"/>
          <w:color w:val="auto"/>
          <w:vertAlign w:val="superscript"/>
        </w:rPr>
        <w:t>7</w:t>
      </w:r>
      <w:r>
        <w:rPr>
          <w:sz w:val="20"/>
          <w:szCs w:val="20"/>
          <w:color w:val="auto"/>
        </w:rPr>
        <w:tab/>
      </w:r>
      <w:r>
        <w:rPr>
          <w:rFonts w:ascii="Arial" w:cs="Arial" w:eastAsia="Arial" w:hAnsi="Arial"/>
          <w:sz w:val="14"/>
          <w:szCs w:val="14"/>
          <w:color w:val="auto"/>
        </w:rPr>
        <w:t>2021 Proxy Statement</w:t>
      </w:r>
    </w:p>
    <w:p>
      <w:pPr>
        <w:sectPr>
          <w:pgSz w:w="11900" w:h="16838" w:orient="portrait"/>
          <w:cols w:equalWidth="0" w:num="1">
            <w:col w:w="11220"/>
          </w:cols>
          <w:pgMar w:left="320" w:top="172" w:right="359" w:bottom="1440" w:gutter="0" w:footer="0" w:header="0"/>
        </w:sectPr>
      </w:pPr>
    </w:p>
    <w:bookmarkStart w:id="11" w:name="page12"/>
    <w:bookmarkEnd w:id="11"/>
    <w:p>
      <w:pPr>
        <w:ind w:left="280"/>
        <w:spacing w:after="0"/>
        <w:rPr>
          <w:sz w:val="20"/>
          <w:szCs w:val="20"/>
          <w:color w:val="auto"/>
        </w:rPr>
      </w:pPr>
      <w:r>
        <w:rPr>
          <w:rFonts w:ascii="Arial" w:cs="Arial" w:eastAsia="Arial" w:hAnsi="Arial"/>
          <w:sz w:val="13"/>
          <w:szCs w:val="13"/>
          <w:b w:val="1"/>
          <w:bCs w:val="1"/>
          <w:color w:val="929292"/>
        </w:rPr>
        <w:t>QUESTIONS AND ANSWERS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7470" cy="596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7470" cy="59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00" w:right="20" w:hanging="168"/>
        <w:spacing w:after="0" w:line="347" w:lineRule="auto"/>
        <w:tabs>
          <w:tab w:leader="none" w:pos="463" w:val="left"/>
        </w:tabs>
        <w:numPr>
          <w:ilvl w:val="0"/>
          <w:numId w:val="19"/>
        </w:numPr>
        <w:rPr>
          <w:rFonts w:ascii="Arial" w:cs="Arial" w:eastAsia="Arial" w:hAnsi="Arial"/>
          <w:sz w:val="13"/>
          <w:szCs w:val="13"/>
          <w:color w:val="auto"/>
        </w:rPr>
      </w:pPr>
      <w:r>
        <w:rPr>
          <w:rFonts w:ascii="Arial" w:cs="Arial" w:eastAsia="Arial" w:hAnsi="Arial"/>
          <w:sz w:val="16"/>
          <w:szCs w:val="16"/>
          <w:b w:val="1"/>
          <w:bCs w:val="1"/>
          <w:color w:val="auto"/>
        </w:rPr>
        <w:t xml:space="preserve">You may vote by telephone. </w:t>
      </w:r>
      <w:r>
        <w:rPr>
          <w:rFonts w:ascii="Arial" w:cs="Arial" w:eastAsia="Arial" w:hAnsi="Arial"/>
          <w:sz w:val="16"/>
          <w:szCs w:val="16"/>
          <w:color w:val="auto"/>
        </w:rPr>
        <w:t>To vote by telephone, dial toll-free 1-800-690-6903 in the United States and Canada or 1-800-454-8683 from countries</w:t>
      </w:r>
      <w:r>
        <w:rPr>
          <w:rFonts w:ascii="Arial" w:cs="Arial" w:eastAsia="Arial" w:hAnsi="Arial"/>
          <w:sz w:val="16"/>
          <w:szCs w:val="16"/>
          <w:b w:val="1"/>
          <w:bCs w:val="1"/>
          <w:color w:val="auto"/>
        </w:rPr>
        <w:t xml:space="preserve"> </w:t>
      </w:r>
      <w:r>
        <w:rPr>
          <w:rFonts w:ascii="Arial" w:cs="Arial" w:eastAsia="Arial" w:hAnsi="Arial"/>
          <w:sz w:val="16"/>
          <w:szCs w:val="16"/>
          <w:color w:val="auto"/>
        </w:rPr>
        <w:t>outside the United States and Canada and follow the recorded instructions. You will be asked to provide the control number from the proxy card. Your vote must be received by 11:59 p.m. Eastern Time on January 4, 2022 to be counted. If you vote by telephone, you do not need to return a proxy card by mail.</w:t>
      </w:r>
    </w:p>
    <w:p>
      <w:pPr>
        <w:spacing w:after="0" w:line="69" w:lineRule="exact"/>
        <w:rPr>
          <w:rFonts w:ascii="Arial" w:cs="Arial" w:eastAsia="Arial" w:hAnsi="Arial"/>
          <w:sz w:val="13"/>
          <w:szCs w:val="13"/>
          <w:color w:val="auto"/>
        </w:rPr>
      </w:pPr>
    </w:p>
    <w:p>
      <w:pPr>
        <w:ind w:left="500" w:right="20" w:hanging="168"/>
        <w:spacing w:after="0" w:line="344" w:lineRule="auto"/>
        <w:tabs>
          <w:tab w:leader="none" w:pos="463" w:val="left"/>
        </w:tabs>
        <w:numPr>
          <w:ilvl w:val="0"/>
          <w:numId w:val="19"/>
        </w:numPr>
        <w:rPr>
          <w:rFonts w:ascii="Arial" w:cs="Arial" w:eastAsia="Arial" w:hAnsi="Arial"/>
          <w:sz w:val="13"/>
          <w:szCs w:val="13"/>
          <w:color w:val="auto"/>
        </w:rPr>
      </w:pPr>
      <w:r>
        <w:rPr>
          <w:rFonts w:ascii="Arial" w:cs="Arial" w:eastAsia="Arial" w:hAnsi="Arial"/>
          <w:sz w:val="16"/>
          <w:szCs w:val="16"/>
          <w:b w:val="1"/>
          <w:bCs w:val="1"/>
          <w:color w:val="auto"/>
        </w:rPr>
        <w:t xml:space="preserve">You may vote by mail. </w:t>
      </w:r>
      <w:r>
        <w:rPr>
          <w:rFonts w:ascii="Arial" w:cs="Arial" w:eastAsia="Arial" w:hAnsi="Arial"/>
          <w:sz w:val="16"/>
          <w:szCs w:val="16"/>
          <w:color w:val="auto"/>
        </w:rPr>
        <w:t>To vote by mail using the proxy card (if you requested paper copies of the proxy materials to be mailed to you), complete, date</w:t>
      </w:r>
      <w:r>
        <w:rPr>
          <w:rFonts w:ascii="Arial" w:cs="Arial" w:eastAsia="Arial" w:hAnsi="Arial"/>
          <w:sz w:val="16"/>
          <w:szCs w:val="16"/>
          <w:b w:val="1"/>
          <w:bCs w:val="1"/>
          <w:color w:val="auto"/>
        </w:rPr>
        <w:t xml:space="preserve"> </w:t>
      </w:r>
      <w:r>
        <w:rPr>
          <w:rFonts w:ascii="Arial" w:cs="Arial" w:eastAsia="Arial" w:hAnsi="Arial"/>
          <w:sz w:val="16"/>
          <w:szCs w:val="16"/>
          <w:color w:val="auto"/>
        </w:rPr>
        <w:t>and sign the proxy card and return it promptly by mail in the envelope to be provided so that it is received no later than January 4, 2022. The persons named in the proxy card will vote the shares you own in accordance with your instructions on the proxy card you mail. If you return the proxy card, but do not give any instructions on a particular matter to be voted on at the Annual Meeting, the persons named in the proxy card will vote the shares in accordance with the recommendations of our board of directors.</w:t>
      </w:r>
    </w:p>
    <w:p>
      <w:pPr>
        <w:spacing w:after="0" w:line="71" w:lineRule="exact"/>
        <w:rPr>
          <w:rFonts w:ascii="Arial" w:cs="Arial" w:eastAsia="Arial" w:hAnsi="Arial"/>
          <w:sz w:val="13"/>
          <w:szCs w:val="13"/>
          <w:color w:val="auto"/>
        </w:rPr>
      </w:pPr>
    </w:p>
    <w:p>
      <w:pPr>
        <w:ind w:left="500" w:right="360" w:hanging="168"/>
        <w:spacing w:after="0" w:line="374" w:lineRule="auto"/>
        <w:tabs>
          <w:tab w:leader="none" w:pos="463" w:val="left"/>
        </w:tabs>
        <w:numPr>
          <w:ilvl w:val="0"/>
          <w:numId w:val="19"/>
        </w:numPr>
        <w:rPr>
          <w:rFonts w:ascii="Arial" w:cs="Arial" w:eastAsia="Arial" w:hAnsi="Arial"/>
          <w:sz w:val="13"/>
          <w:szCs w:val="13"/>
          <w:color w:val="auto"/>
        </w:rPr>
      </w:pPr>
      <w:r>
        <w:rPr>
          <w:rFonts w:ascii="Arial" w:cs="Arial" w:eastAsia="Arial" w:hAnsi="Arial"/>
          <w:sz w:val="16"/>
          <w:szCs w:val="16"/>
          <w:b w:val="1"/>
          <w:bCs w:val="1"/>
          <w:color w:val="auto"/>
        </w:rPr>
        <w:t xml:space="preserve">You may vote at the Annual Meeting. </w:t>
      </w:r>
      <w:r>
        <w:rPr>
          <w:rFonts w:ascii="Arial" w:cs="Arial" w:eastAsia="Arial" w:hAnsi="Arial"/>
          <w:sz w:val="16"/>
          <w:szCs w:val="16"/>
          <w:color w:val="auto"/>
        </w:rPr>
        <w:t>To vote at the meeting, following the instructions at</w:t>
      </w:r>
      <w:r>
        <w:rPr>
          <w:rFonts w:ascii="Arial" w:cs="Arial" w:eastAsia="Arial" w:hAnsi="Arial"/>
          <w:sz w:val="16"/>
          <w:szCs w:val="16"/>
          <w:b w:val="1"/>
          <w:bCs w:val="1"/>
          <w:color w:val="auto"/>
        </w:rPr>
        <w:t xml:space="preserve"> www.virtualshareholdermeeting.com/ZS2021 </w:t>
      </w:r>
      <w:r>
        <w:rPr>
          <w:rFonts w:ascii="Arial" w:cs="Arial" w:eastAsia="Arial" w:hAnsi="Arial"/>
          <w:sz w:val="16"/>
          <w:szCs w:val="16"/>
          <w:color w:val="auto"/>
        </w:rPr>
        <w:t>(have</w:t>
      </w:r>
      <w:r>
        <w:rPr>
          <w:rFonts w:ascii="Arial" w:cs="Arial" w:eastAsia="Arial" w:hAnsi="Arial"/>
          <w:sz w:val="16"/>
          <w:szCs w:val="16"/>
          <w:b w:val="1"/>
          <w:bCs w:val="1"/>
          <w:color w:val="auto"/>
        </w:rPr>
        <w:t xml:space="preserve"> </w:t>
      </w:r>
      <w:r>
        <w:rPr>
          <w:rFonts w:ascii="Arial" w:cs="Arial" w:eastAsia="Arial" w:hAnsi="Arial"/>
          <w:sz w:val="16"/>
          <w:szCs w:val="16"/>
          <w:color w:val="auto"/>
        </w:rPr>
        <w:t>your Notice or proxy card in hand when you visit the website).</w:t>
      </w:r>
    </w:p>
    <w:p>
      <w:pPr>
        <w:spacing w:after="0" w:line="102" w:lineRule="exact"/>
        <w:rPr>
          <w:sz w:val="20"/>
          <w:szCs w:val="20"/>
          <w:color w:val="auto"/>
        </w:rPr>
      </w:pPr>
    </w:p>
    <w:p>
      <w:pPr>
        <w:ind w:right="100"/>
        <w:spacing w:after="0" w:line="347" w:lineRule="auto"/>
        <w:rPr>
          <w:sz w:val="20"/>
          <w:szCs w:val="20"/>
          <w:color w:val="auto"/>
        </w:rPr>
      </w:pPr>
      <w:r>
        <w:rPr>
          <w:rFonts w:ascii="Arial" w:cs="Arial" w:eastAsia="Arial" w:hAnsi="Arial"/>
          <w:sz w:val="16"/>
          <w:szCs w:val="16"/>
          <w:b w:val="1"/>
          <w:bCs w:val="1"/>
          <w:i w:val="1"/>
          <w:iCs w:val="1"/>
          <w:color w:val="auto"/>
        </w:rPr>
        <w:t xml:space="preserve">Beneficial Owners: Shares Registered in the Name of a Broker, Bank or Other Nominee. </w:t>
      </w:r>
      <w:r>
        <w:rPr>
          <w:rFonts w:ascii="Arial" w:cs="Arial" w:eastAsia="Arial" w:hAnsi="Arial"/>
          <w:sz w:val="16"/>
          <w:szCs w:val="16"/>
          <w:color w:val="auto"/>
        </w:rPr>
        <w:t>If you are the beneficial owner of shares held of record by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broker, bank or other nominee, you will receive voting instructions from your broker, bank or other nominee. You must follow the voting instructions provided by your broker, bank or other nominee in order to instruct your broker, bank or other nominee how to vote your shares. The availability of internet and telephone voting options will depend on the voting process of your broker, bank or other nominee.</w:t>
      </w:r>
    </w:p>
    <w:p>
      <w:pPr>
        <w:spacing w:after="0" w:line="96" w:lineRule="exact"/>
        <w:rPr>
          <w:sz w:val="20"/>
          <w:szCs w:val="20"/>
          <w:color w:val="auto"/>
        </w:rPr>
      </w:pPr>
    </w:p>
    <w:p>
      <w:pPr>
        <w:spacing w:after="0"/>
        <w:rPr>
          <w:sz w:val="20"/>
          <w:szCs w:val="20"/>
          <w:color w:val="auto"/>
        </w:rPr>
      </w:pPr>
      <w:r>
        <w:rPr>
          <w:rFonts w:ascii="Arial" w:cs="Arial" w:eastAsia="Arial" w:hAnsi="Arial"/>
          <w:sz w:val="22"/>
          <w:szCs w:val="22"/>
          <w:b w:val="1"/>
          <w:bCs w:val="1"/>
          <w:color w:val="009ADA"/>
        </w:rPr>
        <w:t>Can I change my vote or revoke my proxy?</w:t>
      </w:r>
    </w:p>
    <w:p>
      <w:pPr>
        <w:spacing w:after="0" w:line="193" w:lineRule="exact"/>
        <w:rPr>
          <w:sz w:val="20"/>
          <w:szCs w:val="20"/>
          <w:color w:val="auto"/>
        </w:rPr>
      </w:pPr>
    </w:p>
    <w:p>
      <w:pPr>
        <w:ind w:right="840"/>
        <w:spacing w:after="0" w:line="374" w:lineRule="auto"/>
        <w:rPr>
          <w:sz w:val="20"/>
          <w:szCs w:val="20"/>
          <w:color w:val="auto"/>
        </w:rPr>
      </w:pPr>
      <w:r>
        <w:rPr>
          <w:rFonts w:ascii="Arial" w:cs="Arial" w:eastAsia="Arial" w:hAnsi="Arial"/>
          <w:sz w:val="16"/>
          <w:szCs w:val="16"/>
          <w:b w:val="1"/>
          <w:bCs w:val="1"/>
          <w:i w:val="1"/>
          <w:iCs w:val="1"/>
          <w:color w:val="auto"/>
        </w:rPr>
        <w:t xml:space="preserve">Stockholder of Record: Shares Registered in Your Name. </w:t>
      </w:r>
      <w:r>
        <w:rPr>
          <w:rFonts w:ascii="Arial" w:cs="Arial" w:eastAsia="Arial" w:hAnsi="Arial"/>
          <w:sz w:val="16"/>
          <w:szCs w:val="16"/>
          <w:color w:val="auto"/>
        </w:rPr>
        <w:t>If you are a stockholder of record, you may revoke your proxy or change your proxy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instructions at any time before your proxy is voted at the Annual Meeting by:</w:t>
      </w:r>
    </w:p>
    <w:p>
      <w:pPr>
        <w:spacing w:after="0" w:line="122" w:lineRule="exact"/>
        <w:rPr>
          <w:sz w:val="20"/>
          <w:szCs w:val="20"/>
          <w:color w:val="auto"/>
        </w:rPr>
      </w:pPr>
    </w:p>
    <w:p>
      <w:pPr>
        <w:ind w:left="460" w:hanging="128"/>
        <w:spacing w:after="0"/>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entering a new vote by internet or telephone;</w:t>
      </w:r>
    </w:p>
    <w:p>
      <w:pPr>
        <w:spacing w:after="0" w:line="180" w:lineRule="exact"/>
        <w:rPr>
          <w:rFonts w:ascii="Arial" w:cs="Arial" w:eastAsia="Arial" w:hAnsi="Arial"/>
          <w:sz w:val="16"/>
          <w:szCs w:val="16"/>
          <w:color w:val="auto"/>
        </w:rPr>
      </w:pPr>
    </w:p>
    <w:p>
      <w:pPr>
        <w:ind w:left="460" w:hanging="128"/>
        <w:spacing w:after="0"/>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signing and returning a new proxy card with a later date;</w:t>
      </w:r>
    </w:p>
    <w:p>
      <w:pPr>
        <w:spacing w:after="0" w:line="180" w:lineRule="exact"/>
        <w:rPr>
          <w:rFonts w:ascii="Arial" w:cs="Arial" w:eastAsia="Arial" w:hAnsi="Arial"/>
          <w:sz w:val="16"/>
          <w:szCs w:val="16"/>
          <w:color w:val="auto"/>
        </w:rPr>
      </w:pPr>
    </w:p>
    <w:p>
      <w:pPr>
        <w:ind w:left="500" w:right="160" w:hanging="168"/>
        <w:spacing w:after="0" w:line="348" w:lineRule="auto"/>
        <w:tabs>
          <w:tab w:leader="none" w:pos="462" w:val="left"/>
        </w:tabs>
        <w:numPr>
          <w:ilvl w:val="0"/>
          <w:numId w:val="20"/>
        </w:numPr>
        <w:rPr>
          <w:rFonts w:ascii="Arial" w:cs="Arial" w:eastAsia="Arial" w:hAnsi="Arial"/>
          <w:sz w:val="16"/>
          <w:szCs w:val="16"/>
          <w:color w:val="auto"/>
        </w:rPr>
      </w:pPr>
      <w:r>
        <w:rPr>
          <w:rFonts w:ascii="Arial" w:cs="Arial" w:eastAsia="Arial" w:hAnsi="Arial"/>
          <w:sz w:val="16"/>
          <w:szCs w:val="16"/>
          <w:color w:val="auto"/>
        </w:rPr>
        <w:t>delivering a written revocation to our Secretary at Zscaler, Inc., 120 Holger Way, San Jose, California 95134, by 11:59 p.m. Eastern Time on January 4, 2022; or</w:t>
      </w:r>
    </w:p>
    <w:p>
      <w:pPr>
        <w:spacing w:after="0" w:line="67" w:lineRule="exact"/>
        <w:rPr>
          <w:rFonts w:ascii="Arial" w:cs="Arial" w:eastAsia="Arial" w:hAnsi="Arial"/>
          <w:sz w:val="16"/>
          <w:szCs w:val="16"/>
          <w:color w:val="auto"/>
        </w:rPr>
      </w:pPr>
    </w:p>
    <w:p>
      <w:pPr>
        <w:ind w:left="460" w:hanging="128"/>
        <w:spacing w:after="0"/>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 xml:space="preserve">following the instructions at </w:t>
      </w:r>
      <w:r>
        <w:rPr>
          <w:rFonts w:ascii="Arial" w:cs="Arial" w:eastAsia="Arial" w:hAnsi="Arial"/>
          <w:sz w:val="16"/>
          <w:szCs w:val="16"/>
          <w:b w:val="1"/>
          <w:bCs w:val="1"/>
          <w:color w:val="auto"/>
        </w:rPr>
        <w:t>www.virtualshareholdermeeting.com/ZS2021</w:t>
      </w:r>
      <w:r>
        <w:rPr>
          <w:rFonts w:ascii="Arial" w:cs="Arial" w:eastAsia="Arial" w:hAnsi="Arial"/>
          <w:sz w:val="16"/>
          <w:szCs w:val="16"/>
          <w:color w:val="auto"/>
        </w:rPr>
        <w:t>.</w:t>
      </w:r>
    </w:p>
    <w:p>
      <w:pPr>
        <w:spacing w:after="0" w:line="235" w:lineRule="exact"/>
        <w:rPr>
          <w:sz w:val="20"/>
          <w:szCs w:val="20"/>
          <w:color w:val="auto"/>
        </w:rPr>
      </w:pPr>
    </w:p>
    <w:p>
      <w:pPr>
        <w:ind w:right="480"/>
        <w:spacing w:after="0" w:line="374" w:lineRule="auto"/>
        <w:rPr>
          <w:sz w:val="20"/>
          <w:szCs w:val="20"/>
          <w:color w:val="auto"/>
        </w:rPr>
      </w:pPr>
      <w:r>
        <w:rPr>
          <w:rFonts w:ascii="Arial" w:cs="Arial" w:eastAsia="Arial" w:hAnsi="Arial"/>
          <w:sz w:val="16"/>
          <w:szCs w:val="16"/>
          <w:b w:val="1"/>
          <w:bCs w:val="1"/>
          <w:i w:val="1"/>
          <w:iCs w:val="1"/>
          <w:color w:val="auto"/>
        </w:rPr>
        <w:t xml:space="preserve">Beneficial Owners: Shares Registered in the Name of a Broker, Bank or Other Nominee. </w:t>
      </w:r>
      <w:r>
        <w:rPr>
          <w:rFonts w:ascii="Arial" w:cs="Arial" w:eastAsia="Arial" w:hAnsi="Arial"/>
          <w:sz w:val="16"/>
          <w:szCs w:val="16"/>
          <w:color w:val="auto"/>
        </w:rPr>
        <w:t>If you are the beneficial owner of your shares, you must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contact the broker, bank or other nominee holding your shares and follow their instructions to change your vote or revoke your proxy.</w:t>
      </w:r>
    </w:p>
    <w:p>
      <w:pPr>
        <w:spacing w:after="0" w:line="74" w:lineRule="exact"/>
        <w:rPr>
          <w:sz w:val="20"/>
          <w:szCs w:val="20"/>
          <w:color w:val="auto"/>
        </w:rPr>
      </w:pPr>
    </w:p>
    <w:p>
      <w:pPr>
        <w:spacing w:after="0"/>
        <w:rPr>
          <w:sz w:val="20"/>
          <w:szCs w:val="20"/>
          <w:color w:val="auto"/>
        </w:rPr>
      </w:pPr>
      <w:r>
        <w:rPr>
          <w:rFonts w:ascii="Arial" w:cs="Arial" w:eastAsia="Arial" w:hAnsi="Arial"/>
          <w:sz w:val="22"/>
          <w:szCs w:val="22"/>
          <w:b w:val="1"/>
          <w:bCs w:val="1"/>
          <w:color w:val="009ADA"/>
        </w:rPr>
        <w:t>What is the effect of giving a proxy?</w:t>
      </w:r>
    </w:p>
    <w:p>
      <w:pPr>
        <w:spacing w:after="0" w:line="213" w:lineRule="exact"/>
        <w:rPr>
          <w:sz w:val="20"/>
          <w:szCs w:val="20"/>
          <w:color w:val="auto"/>
        </w:rPr>
      </w:pPr>
    </w:p>
    <w:p>
      <w:pPr>
        <w:spacing w:after="0" w:line="337" w:lineRule="auto"/>
        <w:rPr>
          <w:sz w:val="20"/>
          <w:szCs w:val="20"/>
          <w:color w:val="auto"/>
        </w:rPr>
      </w:pPr>
      <w:r>
        <w:rPr>
          <w:rFonts w:ascii="Arial" w:cs="Arial" w:eastAsia="Arial" w:hAnsi="Arial"/>
          <w:sz w:val="16"/>
          <w:szCs w:val="16"/>
          <w:color w:val="auto"/>
        </w:rPr>
        <w:t>Proxies are solicited by and on behalf of our board of directors. The persons named in the proxy have been designated as proxy holders by our board of directors. When a proxy is properly dated, executed and returned, the shares represented by the proxy will be voted at the Annual Meeting in accordance with the instructions of the stockholder. If no specific instructions are given; however, the shares will be voted in accordance with the recommendations of our board of directors. If any matters not described in this Proxy Statement are properly presented at the Annual Meeting, the proxy holders will use their own judgment to determine how to vote your shares. If the Annual Meeting is postponed or adjourned, the proxy holders can vote your shares on the new meeting date, unless you have properly revoked your proxy, as described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257810</wp:posOffset>
            </wp:positionV>
            <wp:extent cx="342900" cy="2146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2900" cy="214630"/>
                    </a:xfrm>
                    <a:prstGeom prst="rect">
                      <a:avLst/>
                    </a:prstGeom>
                    <a:noFill/>
                  </pic:spPr>
                </pic:pic>
              </a:graphicData>
            </a:graphic>
          </wp:anchor>
        </w:drawing>
      </w:r>
    </w:p>
    <w:p>
      <w:pPr>
        <w:spacing w:after="0" w:line="324" w:lineRule="exact"/>
        <w:rPr>
          <w:sz w:val="20"/>
          <w:szCs w:val="20"/>
          <w:color w:val="auto"/>
        </w:rPr>
      </w:pPr>
    </w:p>
    <w:p>
      <w:pPr>
        <w:ind w:left="5580"/>
        <w:spacing w:after="0"/>
        <w:tabs>
          <w:tab w:leader="none" w:pos="9780" w:val="left"/>
        </w:tabs>
        <w:rPr>
          <w:sz w:val="20"/>
          <w:szCs w:val="20"/>
          <w:color w:val="auto"/>
        </w:rPr>
      </w:pPr>
      <w:r>
        <w:rPr>
          <w:rFonts w:ascii="Arial" w:cs="Arial" w:eastAsia="Arial" w:hAnsi="Arial"/>
          <w:sz w:val="29"/>
          <w:szCs w:val="29"/>
          <w:color w:val="auto"/>
          <w:vertAlign w:val="superscript"/>
        </w:rPr>
        <w:t>8</w:t>
      </w:r>
      <w:r>
        <w:rPr>
          <w:sz w:val="20"/>
          <w:szCs w:val="20"/>
          <w:color w:val="auto"/>
        </w:rPr>
        <w:tab/>
      </w:r>
      <w:r>
        <w:rPr>
          <w:rFonts w:ascii="Arial" w:cs="Arial" w:eastAsia="Arial" w:hAnsi="Arial"/>
          <w:sz w:val="14"/>
          <w:szCs w:val="14"/>
          <w:color w:val="auto"/>
        </w:rPr>
        <w:t>2021 Proxy Statement</w:t>
      </w:r>
    </w:p>
    <w:p>
      <w:pPr>
        <w:sectPr>
          <w:pgSz w:w="11900" w:h="16838" w:orient="portrait"/>
          <w:cols w:equalWidth="0" w:num="1">
            <w:col w:w="11240"/>
          </w:cols>
          <w:pgMar w:left="320" w:top="172" w:right="339" w:bottom="1440" w:gutter="0" w:footer="0" w:header="0"/>
        </w:sectPr>
      </w:pPr>
    </w:p>
    <w:bookmarkStart w:id="12" w:name="page13"/>
    <w:bookmarkEnd w:id="12"/>
    <w:p>
      <w:pPr>
        <w:ind w:left="280"/>
        <w:spacing w:after="0"/>
        <w:rPr>
          <w:sz w:val="20"/>
          <w:szCs w:val="20"/>
          <w:color w:val="auto"/>
        </w:rPr>
      </w:pPr>
      <w:r>
        <w:rPr>
          <w:rFonts w:ascii="Arial" w:cs="Arial" w:eastAsia="Arial" w:hAnsi="Arial"/>
          <w:sz w:val="13"/>
          <w:szCs w:val="13"/>
          <w:b w:val="1"/>
          <w:bCs w:val="1"/>
          <w:color w:val="929292"/>
        </w:rPr>
        <w:t>QUESTIONS AND ANSWERS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7470" cy="596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7470" cy="59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b w:val="1"/>
          <w:bCs w:val="1"/>
          <w:color w:val="009ADA"/>
        </w:rPr>
        <w:t>What if I do not specify how my shares are to be voted?</w:t>
      </w:r>
    </w:p>
    <w:p>
      <w:pPr>
        <w:spacing w:after="0" w:line="193" w:lineRule="exact"/>
        <w:rPr>
          <w:sz w:val="20"/>
          <w:szCs w:val="20"/>
          <w:color w:val="auto"/>
        </w:rPr>
      </w:pPr>
    </w:p>
    <w:p>
      <w:pPr>
        <w:ind w:right="580"/>
        <w:spacing w:after="0" w:line="374" w:lineRule="auto"/>
        <w:rPr>
          <w:sz w:val="20"/>
          <w:szCs w:val="20"/>
          <w:color w:val="auto"/>
        </w:rPr>
      </w:pPr>
      <w:r>
        <w:rPr>
          <w:rFonts w:ascii="Arial" w:cs="Arial" w:eastAsia="Arial" w:hAnsi="Arial"/>
          <w:sz w:val="16"/>
          <w:szCs w:val="16"/>
          <w:b w:val="1"/>
          <w:bCs w:val="1"/>
          <w:i w:val="1"/>
          <w:iCs w:val="1"/>
          <w:color w:val="auto"/>
        </w:rPr>
        <w:t xml:space="preserve">Stockholder of Record: Shares Registered in Your Name. </w:t>
      </w:r>
      <w:r>
        <w:rPr>
          <w:rFonts w:ascii="Arial" w:cs="Arial" w:eastAsia="Arial" w:hAnsi="Arial"/>
          <w:sz w:val="16"/>
          <w:szCs w:val="16"/>
          <w:color w:val="auto"/>
        </w:rPr>
        <w:t>If you are a stockholder of record and you submit a proxy but you do not provide voting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instructions, your shares will be voted:</w:t>
      </w:r>
    </w:p>
    <w:p>
      <w:pPr>
        <w:spacing w:after="0" w:line="102" w:lineRule="exact"/>
        <w:rPr>
          <w:sz w:val="20"/>
          <w:szCs w:val="20"/>
          <w:color w:val="auto"/>
        </w:rPr>
      </w:pPr>
    </w:p>
    <w:p>
      <w:pPr>
        <w:ind w:left="500" w:right="140" w:hanging="168"/>
        <w:spacing w:after="0" w:line="374" w:lineRule="auto"/>
        <w:tabs>
          <w:tab w:leader="none" w:pos="463" w:val="left"/>
        </w:tabs>
        <w:numPr>
          <w:ilvl w:val="0"/>
          <w:numId w:val="21"/>
        </w:numPr>
        <w:rPr>
          <w:rFonts w:ascii="Arial" w:cs="Arial" w:eastAsia="Arial" w:hAnsi="Arial"/>
          <w:sz w:val="13"/>
          <w:szCs w:val="13"/>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election of each of the two directors nominated by our board of directors and named in this Proxy Statement as Class I directors to serve for</w:t>
      </w:r>
      <w:r>
        <w:rPr>
          <w:rFonts w:ascii="Arial" w:cs="Arial" w:eastAsia="Arial" w:hAnsi="Arial"/>
          <w:sz w:val="16"/>
          <w:szCs w:val="16"/>
          <w:b w:val="1"/>
          <w:bCs w:val="1"/>
          <w:color w:val="auto"/>
        </w:rPr>
        <w:t xml:space="preserve"> </w:t>
      </w:r>
      <w:r>
        <w:rPr>
          <w:rFonts w:ascii="Arial" w:cs="Arial" w:eastAsia="Arial" w:hAnsi="Arial"/>
          <w:sz w:val="16"/>
          <w:szCs w:val="16"/>
          <w:color w:val="auto"/>
        </w:rPr>
        <w:t>a three-year term (Proposal No. 1);</w:t>
      </w:r>
    </w:p>
    <w:p>
      <w:pPr>
        <w:spacing w:after="0" w:line="101" w:lineRule="exact"/>
        <w:rPr>
          <w:rFonts w:ascii="Arial" w:cs="Arial" w:eastAsia="Arial" w:hAnsi="Arial"/>
          <w:sz w:val="13"/>
          <w:szCs w:val="13"/>
          <w:color w:val="auto"/>
        </w:rPr>
      </w:pPr>
    </w:p>
    <w:p>
      <w:pPr>
        <w:ind w:left="500" w:right="60" w:hanging="168"/>
        <w:spacing w:after="0" w:line="374" w:lineRule="auto"/>
        <w:tabs>
          <w:tab w:leader="none" w:pos="463" w:val="left"/>
        </w:tabs>
        <w:numPr>
          <w:ilvl w:val="0"/>
          <w:numId w:val="21"/>
        </w:numPr>
        <w:rPr>
          <w:rFonts w:ascii="Arial" w:cs="Arial" w:eastAsia="Arial" w:hAnsi="Arial"/>
          <w:sz w:val="13"/>
          <w:szCs w:val="13"/>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ratification of the appointment of PwC as our independent registered public accounting firm for our fiscal year ending July 31, 2022 (Proposal</w:t>
      </w:r>
      <w:r>
        <w:rPr>
          <w:rFonts w:ascii="Arial" w:cs="Arial" w:eastAsia="Arial" w:hAnsi="Arial"/>
          <w:sz w:val="16"/>
          <w:szCs w:val="16"/>
          <w:b w:val="1"/>
          <w:bCs w:val="1"/>
          <w:color w:val="auto"/>
        </w:rPr>
        <w:t xml:space="preserve"> </w:t>
      </w:r>
      <w:r>
        <w:rPr>
          <w:rFonts w:ascii="Arial" w:cs="Arial" w:eastAsia="Arial" w:hAnsi="Arial"/>
          <w:sz w:val="16"/>
          <w:szCs w:val="16"/>
          <w:color w:val="auto"/>
        </w:rPr>
        <w:t>No. 2);</w:t>
      </w:r>
    </w:p>
    <w:p>
      <w:pPr>
        <w:spacing w:after="0" w:line="101" w:lineRule="exact"/>
        <w:rPr>
          <w:rFonts w:ascii="Arial" w:cs="Arial" w:eastAsia="Arial" w:hAnsi="Arial"/>
          <w:sz w:val="13"/>
          <w:szCs w:val="13"/>
          <w:color w:val="auto"/>
        </w:rPr>
      </w:pPr>
    </w:p>
    <w:p>
      <w:pPr>
        <w:ind w:left="500" w:right="440" w:hanging="168"/>
        <w:spacing w:after="0" w:line="374" w:lineRule="auto"/>
        <w:tabs>
          <w:tab w:leader="none" w:pos="463" w:val="left"/>
        </w:tabs>
        <w:numPr>
          <w:ilvl w:val="0"/>
          <w:numId w:val="21"/>
        </w:numPr>
        <w:rPr>
          <w:rFonts w:ascii="Arial" w:cs="Arial" w:eastAsia="Arial" w:hAnsi="Arial"/>
          <w:sz w:val="13"/>
          <w:szCs w:val="13"/>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approval, on an advisory non-binding basis, of the compensation of our Named Executive Officers, as disclosed in this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(Proposal No. 3); and</w:t>
      </w:r>
    </w:p>
    <w:p>
      <w:pPr>
        <w:spacing w:after="0" w:line="121" w:lineRule="exact"/>
        <w:rPr>
          <w:rFonts w:ascii="Arial" w:cs="Arial" w:eastAsia="Arial" w:hAnsi="Arial"/>
          <w:sz w:val="13"/>
          <w:szCs w:val="13"/>
          <w:color w:val="auto"/>
        </w:rPr>
      </w:pPr>
    </w:p>
    <w:p>
      <w:pPr>
        <w:ind w:left="460" w:hanging="128"/>
        <w:spacing w:after="0"/>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 the discretion of the named proxy holders regarding any other matters properly presented for a vote at the Annual Meeting.</w:t>
      </w:r>
    </w:p>
    <w:p>
      <w:pPr>
        <w:spacing w:after="0" w:line="215" w:lineRule="exact"/>
        <w:rPr>
          <w:sz w:val="20"/>
          <w:szCs w:val="20"/>
          <w:color w:val="auto"/>
        </w:rPr>
      </w:pPr>
    </w:p>
    <w:p>
      <w:pPr>
        <w:ind w:right="280"/>
        <w:spacing w:after="0" w:line="356" w:lineRule="auto"/>
        <w:rPr>
          <w:sz w:val="20"/>
          <w:szCs w:val="20"/>
          <w:color w:val="auto"/>
        </w:rPr>
      </w:pPr>
      <w:r>
        <w:rPr>
          <w:rFonts w:ascii="Arial" w:cs="Arial" w:eastAsia="Arial" w:hAnsi="Arial"/>
          <w:sz w:val="16"/>
          <w:szCs w:val="16"/>
          <w:b w:val="1"/>
          <w:bCs w:val="1"/>
          <w:i w:val="1"/>
          <w:iCs w:val="1"/>
          <w:color w:val="auto"/>
        </w:rPr>
        <w:t xml:space="preserve">Beneficial Owners: Shares Registered in the Name of a Broker, Bank or Other Nominee. </w:t>
      </w:r>
      <w:r>
        <w:rPr>
          <w:rFonts w:ascii="Arial" w:cs="Arial" w:eastAsia="Arial" w:hAnsi="Arial"/>
          <w:sz w:val="16"/>
          <w:szCs w:val="16"/>
          <w:color w:val="auto"/>
        </w:rPr>
        <w:t>If you are a beneficial owner and you do not provide your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broker, bank or other nominee that holds your shares with voting instructions, then your broker, bank or other nominee will determine if it has discretion to vote on each matter. Brokers do not have discretion to vote on non-routine matters. In the absence of timely directions, your broker will have discretion to vote your shares on our sole “routine” matter: the proposal to ratify the appointment of PwC as our independent registered public accounting firm for our fiscal year ending July 31, 2022. For additional information regarding broker non-votes, see </w:t>
      </w:r>
      <w:r>
        <w:rPr>
          <w:rFonts w:ascii="Arial" w:cs="Arial" w:eastAsia="Arial" w:hAnsi="Arial"/>
          <w:sz w:val="16"/>
          <w:szCs w:val="16"/>
          <w:i w:val="1"/>
          <w:iCs w:val="1"/>
          <w:color w:val="auto"/>
        </w:rPr>
        <w:t>“What are the effects of abstentions and broker non-votes?”</w:t>
      </w:r>
      <w:r>
        <w:rPr>
          <w:rFonts w:ascii="Arial" w:cs="Arial" w:eastAsia="Arial" w:hAnsi="Arial"/>
          <w:sz w:val="16"/>
          <w:szCs w:val="16"/>
          <w:color w:val="auto"/>
        </w:rPr>
        <w:t xml:space="preserve"> below</w:t>
      </w:r>
      <w:r>
        <w:rPr>
          <w:rFonts w:ascii="Arial" w:cs="Arial" w:eastAsia="Arial" w:hAnsi="Arial"/>
          <w:sz w:val="16"/>
          <w:szCs w:val="16"/>
          <w:i w:val="1"/>
          <w:iCs w:val="1"/>
          <w:color w:val="auto"/>
        </w:rPr>
        <w:t>.</w:t>
      </w:r>
    </w:p>
    <w:p>
      <w:pPr>
        <w:spacing w:after="0" w:line="90" w:lineRule="exact"/>
        <w:rPr>
          <w:sz w:val="20"/>
          <w:szCs w:val="20"/>
          <w:color w:val="auto"/>
        </w:rPr>
      </w:pPr>
    </w:p>
    <w:p>
      <w:pPr>
        <w:spacing w:after="0"/>
        <w:rPr>
          <w:sz w:val="20"/>
          <w:szCs w:val="20"/>
          <w:color w:val="auto"/>
        </w:rPr>
      </w:pPr>
      <w:r>
        <w:rPr>
          <w:rFonts w:ascii="Arial" w:cs="Arial" w:eastAsia="Arial" w:hAnsi="Arial"/>
          <w:sz w:val="22"/>
          <w:szCs w:val="22"/>
          <w:b w:val="1"/>
          <w:bCs w:val="1"/>
          <w:color w:val="009ADA"/>
        </w:rPr>
        <w:t>What are the effects of abstentions and broker non-votes?</w:t>
      </w:r>
    </w:p>
    <w:p>
      <w:pPr>
        <w:spacing w:after="0" w:line="213" w:lineRule="exact"/>
        <w:rPr>
          <w:sz w:val="20"/>
          <w:szCs w:val="20"/>
          <w:color w:val="auto"/>
        </w:rPr>
      </w:pPr>
    </w:p>
    <w:p>
      <w:pPr>
        <w:ind w:right="160"/>
        <w:spacing w:after="0" w:line="337" w:lineRule="auto"/>
        <w:rPr>
          <w:sz w:val="20"/>
          <w:szCs w:val="20"/>
          <w:color w:val="auto"/>
        </w:rPr>
      </w:pPr>
      <w:r>
        <w:rPr>
          <w:rFonts w:ascii="Arial" w:cs="Arial" w:eastAsia="Arial" w:hAnsi="Arial"/>
          <w:sz w:val="16"/>
          <w:szCs w:val="16"/>
          <w:color w:val="auto"/>
        </w:rPr>
        <w:t>An abstention represents a stockholder’s affirmative choice to decline to vote on a proposal. If a stockholder indicates on its proxy card that it wishes to abstain from voting its shares, or if a broker, bank or other nominee holding its customers’ shares of record causes abstentions to be recorded for shares, these shares will be considered present and entitled to vote at the Annual Meeting. As a result, abstentions will be counted for purposes of determining the presence or absence of a quorum and will also count as votes against a proposal in cases where approval of the proposal requires the affirmative vote of a majority of the voting power of the issued and outstanding shares of common stock present in person or represented by proxy and entitled to vote at the Annual Meeting (e.g., Proposal No. 2). Abstentions will have no impact on the outcome of Proposal No. 1 as long as a quorum exists.</w:t>
      </w:r>
    </w:p>
    <w:p>
      <w:pPr>
        <w:spacing w:after="0" w:line="151" w:lineRule="exact"/>
        <w:rPr>
          <w:sz w:val="20"/>
          <w:szCs w:val="20"/>
          <w:color w:val="auto"/>
        </w:rPr>
      </w:pPr>
    </w:p>
    <w:p>
      <w:pPr>
        <w:ind w:right="180"/>
        <w:spacing w:after="0" w:line="338" w:lineRule="auto"/>
        <w:rPr>
          <w:sz w:val="20"/>
          <w:szCs w:val="20"/>
          <w:color w:val="auto"/>
        </w:rPr>
      </w:pPr>
      <w:r>
        <w:rPr>
          <w:rFonts w:ascii="Arial" w:cs="Arial" w:eastAsia="Arial" w:hAnsi="Arial"/>
          <w:sz w:val="16"/>
          <w:szCs w:val="16"/>
          <w:color w:val="auto"/>
        </w:rPr>
        <w:t>A broker non-vote occurs when a broker, bank or other nominee holding shares for a beneficial owner does not vote on a particular proposal because the broker, bank or other nominee does not have discretionary voting power with respect to such proposal and has not received voting instructions from the beneficial owner of the shares. Broker non-votes will be counted for purposes of calculating whether a quorum is present at the Annual Meeting but will not be counted for purposes of determining the number of votes cast. Therefore, a broker non-vote will make a quorum more readily attainable but will not otherwise affect the outcome of the vote on any proposal.</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009ADA"/>
        </w:rPr>
        <w:t>What is a quorum?</w:t>
      </w:r>
    </w:p>
    <w:p>
      <w:pPr>
        <w:spacing w:after="0" w:line="213" w:lineRule="exact"/>
        <w:rPr>
          <w:sz w:val="20"/>
          <w:szCs w:val="20"/>
          <w:color w:val="auto"/>
        </w:rPr>
      </w:pPr>
    </w:p>
    <w:p>
      <w:pPr>
        <w:spacing w:after="0" w:line="338" w:lineRule="auto"/>
        <w:rPr>
          <w:sz w:val="20"/>
          <w:szCs w:val="20"/>
          <w:color w:val="auto"/>
        </w:rPr>
      </w:pPr>
      <w:r>
        <w:rPr>
          <w:rFonts w:ascii="Arial" w:cs="Arial" w:eastAsia="Arial" w:hAnsi="Arial"/>
          <w:sz w:val="16"/>
          <w:szCs w:val="16"/>
          <w:color w:val="auto"/>
        </w:rPr>
        <w:t>A quorum is the minimum number of shares required to be present at the Annual Meeting for the meeting to be properly held under our bylaws and Delaware law. The presence (including by proxy) of a majority of the voting power of our common stock issued and outstanding and entitled to vote at the Annual Meeting will constitute a quorum at the Annual Meeting. As noted above, as of the Record Date, there were a total of 140,052,835 shares of common stock outstanding, which means that 70,026,418 shares of common stock must be represented at the Annual Meeting to have a quorum. If there is no quorum, the chairperson of the meeting or a majority of the voting power of our common stock present at the Annual Meeting may adjourn the meeting to a later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256540</wp:posOffset>
            </wp:positionV>
            <wp:extent cx="342900" cy="2146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2900" cy="214630"/>
                    </a:xfrm>
                    <a:prstGeom prst="rect">
                      <a:avLst/>
                    </a:prstGeom>
                    <a:noFill/>
                  </pic:spPr>
                </pic:pic>
              </a:graphicData>
            </a:graphic>
          </wp:anchor>
        </w:drawing>
      </w:r>
    </w:p>
    <w:p>
      <w:pPr>
        <w:spacing w:after="0" w:line="322" w:lineRule="exact"/>
        <w:rPr>
          <w:sz w:val="20"/>
          <w:szCs w:val="20"/>
          <w:color w:val="auto"/>
        </w:rPr>
      </w:pPr>
    </w:p>
    <w:p>
      <w:pPr>
        <w:ind w:left="5580"/>
        <w:spacing w:after="0"/>
        <w:tabs>
          <w:tab w:leader="none" w:pos="9780" w:val="left"/>
        </w:tabs>
        <w:rPr>
          <w:sz w:val="20"/>
          <w:szCs w:val="20"/>
          <w:color w:val="auto"/>
        </w:rPr>
      </w:pPr>
      <w:r>
        <w:rPr>
          <w:rFonts w:ascii="Arial" w:cs="Arial" w:eastAsia="Arial" w:hAnsi="Arial"/>
          <w:sz w:val="29"/>
          <w:szCs w:val="29"/>
          <w:color w:val="auto"/>
          <w:vertAlign w:val="superscript"/>
        </w:rPr>
        <w:t>9</w:t>
      </w:r>
      <w:r>
        <w:rPr>
          <w:sz w:val="20"/>
          <w:szCs w:val="20"/>
          <w:color w:val="auto"/>
        </w:rPr>
        <w:tab/>
      </w:r>
      <w:r>
        <w:rPr>
          <w:rFonts w:ascii="Arial" w:cs="Arial" w:eastAsia="Arial" w:hAnsi="Arial"/>
          <w:sz w:val="14"/>
          <w:szCs w:val="14"/>
          <w:color w:val="auto"/>
        </w:rPr>
        <w:t>2021 Proxy Statement</w:t>
      </w:r>
    </w:p>
    <w:p>
      <w:pPr>
        <w:sectPr>
          <w:pgSz w:w="11900" w:h="16838" w:orient="portrait"/>
          <w:cols w:equalWidth="0" w:num="1">
            <w:col w:w="11240"/>
          </w:cols>
          <w:pgMar w:left="320" w:top="172" w:right="339" w:bottom="1440" w:gutter="0" w:footer="0" w:header="0"/>
        </w:sectPr>
      </w:pPr>
    </w:p>
    <w:bookmarkStart w:id="13" w:name="page14"/>
    <w:bookmarkEnd w:id="13"/>
    <w:p>
      <w:pPr>
        <w:ind w:left="280"/>
        <w:spacing w:after="0"/>
        <w:rPr>
          <w:sz w:val="20"/>
          <w:szCs w:val="20"/>
          <w:color w:val="auto"/>
        </w:rPr>
      </w:pPr>
      <w:r>
        <w:rPr>
          <w:rFonts w:ascii="Arial" w:cs="Arial" w:eastAsia="Arial" w:hAnsi="Arial"/>
          <w:sz w:val="13"/>
          <w:szCs w:val="13"/>
          <w:b w:val="1"/>
          <w:bCs w:val="1"/>
          <w:color w:val="929292"/>
        </w:rPr>
        <w:t>QUESTIONS AND ANSWERS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7470" cy="596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7470" cy="59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b w:val="1"/>
          <w:bCs w:val="1"/>
          <w:color w:val="009ADA"/>
        </w:rPr>
        <w:t>How many votes are needed for approval of each proposal?</w:t>
      </w:r>
    </w:p>
    <w:p>
      <w:pPr>
        <w:spacing w:after="0" w:line="193" w:lineRule="exact"/>
        <w:rPr>
          <w:sz w:val="20"/>
          <w:szCs w:val="20"/>
          <w:color w:val="auto"/>
        </w:rPr>
      </w:pPr>
    </w:p>
    <w:p>
      <w:pPr>
        <w:ind w:left="500" w:hanging="168"/>
        <w:spacing w:after="0" w:line="342" w:lineRule="auto"/>
        <w:tabs>
          <w:tab w:leader="none" w:pos="463" w:val="left"/>
        </w:tabs>
        <w:numPr>
          <w:ilvl w:val="0"/>
          <w:numId w:val="22"/>
        </w:numPr>
        <w:rPr>
          <w:rFonts w:ascii="Arial" w:cs="Arial" w:eastAsia="Arial" w:hAnsi="Arial"/>
          <w:sz w:val="13"/>
          <w:szCs w:val="13"/>
          <w:color w:val="auto"/>
        </w:rPr>
      </w:pPr>
      <w:r>
        <w:rPr>
          <w:rFonts w:ascii="Arial" w:cs="Arial" w:eastAsia="Arial" w:hAnsi="Arial"/>
          <w:sz w:val="16"/>
          <w:szCs w:val="16"/>
          <w:b w:val="1"/>
          <w:bCs w:val="1"/>
          <w:color w:val="auto"/>
        </w:rPr>
        <w:t xml:space="preserve">Proposal No. 1: </w:t>
      </w:r>
      <w:r>
        <w:rPr>
          <w:rFonts w:ascii="Arial" w:cs="Arial" w:eastAsia="Arial" w:hAnsi="Arial"/>
          <w:sz w:val="16"/>
          <w:szCs w:val="16"/>
          <w:color w:val="auto"/>
        </w:rPr>
        <w:t>The election of Class I directors requires a plurality of the voting power of the shares present in person or represented by proxy at the</w:t>
      </w:r>
      <w:r>
        <w:rPr>
          <w:rFonts w:ascii="Arial" w:cs="Arial" w:eastAsia="Arial" w:hAnsi="Arial"/>
          <w:sz w:val="16"/>
          <w:szCs w:val="16"/>
          <w:b w:val="1"/>
          <w:bCs w:val="1"/>
          <w:color w:val="auto"/>
        </w:rPr>
        <w:t xml:space="preserve"> </w:t>
      </w:r>
      <w:r>
        <w:rPr>
          <w:rFonts w:ascii="Arial" w:cs="Arial" w:eastAsia="Arial" w:hAnsi="Arial"/>
          <w:sz w:val="16"/>
          <w:szCs w:val="16"/>
          <w:color w:val="auto"/>
        </w:rPr>
        <w:t>meeting and entitled to vote on the election of directors to be approved. Plurality means that the three nominees who receive the most FOR votes will be elected. You may (i) vote FOR all nominees, (ii) WITHHOLD your vote as to all nominees, or (iii) vote FOR all nominees except for those specific nominees from whom you WITHHOLD your vote. Any shares not voted FOR a particular nominee (whether as a result of voting withheld or a broker non-vote) will not be counted in such nominee’s favor and will have no effect on the outcome of the election. A vote withheld with respect to the election of any or all nominees will be counted for purposes of determining whether there is a quorum.</w:t>
      </w:r>
    </w:p>
    <w:p>
      <w:pPr>
        <w:spacing w:after="0" w:line="127" w:lineRule="exact"/>
        <w:rPr>
          <w:rFonts w:ascii="Arial" w:cs="Arial" w:eastAsia="Arial" w:hAnsi="Arial"/>
          <w:sz w:val="13"/>
          <w:szCs w:val="13"/>
          <w:color w:val="auto"/>
        </w:rPr>
      </w:pPr>
    </w:p>
    <w:p>
      <w:pPr>
        <w:ind w:left="500" w:right="400" w:hanging="168"/>
        <w:spacing w:after="0" w:line="354" w:lineRule="auto"/>
        <w:tabs>
          <w:tab w:leader="none" w:pos="463" w:val="left"/>
        </w:tabs>
        <w:numPr>
          <w:ilvl w:val="0"/>
          <w:numId w:val="22"/>
        </w:numPr>
        <w:rPr>
          <w:rFonts w:ascii="Arial" w:cs="Arial" w:eastAsia="Arial" w:hAnsi="Arial"/>
          <w:sz w:val="13"/>
          <w:szCs w:val="13"/>
          <w:color w:val="auto"/>
        </w:rPr>
      </w:pPr>
      <w:r>
        <w:rPr>
          <w:rFonts w:ascii="Arial" w:cs="Arial" w:eastAsia="Arial" w:hAnsi="Arial"/>
          <w:sz w:val="16"/>
          <w:szCs w:val="16"/>
          <w:b w:val="1"/>
          <w:bCs w:val="1"/>
          <w:color w:val="auto"/>
        </w:rPr>
        <w:t xml:space="preserve">Proposal No. 2: </w:t>
      </w:r>
      <w:r>
        <w:rPr>
          <w:rFonts w:ascii="Arial" w:cs="Arial" w:eastAsia="Arial" w:hAnsi="Arial"/>
          <w:sz w:val="16"/>
          <w:szCs w:val="16"/>
          <w:color w:val="auto"/>
        </w:rPr>
        <w:t>The ratification of the appointment of PwC requires the affirmative vote of a majority of the voting power of the shares present in</w:t>
      </w:r>
      <w:r>
        <w:rPr>
          <w:rFonts w:ascii="Arial" w:cs="Arial" w:eastAsia="Arial" w:hAnsi="Arial"/>
          <w:sz w:val="16"/>
          <w:szCs w:val="16"/>
          <w:b w:val="1"/>
          <w:bCs w:val="1"/>
          <w:color w:val="auto"/>
        </w:rPr>
        <w:t xml:space="preserve"> </w:t>
      </w:r>
      <w:r>
        <w:rPr>
          <w:rFonts w:ascii="Arial" w:cs="Arial" w:eastAsia="Arial" w:hAnsi="Arial"/>
          <w:sz w:val="16"/>
          <w:szCs w:val="16"/>
          <w:color w:val="auto"/>
        </w:rPr>
        <w:t>person or represented by proxy at the meeting and entitled to vote thereon to be approved. You may vote FOR, AGAINST or ABSTAIN. If you ABSTAIN from voting on Proposal No. 2, the abstention will have the same effect as a vote AGAINST the proposal.</w:t>
      </w:r>
    </w:p>
    <w:p>
      <w:pPr>
        <w:spacing w:after="0" w:line="117" w:lineRule="exact"/>
        <w:rPr>
          <w:rFonts w:ascii="Arial" w:cs="Arial" w:eastAsia="Arial" w:hAnsi="Arial"/>
          <w:sz w:val="13"/>
          <w:szCs w:val="13"/>
          <w:color w:val="auto"/>
        </w:rPr>
      </w:pPr>
    </w:p>
    <w:p>
      <w:pPr>
        <w:ind w:left="500" w:right="60" w:hanging="168"/>
        <w:spacing w:after="0" w:line="342" w:lineRule="auto"/>
        <w:tabs>
          <w:tab w:leader="none" w:pos="463" w:val="left"/>
        </w:tabs>
        <w:numPr>
          <w:ilvl w:val="0"/>
          <w:numId w:val="22"/>
        </w:numPr>
        <w:rPr>
          <w:rFonts w:ascii="Arial" w:cs="Arial" w:eastAsia="Arial" w:hAnsi="Arial"/>
          <w:sz w:val="13"/>
          <w:szCs w:val="13"/>
          <w:color w:val="auto"/>
        </w:rPr>
      </w:pPr>
      <w:r>
        <w:rPr>
          <w:rFonts w:ascii="Arial" w:cs="Arial" w:eastAsia="Arial" w:hAnsi="Arial"/>
          <w:sz w:val="16"/>
          <w:szCs w:val="16"/>
          <w:b w:val="1"/>
          <w:bCs w:val="1"/>
          <w:color w:val="auto"/>
        </w:rPr>
        <w:t xml:space="preserve">Proposal No. 3: </w:t>
      </w:r>
      <w:r>
        <w:rPr>
          <w:rFonts w:ascii="Arial" w:cs="Arial" w:eastAsia="Arial" w:hAnsi="Arial"/>
          <w:sz w:val="16"/>
          <w:szCs w:val="16"/>
          <w:color w:val="auto"/>
        </w:rPr>
        <w:t>The approval, on an advisory basis, of the compensation of our Named Executive Officers requires the affirmative vote of a majority</w:t>
      </w:r>
      <w:r>
        <w:rPr>
          <w:rFonts w:ascii="Arial" w:cs="Arial" w:eastAsia="Arial" w:hAnsi="Arial"/>
          <w:sz w:val="16"/>
          <w:szCs w:val="16"/>
          <w:b w:val="1"/>
          <w:bCs w:val="1"/>
          <w:color w:val="auto"/>
        </w:rPr>
        <w:t xml:space="preserve"> </w:t>
      </w:r>
      <w:r>
        <w:rPr>
          <w:rFonts w:ascii="Arial" w:cs="Arial" w:eastAsia="Arial" w:hAnsi="Arial"/>
          <w:sz w:val="16"/>
          <w:szCs w:val="16"/>
          <w:color w:val="auto"/>
        </w:rPr>
        <w:t>of the voting power of the shares present in person or represented by proxy at the meeting and entitled to vote thereon to be approved. You may vote FOR, AGAINST or ABSTAIN. If you ABSTAIN from voting on Proposal No. 3, the abstention will have the same effect as a vote AGAINST the proposal. Because this proposal is an advisory vote, the result will not be binding on our board of directors or our company. However, our board of directors values our stockholders’ opinions, and our board of directors and our compensation committee will consider the outcome of the vote when determining the compensation of our Named Executive Officers.</w:t>
      </w:r>
    </w:p>
    <w:p>
      <w:pPr>
        <w:spacing w:after="0" w:line="100" w:lineRule="exact"/>
        <w:rPr>
          <w:sz w:val="20"/>
          <w:szCs w:val="20"/>
          <w:color w:val="auto"/>
        </w:rPr>
      </w:pPr>
    </w:p>
    <w:p>
      <w:pPr>
        <w:spacing w:after="0"/>
        <w:rPr>
          <w:sz w:val="20"/>
          <w:szCs w:val="20"/>
          <w:color w:val="auto"/>
        </w:rPr>
      </w:pPr>
      <w:r>
        <w:rPr>
          <w:rFonts w:ascii="Arial" w:cs="Arial" w:eastAsia="Arial" w:hAnsi="Arial"/>
          <w:sz w:val="22"/>
          <w:szCs w:val="22"/>
          <w:b w:val="1"/>
          <w:bCs w:val="1"/>
          <w:color w:val="009ADA"/>
        </w:rPr>
        <w:t>How are proxies solicited for the Annual Meeting and who is paying for such solicitation?</w:t>
      </w:r>
    </w:p>
    <w:p>
      <w:pPr>
        <w:spacing w:after="0" w:line="213" w:lineRule="exact"/>
        <w:rPr>
          <w:sz w:val="20"/>
          <w:szCs w:val="20"/>
          <w:color w:val="auto"/>
        </w:rPr>
      </w:pPr>
    </w:p>
    <w:p>
      <w:pPr>
        <w:ind w:right="60"/>
        <w:spacing w:after="0" w:line="337" w:lineRule="auto"/>
        <w:rPr>
          <w:sz w:val="20"/>
          <w:szCs w:val="20"/>
          <w:color w:val="auto"/>
        </w:rPr>
      </w:pPr>
      <w:r>
        <w:rPr>
          <w:rFonts w:ascii="Arial" w:cs="Arial" w:eastAsia="Arial" w:hAnsi="Arial"/>
          <w:sz w:val="16"/>
          <w:szCs w:val="16"/>
          <w:color w:val="auto"/>
        </w:rPr>
        <w:t>Our board of directors is soliciting proxies for use at the Annual Meeting by means of the proxy materials. We will bear the entire cost of proxy solicitation, including the preparation, assembly, printing, mailing and distribution of the proxy materials. Copies of solicitation materials will also be made available upon request to brokers, banks and other nominees to forward to the beneficial owners of the shares held of record by such brokers, banks or other nominees. The original solicitation of proxies may be supplemented by solicitation by telephone, electronic communication, or other means by our directors, officers, employees or agents. No additional compensation will be paid to these individuals for any such services, although we may reimburse such individuals for their reasonable out-of-pocket expenses in connection with such solicitation. We do not plan to retain a proxy solicitor to assist in the solicitation of proxies.</w:t>
      </w:r>
    </w:p>
    <w:p>
      <w:pPr>
        <w:spacing w:after="0" w:line="151" w:lineRule="exact"/>
        <w:rPr>
          <w:sz w:val="20"/>
          <w:szCs w:val="20"/>
          <w:color w:val="auto"/>
        </w:rPr>
      </w:pPr>
    </w:p>
    <w:p>
      <w:pPr>
        <w:ind w:right="260"/>
        <w:spacing w:after="0" w:line="348" w:lineRule="auto"/>
        <w:rPr>
          <w:sz w:val="20"/>
          <w:szCs w:val="20"/>
          <w:color w:val="auto"/>
        </w:rPr>
      </w:pPr>
      <w:r>
        <w:rPr>
          <w:rFonts w:ascii="Arial" w:cs="Arial" w:eastAsia="Arial" w:hAnsi="Arial"/>
          <w:sz w:val="16"/>
          <w:szCs w:val="16"/>
          <w:color w:val="auto"/>
        </w:rPr>
        <w:t>If you choose to access the proxy materials and/or vote over the internet, you are responsible for internet access charges you may incur. If you choose to vote by telephone, you are responsible for telephone charges you may incur.</w:t>
      </w:r>
    </w:p>
    <w:p>
      <w:pPr>
        <w:spacing w:after="0" w:line="94" w:lineRule="exact"/>
        <w:rPr>
          <w:sz w:val="20"/>
          <w:szCs w:val="20"/>
          <w:color w:val="auto"/>
        </w:rPr>
      </w:pPr>
    </w:p>
    <w:p>
      <w:pPr>
        <w:spacing w:after="0"/>
        <w:rPr>
          <w:sz w:val="20"/>
          <w:szCs w:val="20"/>
          <w:color w:val="auto"/>
        </w:rPr>
      </w:pPr>
      <w:r>
        <w:rPr>
          <w:rFonts w:ascii="Arial" w:cs="Arial" w:eastAsia="Arial" w:hAnsi="Arial"/>
          <w:sz w:val="22"/>
          <w:szCs w:val="22"/>
          <w:b w:val="1"/>
          <w:bCs w:val="1"/>
          <w:color w:val="009ADA"/>
        </w:rPr>
        <w:t>What does it mean if I received more than one Notice?</w:t>
      </w:r>
    </w:p>
    <w:p>
      <w:pPr>
        <w:spacing w:after="0" w:line="213" w:lineRule="exact"/>
        <w:rPr>
          <w:sz w:val="20"/>
          <w:szCs w:val="20"/>
          <w:color w:val="auto"/>
        </w:rPr>
      </w:pPr>
    </w:p>
    <w:p>
      <w:pPr>
        <w:ind w:right="100"/>
        <w:spacing w:after="0" w:line="348" w:lineRule="auto"/>
        <w:rPr>
          <w:sz w:val="20"/>
          <w:szCs w:val="20"/>
          <w:color w:val="auto"/>
        </w:rPr>
      </w:pPr>
      <w:r>
        <w:rPr>
          <w:rFonts w:ascii="Arial" w:cs="Arial" w:eastAsia="Arial" w:hAnsi="Arial"/>
          <w:sz w:val="16"/>
          <w:szCs w:val="16"/>
          <w:color w:val="auto"/>
        </w:rPr>
        <w:t>If you receive more than one Notice, your shares may be registered in more than one name or in different accounts. Please follow the voting instructions on each Notice to ensure that all of your shares are voted.</w:t>
      </w:r>
    </w:p>
    <w:p>
      <w:pPr>
        <w:spacing w:after="0" w:line="94" w:lineRule="exact"/>
        <w:rPr>
          <w:sz w:val="20"/>
          <w:szCs w:val="20"/>
          <w:color w:val="auto"/>
        </w:rPr>
      </w:pPr>
    </w:p>
    <w:p>
      <w:pPr>
        <w:spacing w:after="0"/>
        <w:rPr>
          <w:sz w:val="20"/>
          <w:szCs w:val="20"/>
          <w:color w:val="auto"/>
        </w:rPr>
      </w:pPr>
      <w:r>
        <w:rPr>
          <w:rFonts w:ascii="Arial" w:cs="Arial" w:eastAsia="Arial" w:hAnsi="Arial"/>
          <w:sz w:val="22"/>
          <w:szCs w:val="22"/>
          <w:b w:val="1"/>
          <w:bCs w:val="1"/>
          <w:color w:val="009ADA"/>
        </w:rPr>
        <w:t>Is my vote confidential?</w:t>
      </w:r>
    </w:p>
    <w:p>
      <w:pPr>
        <w:spacing w:after="0" w:line="213" w:lineRule="exact"/>
        <w:rPr>
          <w:sz w:val="20"/>
          <w:szCs w:val="20"/>
          <w:color w:val="auto"/>
        </w:rPr>
      </w:pPr>
    </w:p>
    <w:p>
      <w:pPr>
        <w:ind w:right="40"/>
        <w:spacing w:after="0" w:line="341" w:lineRule="auto"/>
        <w:rPr>
          <w:sz w:val="20"/>
          <w:szCs w:val="20"/>
          <w:color w:val="auto"/>
        </w:rPr>
      </w:pPr>
      <w:r>
        <w:rPr>
          <w:rFonts w:ascii="Arial" w:cs="Arial" w:eastAsia="Arial" w:hAnsi="Arial"/>
          <w:sz w:val="16"/>
          <w:szCs w:val="16"/>
          <w:color w:val="auto"/>
        </w:rPr>
        <w:t>Proxy instructions, ballots and voting tabulations that identify individual stockholders are handled in a manner that protects your voting privacy. Your vote will not be disclosed either within Zscaler or to third parties, except as necessary to meet applicable legal and administrative requirements, to allow for the tabulation of votes and certification of the vote, or to facilitate a successful proxy solicitation.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255270</wp:posOffset>
            </wp:positionV>
            <wp:extent cx="342900" cy="21399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2900" cy="213995"/>
                    </a:xfrm>
                    <a:prstGeom prst="rect">
                      <a:avLst/>
                    </a:prstGeom>
                    <a:noFill/>
                  </pic:spPr>
                </pic:pic>
              </a:graphicData>
            </a:graphic>
          </wp:anchor>
        </w:drawing>
      </w:r>
    </w:p>
    <w:p>
      <w:pPr>
        <w:spacing w:after="0" w:line="320" w:lineRule="exact"/>
        <w:rPr>
          <w:sz w:val="20"/>
          <w:szCs w:val="20"/>
          <w:color w:val="auto"/>
        </w:rPr>
      </w:pPr>
    </w:p>
    <w:p>
      <w:pPr>
        <w:ind w:left="5540"/>
        <w:spacing w:after="0"/>
        <w:tabs>
          <w:tab w:leader="none" w:pos="9780" w:val="left"/>
        </w:tabs>
        <w:rPr>
          <w:sz w:val="20"/>
          <w:szCs w:val="20"/>
          <w:color w:val="auto"/>
        </w:rPr>
      </w:pPr>
      <w:r>
        <w:rPr>
          <w:rFonts w:ascii="Arial" w:cs="Arial" w:eastAsia="Arial" w:hAnsi="Arial"/>
          <w:sz w:val="29"/>
          <w:szCs w:val="29"/>
          <w:color w:val="auto"/>
          <w:vertAlign w:val="superscript"/>
        </w:rPr>
        <w:t>10</w:t>
      </w:r>
      <w:r>
        <w:rPr>
          <w:sz w:val="20"/>
          <w:szCs w:val="20"/>
          <w:color w:val="auto"/>
        </w:rPr>
        <w:tab/>
      </w:r>
      <w:r>
        <w:rPr>
          <w:rFonts w:ascii="Arial" w:cs="Arial" w:eastAsia="Arial" w:hAnsi="Arial"/>
          <w:sz w:val="14"/>
          <w:szCs w:val="14"/>
          <w:color w:val="auto"/>
        </w:rPr>
        <w:t>2021 Proxy Statement</w:t>
      </w:r>
    </w:p>
    <w:p>
      <w:pPr>
        <w:sectPr>
          <w:pgSz w:w="11900" w:h="16838" w:orient="portrait"/>
          <w:cols w:equalWidth="0" w:num="1">
            <w:col w:w="11220"/>
          </w:cols>
          <w:pgMar w:left="320" w:top="172" w:right="359" w:bottom="1440" w:gutter="0" w:footer="0" w:header="0"/>
        </w:sectPr>
      </w:pPr>
    </w:p>
    <w:bookmarkStart w:id="14" w:name="page15"/>
    <w:bookmarkEnd w:id="14"/>
    <w:p>
      <w:pPr>
        <w:ind w:left="280"/>
        <w:spacing w:after="0"/>
        <w:rPr>
          <w:sz w:val="20"/>
          <w:szCs w:val="20"/>
          <w:color w:val="auto"/>
        </w:rPr>
      </w:pPr>
      <w:r>
        <w:rPr>
          <w:rFonts w:ascii="Arial" w:cs="Arial" w:eastAsia="Arial" w:hAnsi="Arial"/>
          <w:sz w:val="13"/>
          <w:szCs w:val="13"/>
          <w:b w:val="1"/>
          <w:bCs w:val="1"/>
          <w:color w:val="929292"/>
        </w:rPr>
        <w:t>QUESTIONS AND ANSWERS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7470" cy="596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7470" cy="59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380"/>
        <w:spacing w:after="0" w:line="274" w:lineRule="auto"/>
        <w:rPr>
          <w:sz w:val="20"/>
          <w:szCs w:val="20"/>
          <w:color w:val="auto"/>
        </w:rPr>
      </w:pPr>
      <w:r>
        <w:rPr>
          <w:rFonts w:ascii="Arial" w:cs="Arial" w:eastAsia="Arial" w:hAnsi="Arial"/>
          <w:sz w:val="22"/>
          <w:szCs w:val="22"/>
          <w:b w:val="1"/>
          <w:bCs w:val="1"/>
          <w:color w:val="009ADA"/>
        </w:rPr>
        <w:t>I share an address with another stockholder, and we received only one paper copy of the proxy materials. How may I obtain an additional copy of the proxy materials?</w:t>
      </w:r>
    </w:p>
    <w:p>
      <w:pPr>
        <w:spacing w:after="0" w:line="145" w:lineRule="exact"/>
        <w:rPr>
          <w:sz w:val="20"/>
          <w:szCs w:val="20"/>
          <w:color w:val="auto"/>
        </w:rPr>
      </w:pPr>
    </w:p>
    <w:p>
      <w:pPr>
        <w:ind w:right="60"/>
        <w:spacing w:after="0" w:line="336" w:lineRule="auto"/>
        <w:rPr>
          <w:sz w:val="20"/>
          <w:szCs w:val="20"/>
          <w:color w:val="auto"/>
        </w:rPr>
      </w:pPr>
      <w:r>
        <w:rPr>
          <w:rFonts w:ascii="Arial" w:cs="Arial" w:eastAsia="Arial" w:hAnsi="Arial"/>
          <w:sz w:val="16"/>
          <w:szCs w:val="16"/>
          <w:color w:val="auto"/>
        </w:rPr>
        <w:t>We have adopted an SEC-approved procedure called “householding.” Under this procedure, we will deliver only one copy of our Notice of Internet Availability of Proxy Materials (and for those stockholders that received a paper copy of proxy materials in the mail, one copy of our Annual Report to stockholders and this Proxy Statement) to multiple stockholders who share the same address (if they appear to be members of the same family), unless we have received contrary instructions from an affected stockholder. Stockholders who participate in householding will continue to receive separate proxy cards if they received a paper copy of proxy materials in the mail. This procedure reduces our printing and mailing costs. Upon written or oral request, we will promptly deliver a separate copy of the proxy materials and Annual Report to any stockholder at a shared address to which we delivered a single copy of any of these documents.</w:t>
      </w:r>
    </w:p>
    <w:p>
      <w:pPr>
        <w:spacing w:after="0" w:line="154" w:lineRule="exact"/>
        <w:rPr>
          <w:sz w:val="20"/>
          <w:szCs w:val="20"/>
          <w:color w:val="auto"/>
        </w:rPr>
      </w:pPr>
    </w:p>
    <w:p>
      <w:pPr>
        <w:ind w:right="380"/>
        <w:spacing w:after="0" w:line="348" w:lineRule="auto"/>
        <w:rPr>
          <w:sz w:val="20"/>
          <w:szCs w:val="20"/>
          <w:color w:val="auto"/>
        </w:rPr>
      </w:pPr>
      <w:r>
        <w:rPr>
          <w:rFonts w:ascii="Arial" w:cs="Arial" w:eastAsia="Arial" w:hAnsi="Arial"/>
          <w:sz w:val="16"/>
          <w:szCs w:val="16"/>
          <w:color w:val="auto"/>
        </w:rPr>
        <w:t>To receive a separate copy, or, if you are receiving multiple copies, to request that we only send a single copy of next year’s proxy materials and Annual Report, you may contact us as follows: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Zscaler, Inc.</w:t>
      </w:r>
    </w:p>
    <w:p>
      <w:pPr>
        <w:spacing w:after="0" w:line="7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Attention: Secretary</w:t>
      </w:r>
    </w:p>
    <w:p>
      <w:pPr>
        <w:spacing w:after="0" w:line="7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120 Holger Way</w:t>
      </w:r>
    </w:p>
    <w:p>
      <w:pPr>
        <w:spacing w:after="0" w:line="7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San Jose, California 95134</w:t>
      </w:r>
    </w:p>
    <w:p>
      <w:pPr>
        <w:spacing w:after="0" w:line="7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(408) 533-0288</w:t>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Stockholders who hold shares in street name may contact their broker, bank or other nominee to request information about householding.</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color w:val="009ADA"/>
        </w:rPr>
        <w:t>How can I find out the results of the voting at the Annual Meeting?</w:t>
      </w:r>
    </w:p>
    <w:p>
      <w:pPr>
        <w:spacing w:after="0" w:line="213" w:lineRule="exact"/>
        <w:rPr>
          <w:sz w:val="20"/>
          <w:szCs w:val="20"/>
          <w:color w:val="auto"/>
        </w:rPr>
      </w:pPr>
    </w:p>
    <w:p>
      <w:pPr>
        <w:ind w:right="140"/>
        <w:spacing w:after="0" w:line="339" w:lineRule="auto"/>
        <w:rPr>
          <w:sz w:val="20"/>
          <w:szCs w:val="20"/>
          <w:color w:val="auto"/>
        </w:rPr>
      </w:pPr>
      <w:r>
        <w:rPr>
          <w:rFonts w:ascii="Arial" w:cs="Arial" w:eastAsia="Arial" w:hAnsi="Arial"/>
          <w:sz w:val="16"/>
          <w:szCs w:val="16"/>
          <w:color w:val="auto"/>
        </w:rPr>
        <w:t>Preliminary voting results will be announced at the Annual Meeting. In addition, final voting results will be published in a current report on Form 8-K that we expect to file within four business days after the Annual Meeting. If final voting results are not available to us at that time, we intend to file a Form 8-K to publish preliminary results and, within four business days after the final results are known to us, file an amendment to the Form 8-K to publish the final results.</w:t>
      </w:r>
    </w:p>
    <w:p>
      <w:pPr>
        <w:spacing w:after="0" w:line="101" w:lineRule="exact"/>
        <w:rPr>
          <w:sz w:val="20"/>
          <w:szCs w:val="20"/>
          <w:color w:val="auto"/>
        </w:rPr>
      </w:pPr>
    </w:p>
    <w:p>
      <w:pPr>
        <w:ind w:right="20"/>
        <w:spacing w:after="0" w:line="274" w:lineRule="auto"/>
        <w:rPr>
          <w:sz w:val="20"/>
          <w:szCs w:val="20"/>
          <w:color w:val="auto"/>
        </w:rPr>
      </w:pPr>
      <w:r>
        <w:rPr>
          <w:rFonts w:ascii="Arial" w:cs="Arial" w:eastAsia="Arial" w:hAnsi="Arial"/>
          <w:sz w:val="22"/>
          <w:szCs w:val="22"/>
          <w:b w:val="1"/>
          <w:bCs w:val="1"/>
          <w:color w:val="009ADA"/>
        </w:rPr>
        <w:t>What is the deadline to propose actions for consideration at next year’s annual meeting of stockholders or to nominate individuals to serve as directors?</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b w:val="1"/>
          <w:bCs w:val="1"/>
          <w:color w:val="2B338D"/>
        </w:rPr>
        <w:t>STOCKHOLDER PROPOSALS</w:t>
      </w:r>
    </w:p>
    <w:p>
      <w:pPr>
        <w:spacing w:after="0" w:line="147" w:lineRule="exact"/>
        <w:rPr>
          <w:sz w:val="20"/>
          <w:szCs w:val="20"/>
          <w:color w:val="auto"/>
        </w:rPr>
      </w:pPr>
    </w:p>
    <w:p>
      <w:pPr>
        <w:spacing w:after="0" w:line="338" w:lineRule="auto"/>
        <w:rPr>
          <w:sz w:val="20"/>
          <w:szCs w:val="20"/>
          <w:color w:val="auto"/>
        </w:rPr>
      </w:pPr>
      <w:r>
        <w:rPr>
          <w:rFonts w:ascii="Arial" w:cs="Arial" w:eastAsia="Arial" w:hAnsi="Arial"/>
          <w:sz w:val="16"/>
          <w:szCs w:val="16"/>
          <w:color w:val="auto"/>
        </w:rPr>
        <w:t>Stockholders may present proper proposals for inclusion in our Proxy Statement and for consideration at the next annual meeting of stockholders by submitting their proposals in writing to our Secretary in a timely manner. For a stockholder proposal to be considered for inclusion in our Proxy Statement for our fiscal 2022 annual meeting of stockholders, our Secretary must receive the written proposal at our principal executive offices not later than July 27, 2022. In addition, stockholder proposals must comply with the requirements of Rule 14a-8 under the Securities Exchange Act of 1934, as amended (the “Exchange Act”), regarding the inclusion of stockholder proposals in company-sponsored proxy materials. Stockholder proposals should be addressed to:</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Zscaler, Inc.</w:t>
      </w:r>
    </w:p>
    <w:p>
      <w:pPr>
        <w:spacing w:after="0" w:line="7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Attention: Secretary</w:t>
      </w:r>
    </w:p>
    <w:p>
      <w:pPr>
        <w:spacing w:after="0" w:line="7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120 Holger Way</w:t>
      </w:r>
    </w:p>
    <w:p>
      <w:pPr>
        <w:spacing w:after="0" w:line="7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San Jose, California 95134</w:t>
      </w:r>
    </w:p>
    <w:p>
      <w:pPr>
        <w:spacing w:after="0" w:line="7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(408) 533-0288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323215</wp:posOffset>
            </wp:positionV>
            <wp:extent cx="342900" cy="2146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42900" cy="21463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5540"/>
        <w:spacing w:after="0"/>
        <w:tabs>
          <w:tab w:leader="none" w:pos="9780" w:val="left"/>
        </w:tabs>
        <w:rPr>
          <w:sz w:val="20"/>
          <w:szCs w:val="20"/>
          <w:color w:val="auto"/>
        </w:rPr>
      </w:pPr>
      <w:r>
        <w:rPr>
          <w:rFonts w:ascii="Arial" w:cs="Arial" w:eastAsia="Arial" w:hAnsi="Arial"/>
          <w:sz w:val="29"/>
          <w:szCs w:val="29"/>
          <w:color w:val="auto"/>
          <w:vertAlign w:val="superscript"/>
        </w:rPr>
        <w:t>11</w:t>
      </w:r>
      <w:r>
        <w:rPr>
          <w:sz w:val="20"/>
          <w:szCs w:val="20"/>
          <w:color w:val="auto"/>
        </w:rPr>
        <w:tab/>
      </w:r>
      <w:r>
        <w:rPr>
          <w:rFonts w:ascii="Arial" w:cs="Arial" w:eastAsia="Arial" w:hAnsi="Arial"/>
          <w:sz w:val="14"/>
          <w:szCs w:val="14"/>
          <w:color w:val="auto"/>
        </w:rPr>
        <w:t>2021 Proxy Statement</w:t>
      </w:r>
    </w:p>
    <w:p>
      <w:pPr>
        <w:sectPr>
          <w:pgSz w:w="11900" w:h="16838" w:orient="portrait"/>
          <w:cols w:equalWidth="0" w:num="1">
            <w:col w:w="11220"/>
          </w:cols>
          <w:pgMar w:left="320" w:top="172" w:right="359" w:bottom="1440" w:gutter="0" w:footer="0" w:header="0"/>
        </w:sectPr>
      </w:pPr>
    </w:p>
    <w:bookmarkStart w:id="15" w:name="page16"/>
    <w:bookmarkEnd w:id="15"/>
    <w:p>
      <w:pPr>
        <w:ind w:left="280"/>
        <w:spacing w:after="0"/>
        <w:rPr>
          <w:sz w:val="20"/>
          <w:szCs w:val="20"/>
          <w:color w:val="auto"/>
        </w:rPr>
      </w:pPr>
      <w:r>
        <w:rPr>
          <w:rFonts w:ascii="Arial" w:cs="Arial" w:eastAsia="Arial" w:hAnsi="Arial"/>
          <w:sz w:val="13"/>
          <w:szCs w:val="13"/>
          <w:b w:val="1"/>
          <w:bCs w:val="1"/>
          <w:color w:val="929292"/>
        </w:rPr>
        <w:t>QUESTIONS AND ANSWERS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7470" cy="596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7470" cy="59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line="337" w:lineRule="auto"/>
        <w:rPr>
          <w:sz w:val="20"/>
          <w:szCs w:val="20"/>
          <w:color w:val="auto"/>
        </w:rPr>
      </w:pPr>
      <w:r>
        <w:rPr>
          <w:rFonts w:ascii="Arial" w:cs="Arial" w:eastAsia="Arial" w:hAnsi="Arial"/>
          <w:sz w:val="16"/>
          <w:szCs w:val="16"/>
          <w:color w:val="auto"/>
        </w:rPr>
        <w:t>Our bylaws also establish an advance notice procedure for stockholders who wish to present a proposal before an annual meeting of stockholders but do not intend for the proposal to be included in our Proxy Statement. Our bylaws provide that the only business that may be conducted at an annual meeting is business that is (i) specified in our proxy materials with respect to such meeting, (ii) otherwise properly brought before the annual meeting by or at the direction of our board of directors, or (iii) properly brought before the annual meeting by a stockholder of record entitled to vote at the annual meeting who has delivered timely written notice to our Secretary, which notice must contain the information specified in our bylaws. To be timely for our fiscal 2022 annual meeting of stockholders, our Secretary must receive the written notice at our principal executive offices:</w:t>
      </w:r>
    </w:p>
    <w:p>
      <w:pPr>
        <w:spacing w:after="0" w:line="151" w:lineRule="exact"/>
        <w:rPr>
          <w:sz w:val="20"/>
          <w:szCs w:val="20"/>
          <w:color w:val="auto"/>
        </w:rPr>
      </w:pPr>
    </w:p>
    <w:p>
      <w:pPr>
        <w:ind w:left="460" w:hanging="128"/>
        <w:spacing w:after="0"/>
        <w:tabs>
          <w:tab w:leader="none" w:pos="4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not earlier than September 10, 2022; and</w:t>
      </w:r>
    </w:p>
    <w:p>
      <w:pPr>
        <w:spacing w:after="0" w:line="180" w:lineRule="exact"/>
        <w:rPr>
          <w:rFonts w:ascii="Arial" w:cs="Arial" w:eastAsia="Arial" w:hAnsi="Arial"/>
          <w:sz w:val="16"/>
          <w:szCs w:val="16"/>
          <w:color w:val="auto"/>
        </w:rPr>
      </w:pPr>
    </w:p>
    <w:p>
      <w:pPr>
        <w:ind w:left="460" w:hanging="128"/>
        <w:spacing w:after="0"/>
        <w:tabs>
          <w:tab w:leader="none" w:pos="4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not later than October 10, 2022.</w:t>
      </w:r>
    </w:p>
    <w:p>
      <w:pPr>
        <w:spacing w:after="0" w:line="235" w:lineRule="exact"/>
        <w:rPr>
          <w:sz w:val="20"/>
          <w:szCs w:val="20"/>
          <w:color w:val="auto"/>
        </w:rPr>
      </w:pPr>
    </w:p>
    <w:p>
      <w:pPr>
        <w:ind w:right="20"/>
        <w:spacing w:after="0" w:line="341" w:lineRule="auto"/>
        <w:rPr>
          <w:sz w:val="20"/>
          <w:szCs w:val="20"/>
          <w:color w:val="auto"/>
        </w:rPr>
      </w:pPr>
      <w:r>
        <w:rPr>
          <w:rFonts w:ascii="Arial" w:cs="Arial" w:eastAsia="Arial" w:hAnsi="Arial"/>
          <w:sz w:val="16"/>
          <w:szCs w:val="16"/>
          <w:color w:val="auto"/>
        </w:rPr>
        <w:t>In the event that we hold our fiscal 2022 annual meeting of stockholders more than 30 days before or more than 60 days after the first anniversary of the date of the Annual Meeting, then notice of a stockholder proposal that is not intended to be included in our Proxy Statement must be received no earlier than the close of business on the 120th day before the fiscal 2021 Annual Meeting and no later than the close of business on the later of the following two dates:</w:t>
      </w:r>
    </w:p>
    <w:p>
      <w:pPr>
        <w:spacing w:after="0" w:line="147" w:lineRule="exact"/>
        <w:rPr>
          <w:sz w:val="20"/>
          <w:szCs w:val="20"/>
          <w:color w:val="auto"/>
        </w:rPr>
      </w:pPr>
    </w:p>
    <w:p>
      <w:pPr>
        <w:ind w:left="460" w:hanging="128"/>
        <w:spacing w:after="0"/>
        <w:tabs>
          <w:tab w:leader="none" w:pos="4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90th day prior to such annual meeting; or</w:t>
      </w:r>
    </w:p>
    <w:p>
      <w:pPr>
        <w:spacing w:after="0" w:line="180" w:lineRule="exact"/>
        <w:rPr>
          <w:rFonts w:ascii="Arial" w:cs="Arial" w:eastAsia="Arial" w:hAnsi="Arial"/>
          <w:sz w:val="16"/>
          <w:szCs w:val="16"/>
          <w:color w:val="auto"/>
        </w:rPr>
      </w:pPr>
    </w:p>
    <w:p>
      <w:pPr>
        <w:ind w:left="460" w:hanging="128"/>
        <w:spacing w:after="0"/>
        <w:tabs>
          <w:tab w:leader="none" w:pos="4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10th day following the day on which public announcement of the date of such annual meeting is first made.</w:t>
      </w:r>
    </w:p>
    <w:p>
      <w:pPr>
        <w:spacing w:after="0" w:line="235" w:lineRule="exact"/>
        <w:rPr>
          <w:sz w:val="20"/>
          <w:szCs w:val="20"/>
          <w:color w:val="auto"/>
        </w:rPr>
      </w:pPr>
    </w:p>
    <w:p>
      <w:pPr>
        <w:ind w:right="120"/>
        <w:spacing w:after="0" w:line="348" w:lineRule="auto"/>
        <w:rPr>
          <w:sz w:val="20"/>
          <w:szCs w:val="20"/>
          <w:color w:val="auto"/>
        </w:rPr>
      </w:pPr>
      <w:r>
        <w:rPr>
          <w:rFonts w:ascii="Arial" w:cs="Arial" w:eastAsia="Arial" w:hAnsi="Arial"/>
          <w:sz w:val="16"/>
          <w:szCs w:val="16"/>
          <w:color w:val="auto"/>
        </w:rPr>
        <w:t>If a stockholder who has notified us of his, her or its intention to present a proposal at an annual meeting does not appear to present his, her or its proposal at such annual meeting, we are not required to present the proposal for a vote at such annual meeting.</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color w:val="2B338D"/>
        </w:rPr>
        <w:t>NOMINATION OF DIRECTOR CANDIDATES</w:t>
      </w:r>
    </w:p>
    <w:p>
      <w:pPr>
        <w:spacing w:after="0" w:line="147" w:lineRule="exact"/>
        <w:rPr>
          <w:sz w:val="20"/>
          <w:szCs w:val="20"/>
          <w:color w:val="auto"/>
        </w:rPr>
      </w:pPr>
    </w:p>
    <w:p>
      <w:pPr>
        <w:ind w:right="80"/>
        <w:spacing w:after="0" w:line="362" w:lineRule="auto"/>
        <w:rPr>
          <w:sz w:val="20"/>
          <w:szCs w:val="20"/>
          <w:color w:val="auto"/>
        </w:rPr>
      </w:pPr>
      <w:r>
        <w:rPr>
          <w:rFonts w:ascii="Arial" w:cs="Arial" w:eastAsia="Arial" w:hAnsi="Arial"/>
          <w:sz w:val="16"/>
          <w:szCs w:val="16"/>
          <w:color w:val="auto"/>
        </w:rPr>
        <w:t xml:space="preserve">You may propose director candidates for consideration by our nominating and corporate governance committee. Any such recommendations should include the nominee’s name and qualifications for membership on our board of directors and should be directed to our Secretary at the address set forth above. For additional information regarding stockholder recommendations for director candidates, see </w:t>
      </w:r>
      <w:r>
        <w:rPr>
          <w:rFonts w:ascii="Arial" w:cs="Arial" w:eastAsia="Arial" w:hAnsi="Arial"/>
          <w:sz w:val="16"/>
          <w:szCs w:val="16"/>
          <w:i w:val="1"/>
          <w:iCs w:val="1"/>
          <w:color w:val="auto"/>
        </w:rPr>
        <w:t>“Board of Directors and Corporate Governance—Stockholder</w:t>
      </w:r>
      <w:r>
        <w:rPr>
          <w:rFonts w:ascii="Arial" w:cs="Arial" w:eastAsia="Arial" w:hAnsi="Arial"/>
          <w:sz w:val="16"/>
          <w:szCs w:val="16"/>
          <w:color w:val="auto"/>
        </w:rPr>
        <w:t xml:space="preserve"> </w:t>
      </w:r>
      <w:r>
        <w:rPr>
          <w:rFonts w:ascii="Arial" w:cs="Arial" w:eastAsia="Arial" w:hAnsi="Arial"/>
          <w:sz w:val="16"/>
          <w:szCs w:val="16"/>
          <w:i w:val="1"/>
          <w:iCs w:val="1"/>
          <w:color w:val="auto"/>
        </w:rPr>
        <w:t>Recommendations for Nominations to the Board of Directors.”</w:t>
      </w:r>
    </w:p>
    <w:p>
      <w:pPr>
        <w:spacing w:after="0" w:line="132" w:lineRule="exact"/>
        <w:rPr>
          <w:sz w:val="20"/>
          <w:szCs w:val="20"/>
          <w:color w:val="auto"/>
        </w:rPr>
      </w:pPr>
    </w:p>
    <w:p>
      <w:pPr>
        <w:ind w:right="60"/>
        <w:spacing w:after="0" w:line="362" w:lineRule="auto"/>
        <w:rPr>
          <w:sz w:val="20"/>
          <w:szCs w:val="20"/>
          <w:color w:val="auto"/>
        </w:rPr>
      </w:pPr>
      <w:r>
        <w:rPr>
          <w:rFonts w:ascii="Arial" w:cs="Arial" w:eastAsia="Arial" w:hAnsi="Arial"/>
          <w:sz w:val="16"/>
          <w:szCs w:val="16"/>
          <w:color w:val="auto"/>
        </w:rPr>
        <w:t xml:space="preserve">In addition, our bylaws permit stockholders to nominate directors for election at an annual meeting of stockholders. To nominate a director, the stockholder must provide the information required by our bylaws. In addition, the stockholder must give timely notice to our Secretary in accordance with our bylaws, which, in general, require that the notice be received by our Secretary within the time period described above under </w:t>
      </w:r>
      <w:r>
        <w:rPr>
          <w:rFonts w:ascii="Arial" w:cs="Arial" w:eastAsia="Arial" w:hAnsi="Arial"/>
          <w:sz w:val="16"/>
          <w:szCs w:val="16"/>
          <w:i w:val="1"/>
          <w:iCs w:val="1"/>
          <w:color w:val="auto"/>
        </w:rPr>
        <w:t>“</w:t>
      </w:r>
      <w:r>
        <w:rPr>
          <w:rFonts w:ascii="Arial" w:cs="Arial" w:eastAsia="Arial" w:hAnsi="Arial"/>
          <w:sz w:val="16"/>
          <w:szCs w:val="16"/>
          <w:color w:val="auto"/>
        </w:rPr>
        <w:t>Stockholder Proposals</w:t>
      </w:r>
      <w:r>
        <w:rPr>
          <w:rFonts w:ascii="Arial" w:cs="Arial" w:eastAsia="Arial" w:hAnsi="Arial"/>
          <w:sz w:val="16"/>
          <w:szCs w:val="16"/>
          <w:i w:val="1"/>
          <w:iCs w:val="1"/>
          <w:color w:val="auto"/>
        </w:rPr>
        <w:t>”</w:t>
      </w:r>
      <w:r>
        <w:rPr>
          <w:rFonts w:ascii="Arial" w:cs="Arial" w:eastAsia="Arial" w:hAnsi="Arial"/>
          <w:sz w:val="16"/>
          <w:szCs w:val="16"/>
          <w:color w:val="auto"/>
        </w:rPr>
        <w:t xml:space="preserve"> for stockholder proposals that are not intended to be included in a proxy statement.</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b w:val="1"/>
          <w:bCs w:val="1"/>
          <w:color w:val="2B338D"/>
        </w:rPr>
        <w:t>AVAILABILITY OF BYLAWS</w:t>
      </w:r>
    </w:p>
    <w:p>
      <w:pPr>
        <w:spacing w:after="0" w:line="127" w:lineRule="exact"/>
        <w:rPr>
          <w:sz w:val="20"/>
          <w:szCs w:val="20"/>
          <w:color w:val="auto"/>
        </w:rPr>
      </w:pPr>
    </w:p>
    <w:p>
      <w:pPr>
        <w:ind w:right="240"/>
        <w:spacing w:after="0" w:line="354" w:lineRule="auto"/>
        <w:rPr>
          <w:sz w:val="20"/>
          <w:szCs w:val="20"/>
          <w:color w:val="auto"/>
        </w:rPr>
      </w:pPr>
      <w:r>
        <w:rPr>
          <w:rFonts w:ascii="Arial" w:cs="Arial" w:eastAsia="Arial" w:hAnsi="Arial"/>
          <w:sz w:val="16"/>
          <w:szCs w:val="16"/>
          <w:color w:val="auto"/>
        </w:rPr>
        <w:t xml:space="preserve">A copy of our bylaws may be obtained by accessing our public filings on the SEC’s website at </w:t>
      </w:r>
      <w:r>
        <w:rPr>
          <w:rFonts w:ascii="Arial" w:cs="Arial" w:eastAsia="Arial" w:hAnsi="Arial"/>
          <w:sz w:val="16"/>
          <w:szCs w:val="16"/>
          <w:b w:val="1"/>
          <w:bCs w:val="1"/>
          <w:color w:val="auto"/>
        </w:rPr>
        <w:t>www.sec.gov</w:t>
      </w:r>
      <w:r>
        <w:rPr>
          <w:rFonts w:ascii="Arial" w:cs="Arial" w:eastAsia="Arial" w:hAnsi="Arial"/>
          <w:sz w:val="16"/>
          <w:szCs w:val="16"/>
          <w:color w:val="auto"/>
        </w:rPr>
        <w:t>. You may also contact our Secretary at our principal executive office for a copy of the relevant bylaw provisions regarding the requirements for making stockholder proposals and nominating director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248920</wp:posOffset>
            </wp:positionV>
            <wp:extent cx="342900" cy="2146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2900" cy="214630"/>
                    </a:xfrm>
                    <a:prstGeom prst="rect">
                      <a:avLst/>
                    </a:prstGeom>
                    <a:noFill/>
                  </pic:spPr>
                </pic:pic>
              </a:graphicData>
            </a:graphic>
          </wp:anchor>
        </w:drawing>
      </w:r>
    </w:p>
    <w:p>
      <w:pPr>
        <w:spacing w:after="0" w:line="310" w:lineRule="exact"/>
        <w:rPr>
          <w:sz w:val="20"/>
          <w:szCs w:val="20"/>
          <w:color w:val="auto"/>
        </w:rPr>
      </w:pPr>
    </w:p>
    <w:p>
      <w:pPr>
        <w:ind w:left="5540"/>
        <w:spacing w:after="0"/>
        <w:tabs>
          <w:tab w:leader="none" w:pos="9780" w:val="left"/>
        </w:tabs>
        <w:rPr>
          <w:sz w:val="20"/>
          <w:szCs w:val="20"/>
          <w:color w:val="auto"/>
        </w:rPr>
      </w:pPr>
      <w:r>
        <w:rPr>
          <w:rFonts w:ascii="Arial" w:cs="Arial" w:eastAsia="Arial" w:hAnsi="Arial"/>
          <w:sz w:val="29"/>
          <w:szCs w:val="29"/>
          <w:color w:val="auto"/>
          <w:vertAlign w:val="superscript"/>
        </w:rPr>
        <w:t>12</w:t>
      </w:r>
      <w:r>
        <w:rPr>
          <w:sz w:val="20"/>
          <w:szCs w:val="20"/>
          <w:color w:val="auto"/>
        </w:rPr>
        <w:tab/>
      </w:r>
      <w:r>
        <w:rPr>
          <w:rFonts w:ascii="Arial" w:cs="Arial" w:eastAsia="Arial" w:hAnsi="Arial"/>
          <w:sz w:val="14"/>
          <w:szCs w:val="14"/>
          <w:color w:val="auto"/>
        </w:rPr>
        <w:t>2021 Proxy Statement</w:t>
      </w:r>
    </w:p>
    <w:p>
      <w:pPr>
        <w:sectPr>
          <w:pgSz w:w="11900" w:h="16838" w:orient="portrait"/>
          <w:cols w:equalWidth="0" w:num="1">
            <w:col w:w="11220"/>
          </w:cols>
          <w:pgMar w:left="320" w:top="172" w:right="359" w:bottom="1440" w:gutter="0" w:footer="0" w:header="0"/>
        </w:sectPr>
      </w:pPr>
    </w:p>
    <w:bookmarkStart w:id="16" w:name="page17"/>
    <w:bookmarkEnd w:id="16"/>
    <w:p>
      <w:pPr>
        <w:ind w:left="280"/>
        <w:spacing w:after="0"/>
        <w:rPr>
          <w:sz w:val="20"/>
          <w:szCs w:val="20"/>
          <w:color w:val="auto"/>
        </w:rPr>
      </w:pPr>
      <w:r>
        <w:rPr>
          <w:rFonts w:ascii="Arial" w:cs="Arial" w:eastAsia="Arial" w:hAnsi="Arial"/>
          <w:sz w:val="13"/>
          <w:szCs w:val="13"/>
          <w:b w:val="1"/>
          <w:bCs w:val="1"/>
          <w:color w:val="929292"/>
        </w:rPr>
        <w:t>BOARD OF 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7470" cy="596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7470" cy="59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54"/>
          <w:szCs w:val="54"/>
          <w:color w:val="auto"/>
        </w:rPr>
        <w:t>Board of Directors and</w:t>
      </w:r>
    </w:p>
    <w:p>
      <w:pPr>
        <w:spacing w:after="0"/>
        <w:rPr>
          <w:sz w:val="20"/>
          <w:szCs w:val="20"/>
          <w:color w:val="auto"/>
        </w:rPr>
      </w:pPr>
      <w:r>
        <w:rPr>
          <w:rFonts w:ascii="Arial" w:cs="Arial" w:eastAsia="Arial" w:hAnsi="Arial"/>
          <w:sz w:val="54"/>
          <w:szCs w:val="54"/>
          <w:color w:val="auto"/>
        </w:rPr>
        <w:t>Corporate Governance</w:t>
      </w:r>
    </w:p>
    <w:p>
      <w:pPr>
        <w:spacing w:after="0" w:line="113" w:lineRule="exact"/>
        <w:rPr>
          <w:sz w:val="20"/>
          <w:szCs w:val="20"/>
          <w:color w:val="auto"/>
        </w:rPr>
      </w:pPr>
    </w:p>
    <w:p>
      <w:pPr>
        <w:jc w:val="both"/>
        <w:ind w:right="80"/>
        <w:spacing w:after="0" w:line="339" w:lineRule="auto"/>
        <w:rPr>
          <w:sz w:val="20"/>
          <w:szCs w:val="20"/>
          <w:color w:val="auto"/>
        </w:rPr>
      </w:pPr>
      <w:r>
        <w:rPr>
          <w:rFonts w:ascii="Arial" w:cs="Arial" w:eastAsia="Arial" w:hAnsi="Arial"/>
          <w:sz w:val="16"/>
          <w:szCs w:val="16"/>
          <w:color w:val="auto"/>
        </w:rPr>
        <w:t>Our business affairs are managed under the direction of our board of directors, which is currently comprised of eight members. Six of our eight directors are independent within the meaning of the independent director requirements of the Nasdaq Stock Market LLC (“Nasdaq”). Our board of directors is divided into three classes with staggered three-year terms. At each annual meeting of stockholders, a class of directors will be elected for a three-year term to succeed the same class whose term is then expiring.</w:t>
      </w:r>
    </w:p>
    <w:p>
      <w:pPr>
        <w:spacing w:after="0" w:line="148" w:lineRule="exact"/>
        <w:rPr>
          <w:sz w:val="20"/>
          <w:szCs w:val="20"/>
          <w:color w:val="auto"/>
        </w:rPr>
      </w:pPr>
    </w:p>
    <w:p>
      <w:pPr>
        <w:ind w:right="80"/>
        <w:spacing w:after="0" w:line="341" w:lineRule="auto"/>
        <w:rPr>
          <w:sz w:val="20"/>
          <w:szCs w:val="20"/>
          <w:color w:val="auto"/>
        </w:rPr>
      </w:pPr>
      <w:r>
        <w:rPr>
          <w:rFonts w:ascii="Arial" w:cs="Arial" w:eastAsia="Arial" w:hAnsi="Arial"/>
          <w:sz w:val="16"/>
          <w:szCs w:val="16"/>
          <w:color w:val="auto"/>
        </w:rPr>
        <w:t>Upon the recommendation of our nominating and corporate governance committee, we are nominating Karen Blasing, Charles Giancarlo and Eileen Naughton as Class I directors at the Annual Meeting. If elected, Ms. Blasing, Mr. Giancarlo and Ms. Naughton will each hold office for a three-year term until the 2024 annual meeting of stockholders or until their successors are elected and qualified.</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names, ages as of November 1, 2021 and certain other information for each of the directors with terms expiring at the</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Annual Meeting (who are also nominees for election as a director at the Annual Meeting) and for each of the continuing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5688330</wp:posOffset>
            </wp:positionH>
            <wp:positionV relativeFrom="paragraph">
              <wp:posOffset>147955</wp:posOffset>
            </wp:positionV>
            <wp:extent cx="8255" cy="3086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255" cy="30861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147955</wp:posOffset>
            </wp:positionV>
            <wp:extent cx="8890" cy="3086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890" cy="30861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147955</wp:posOffset>
            </wp:positionV>
            <wp:extent cx="8255" cy="3086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255" cy="308610"/>
                    </a:xfrm>
                    <a:prstGeom prst="rect">
                      <a:avLst/>
                    </a:prstGeom>
                    <a:noFill/>
                  </pic:spPr>
                </pic:pic>
              </a:graphicData>
            </a:graphic>
          </wp:anchor>
        </w:drawing>
        <w:drawing>
          <wp:anchor simplePos="0" relativeHeight="251657728" behindDoc="1" locked="0" layoutInCell="0" allowOverlap="1">
            <wp:simplePos x="0" y="0"/>
            <wp:positionH relativeFrom="column">
              <wp:posOffset>2319655</wp:posOffset>
            </wp:positionH>
            <wp:positionV relativeFrom="paragraph">
              <wp:posOffset>147955</wp:posOffset>
            </wp:positionV>
            <wp:extent cx="8890" cy="3086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890" cy="308610"/>
                    </a:xfrm>
                    <a:prstGeom prst="rect">
                      <a:avLst/>
                    </a:prstGeom>
                    <a:noFill/>
                  </pic:spPr>
                </pic:pic>
              </a:graphicData>
            </a:graphic>
          </wp:anchor>
        </w:drawing>
        <w:drawing>
          <wp:anchor simplePos="0" relativeHeight="251657728" behindDoc="1" locked="0" layoutInCell="0" allowOverlap="1">
            <wp:simplePos x="0" y="0"/>
            <wp:positionH relativeFrom="column">
              <wp:posOffset>1908175</wp:posOffset>
            </wp:positionH>
            <wp:positionV relativeFrom="paragraph">
              <wp:posOffset>147955</wp:posOffset>
            </wp:positionV>
            <wp:extent cx="8890" cy="3086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890" cy="308610"/>
                    </a:xfrm>
                    <a:prstGeom prst="rect">
                      <a:avLst/>
                    </a:prstGeom>
                    <a:noFill/>
                  </pic:spPr>
                </pic:pic>
              </a:graphicData>
            </a:graphic>
          </wp:anchor>
        </w:drawing>
        <w:drawing>
          <wp:anchor simplePos="0" relativeHeight="251657728" behindDoc="1" locked="0" layoutInCell="0" allowOverlap="1">
            <wp:simplePos x="0" y="0"/>
            <wp:positionH relativeFrom="column">
              <wp:posOffset>1496695</wp:posOffset>
            </wp:positionH>
            <wp:positionV relativeFrom="paragraph">
              <wp:posOffset>147955</wp:posOffset>
            </wp:positionV>
            <wp:extent cx="8255" cy="3086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255" cy="308610"/>
                    </a:xfrm>
                    <a:prstGeom prst="rect">
                      <a:avLst/>
                    </a:prstGeom>
                    <a:noFill/>
                  </pic:spPr>
                </pic:pic>
              </a:graphicData>
            </a:graphic>
          </wp:anchor>
        </w:drawing>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360" w:type="dxa"/>
            <w:vAlign w:val="bottom"/>
            <w:shd w:val="clear" w:color="auto" w:fill="000000"/>
          </w:tcPr>
          <w:p>
            <w:pPr>
              <w:spacing w:after="0"/>
              <w:rPr>
                <w:sz w:val="17"/>
                <w:szCs w:val="17"/>
                <w:color w:val="auto"/>
              </w:rPr>
            </w:pPr>
          </w:p>
        </w:tc>
        <w:tc>
          <w:tcPr>
            <w:tcW w:w="640" w:type="dxa"/>
            <w:vAlign w:val="bottom"/>
            <w:shd w:val="clear" w:color="auto" w:fill="2B338D"/>
          </w:tcPr>
          <w:p>
            <w:pPr>
              <w:spacing w:after="0"/>
              <w:rPr>
                <w:sz w:val="17"/>
                <w:szCs w:val="17"/>
                <w:color w:val="auto"/>
              </w:rPr>
            </w:pPr>
          </w:p>
        </w:tc>
        <w:tc>
          <w:tcPr>
            <w:tcW w:w="620" w:type="dxa"/>
            <w:vAlign w:val="bottom"/>
            <w:shd w:val="clear" w:color="auto" w:fill="2B338D"/>
          </w:tcPr>
          <w:p>
            <w:pPr>
              <w:spacing w:after="0"/>
              <w:rPr>
                <w:sz w:val="17"/>
                <w:szCs w:val="17"/>
                <w:color w:val="auto"/>
              </w:rPr>
            </w:pPr>
          </w:p>
        </w:tc>
        <w:tc>
          <w:tcPr>
            <w:tcW w:w="2940" w:type="dxa"/>
            <w:vAlign w:val="bottom"/>
            <w:shd w:val="clear" w:color="auto" w:fill="2B338D"/>
          </w:tcPr>
          <w:p>
            <w:pPr>
              <w:spacing w:after="0"/>
              <w:rPr>
                <w:sz w:val="17"/>
                <w:szCs w:val="17"/>
                <w:color w:val="auto"/>
              </w:rPr>
            </w:pPr>
          </w:p>
        </w:tc>
        <w:tc>
          <w:tcPr>
            <w:tcW w:w="980" w:type="dxa"/>
            <w:vAlign w:val="bottom"/>
            <w:shd w:val="clear" w:color="auto" w:fill="2B338D"/>
          </w:tcPr>
          <w:p>
            <w:pPr>
              <w:jc w:val="center"/>
              <w:spacing w:after="0"/>
              <w:rPr>
                <w:sz w:val="20"/>
                <w:szCs w:val="20"/>
                <w:color w:val="auto"/>
              </w:rPr>
            </w:pPr>
            <w:r>
              <w:rPr>
                <w:rFonts w:ascii="Arial" w:cs="Arial" w:eastAsia="Arial" w:hAnsi="Arial"/>
                <w:sz w:val="16"/>
                <w:szCs w:val="16"/>
                <w:b w:val="1"/>
                <w:bCs w:val="1"/>
                <w:color w:val="FFFFFF"/>
              </w:rPr>
              <w:t>Director</w:t>
            </w:r>
          </w:p>
        </w:tc>
        <w:tc>
          <w:tcPr>
            <w:tcW w:w="1460" w:type="dxa"/>
            <w:vAlign w:val="bottom"/>
            <w:shd w:val="clear" w:color="auto" w:fill="2B338D"/>
          </w:tcPr>
          <w:p>
            <w:pPr>
              <w:jc w:val="center"/>
              <w:spacing w:after="0"/>
              <w:rPr>
                <w:sz w:val="20"/>
                <w:szCs w:val="20"/>
                <w:color w:val="auto"/>
              </w:rPr>
            </w:pPr>
            <w:r>
              <w:rPr>
                <w:rFonts w:ascii="Arial" w:cs="Arial" w:eastAsia="Arial" w:hAnsi="Arial"/>
                <w:sz w:val="16"/>
                <w:szCs w:val="16"/>
                <w:b w:val="1"/>
                <w:bCs w:val="1"/>
                <w:color w:val="FFFFFF"/>
                <w:w w:val="98"/>
              </w:rPr>
              <w:t>Current Term</w:t>
            </w:r>
          </w:p>
        </w:tc>
        <w:tc>
          <w:tcPr>
            <w:tcW w:w="2240" w:type="dxa"/>
            <w:vAlign w:val="bottom"/>
            <w:shd w:val="clear" w:color="auto" w:fill="2B338D"/>
          </w:tcPr>
          <w:p>
            <w:pPr>
              <w:jc w:val="center"/>
              <w:ind w:right="5"/>
              <w:spacing w:after="0"/>
              <w:rPr>
                <w:sz w:val="20"/>
                <w:szCs w:val="20"/>
                <w:color w:val="auto"/>
              </w:rPr>
            </w:pPr>
            <w:r>
              <w:rPr>
                <w:rFonts w:ascii="Arial" w:cs="Arial" w:eastAsia="Arial" w:hAnsi="Arial"/>
                <w:sz w:val="16"/>
                <w:szCs w:val="16"/>
                <w:b w:val="1"/>
                <w:bCs w:val="1"/>
                <w:color w:val="FFFFFF"/>
              </w:rPr>
              <w:t>Expiration of Term for</w:t>
            </w:r>
          </w:p>
        </w:tc>
        <w:tc>
          <w:tcPr>
            <w:tcW w:w="0" w:type="dxa"/>
            <w:vAlign w:val="bottom"/>
          </w:tcPr>
          <w:p>
            <w:pPr>
              <w:spacing w:after="0"/>
              <w:rPr>
                <w:sz w:val="1"/>
                <w:szCs w:val="1"/>
                <w:color w:val="auto"/>
              </w:rPr>
            </w:pPr>
          </w:p>
        </w:tc>
      </w:tr>
      <w:tr>
        <w:trPr>
          <w:trHeight w:val="215"/>
        </w:trPr>
        <w:tc>
          <w:tcPr>
            <w:tcW w:w="2360" w:type="dxa"/>
            <w:vAlign w:val="bottom"/>
            <w:shd w:val="clear" w:color="auto" w:fill="000000"/>
          </w:tcPr>
          <w:p>
            <w:pPr>
              <w:ind w:left="100"/>
              <w:spacing w:after="0"/>
              <w:rPr>
                <w:sz w:val="20"/>
                <w:szCs w:val="20"/>
                <w:color w:val="auto"/>
              </w:rPr>
            </w:pPr>
            <w:r>
              <w:rPr>
                <w:rFonts w:ascii="Arial" w:cs="Arial" w:eastAsia="Arial" w:hAnsi="Arial"/>
                <w:sz w:val="16"/>
                <w:szCs w:val="16"/>
                <w:b w:val="1"/>
                <w:bCs w:val="1"/>
                <w:color w:val="FFFFFF"/>
              </w:rPr>
              <w:t>Director Nominees</w:t>
            </w:r>
          </w:p>
        </w:tc>
        <w:tc>
          <w:tcPr>
            <w:tcW w:w="640" w:type="dxa"/>
            <w:vAlign w:val="bottom"/>
            <w:shd w:val="clear" w:color="auto" w:fill="2B338D"/>
          </w:tcPr>
          <w:p>
            <w:pPr>
              <w:jc w:val="center"/>
              <w:spacing w:after="0"/>
              <w:rPr>
                <w:sz w:val="20"/>
                <w:szCs w:val="20"/>
                <w:color w:val="auto"/>
              </w:rPr>
            </w:pPr>
            <w:r>
              <w:rPr>
                <w:rFonts w:ascii="Arial" w:cs="Arial" w:eastAsia="Arial" w:hAnsi="Arial"/>
                <w:sz w:val="16"/>
                <w:szCs w:val="16"/>
                <w:b w:val="1"/>
                <w:bCs w:val="1"/>
                <w:color w:val="FFFFFF"/>
                <w:w w:val="98"/>
              </w:rPr>
              <w:t>Class</w:t>
            </w:r>
          </w:p>
        </w:tc>
        <w:tc>
          <w:tcPr>
            <w:tcW w:w="620" w:type="dxa"/>
            <w:vAlign w:val="bottom"/>
            <w:shd w:val="clear" w:color="auto" w:fill="2B338D"/>
          </w:tcPr>
          <w:p>
            <w:pPr>
              <w:jc w:val="center"/>
              <w:spacing w:after="0"/>
              <w:rPr>
                <w:sz w:val="20"/>
                <w:szCs w:val="20"/>
                <w:color w:val="auto"/>
              </w:rPr>
            </w:pPr>
            <w:r>
              <w:rPr>
                <w:rFonts w:ascii="Arial" w:cs="Arial" w:eastAsia="Arial" w:hAnsi="Arial"/>
                <w:sz w:val="16"/>
                <w:szCs w:val="16"/>
                <w:b w:val="1"/>
                <w:bCs w:val="1"/>
                <w:color w:val="FFFFFF"/>
                <w:w w:val="99"/>
              </w:rPr>
              <w:t>Age</w:t>
            </w:r>
          </w:p>
        </w:tc>
        <w:tc>
          <w:tcPr>
            <w:tcW w:w="2940" w:type="dxa"/>
            <w:vAlign w:val="bottom"/>
            <w:shd w:val="clear" w:color="auto" w:fill="2B338D"/>
          </w:tcPr>
          <w:p>
            <w:pPr>
              <w:ind w:left="140"/>
              <w:spacing w:after="0"/>
              <w:rPr>
                <w:sz w:val="20"/>
                <w:szCs w:val="20"/>
                <w:color w:val="auto"/>
              </w:rPr>
            </w:pPr>
            <w:r>
              <w:rPr>
                <w:rFonts w:ascii="Arial" w:cs="Arial" w:eastAsia="Arial" w:hAnsi="Arial"/>
                <w:sz w:val="16"/>
                <w:szCs w:val="16"/>
                <w:b w:val="1"/>
                <w:bCs w:val="1"/>
                <w:color w:val="FFFFFF"/>
              </w:rPr>
              <w:t>Position</w:t>
            </w:r>
          </w:p>
        </w:tc>
        <w:tc>
          <w:tcPr>
            <w:tcW w:w="980" w:type="dxa"/>
            <w:vAlign w:val="bottom"/>
            <w:shd w:val="clear" w:color="auto" w:fill="2B338D"/>
          </w:tcPr>
          <w:p>
            <w:pPr>
              <w:jc w:val="center"/>
              <w:spacing w:after="0"/>
              <w:rPr>
                <w:sz w:val="20"/>
                <w:szCs w:val="20"/>
                <w:color w:val="auto"/>
              </w:rPr>
            </w:pPr>
            <w:r>
              <w:rPr>
                <w:rFonts w:ascii="Arial" w:cs="Arial" w:eastAsia="Arial" w:hAnsi="Arial"/>
                <w:sz w:val="16"/>
                <w:szCs w:val="16"/>
                <w:b w:val="1"/>
                <w:bCs w:val="1"/>
                <w:color w:val="FFFFFF"/>
              </w:rPr>
              <w:t>Since</w:t>
            </w:r>
          </w:p>
        </w:tc>
        <w:tc>
          <w:tcPr>
            <w:tcW w:w="1460" w:type="dxa"/>
            <w:vAlign w:val="bottom"/>
            <w:shd w:val="clear" w:color="auto" w:fill="2B338D"/>
          </w:tcPr>
          <w:p>
            <w:pPr>
              <w:jc w:val="center"/>
              <w:spacing w:after="0"/>
              <w:rPr>
                <w:sz w:val="20"/>
                <w:szCs w:val="20"/>
                <w:color w:val="auto"/>
              </w:rPr>
            </w:pPr>
            <w:r>
              <w:rPr>
                <w:rFonts w:ascii="Arial" w:cs="Arial" w:eastAsia="Arial" w:hAnsi="Arial"/>
                <w:sz w:val="16"/>
                <w:szCs w:val="16"/>
                <w:b w:val="1"/>
                <w:bCs w:val="1"/>
                <w:color w:val="FFFFFF"/>
              </w:rPr>
              <w:t>Expires</w:t>
            </w:r>
          </w:p>
        </w:tc>
        <w:tc>
          <w:tcPr>
            <w:tcW w:w="2240" w:type="dxa"/>
            <w:vAlign w:val="bottom"/>
            <w:shd w:val="clear" w:color="auto" w:fill="2B338D"/>
          </w:tcPr>
          <w:p>
            <w:pPr>
              <w:jc w:val="center"/>
              <w:spacing w:after="0"/>
              <w:rPr>
                <w:sz w:val="20"/>
                <w:szCs w:val="20"/>
                <w:color w:val="auto"/>
              </w:rPr>
            </w:pPr>
            <w:r>
              <w:rPr>
                <w:rFonts w:ascii="Arial" w:cs="Arial" w:eastAsia="Arial" w:hAnsi="Arial"/>
                <w:sz w:val="16"/>
                <w:szCs w:val="16"/>
                <w:b w:val="1"/>
                <w:bCs w:val="1"/>
                <w:color w:val="FFFFFF"/>
              </w:rPr>
              <w:t>Which Nominated</w:t>
            </w:r>
          </w:p>
        </w:tc>
        <w:tc>
          <w:tcPr>
            <w:tcW w:w="0" w:type="dxa"/>
            <w:vAlign w:val="bottom"/>
          </w:tcPr>
          <w:p>
            <w:pPr>
              <w:spacing w:after="0"/>
              <w:rPr>
                <w:sz w:val="1"/>
                <w:szCs w:val="1"/>
                <w:color w:val="auto"/>
              </w:rPr>
            </w:pPr>
          </w:p>
        </w:tc>
      </w:tr>
      <w:tr>
        <w:trPr>
          <w:trHeight w:val="73"/>
        </w:trPr>
        <w:tc>
          <w:tcPr>
            <w:tcW w:w="2360" w:type="dxa"/>
            <w:vAlign w:val="bottom"/>
            <w:shd w:val="clear" w:color="auto" w:fill="000000"/>
          </w:tcPr>
          <w:p>
            <w:pPr>
              <w:spacing w:after="0"/>
              <w:rPr>
                <w:sz w:val="6"/>
                <w:szCs w:val="6"/>
                <w:color w:val="auto"/>
              </w:rPr>
            </w:pPr>
          </w:p>
        </w:tc>
        <w:tc>
          <w:tcPr>
            <w:tcW w:w="640" w:type="dxa"/>
            <w:vAlign w:val="bottom"/>
            <w:shd w:val="clear" w:color="auto" w:fill="2B338D"/>
          </w:tcPr>
          <w:p>
            <w:pPr>
              <w:spacing w:after="0"/>
              <w:rPr>
                <w:sz w:val="6"/>
                <w:szCs w:val="6"/>
                <w:color w:val="auto"/>
              </w:rPr>
            </w:pPr>
          </w:p>
        </w:tc>
        <w:tc>
          <w:tcPr>
            <w:tcW w:w="620" w:type="dxa"/>
            <w:vAlign w:val="bottom"/>
            <w:shd w:val="clear" w:color="auto" w:fill="2B338D"/>
          </w:tcPr>
          <w:p>
            <w:pPr>
              <w:spacing w:after="0"/>
              <w:rPr>
                <w:sz w:val="6"/>
                <w:szCs w:val="6"/>
                <w:color w:val="auto"/>
              </w:rPr>
            </w:pPr>
          </w:p>
        </w:tc>
        <w:tc>
          <w:tcPr>
            <w:tcW w:w="2940" w:type="dxa"/>
            <w:vAlign w:val="bottom"/>
            <w:shd w:val="clear" w:color="auto" w:fill="2B338D"/>
          </w:tcPr>
          <w:p>
            <w:pPr>
              <w:spacing w:after="0"/>
              <w:rPr>
                <w:sz w:val="6"/>
                <w:szCs w:val="6"/>
                <w:color w:val="auto"/>
              </w:rPr>
            </w:pPr>
          </w:p>
        </w:tc>
        <w:tc>
          <w:tcPr>
            <w:tcW w:w="980" w:type="dxa"/>
            <w:vAlign w:val="bottom"/>
            <w:shd w:val="clear" w:color="auto" w:fill="2B338D"/>
          </w:tcPr>
          <w:p>
            <w:pPr>
              <w:spacing w:after="0"/>
              <w:rPr>
                <w:sz w:val="6"/>
                <w:szCs w:val="6"/>
                <w:color w:val="auto"/>
              </w:rPr>
            </w:pPr>
          </w:p>
        </w:tc>
        <w:tc>
          <w:tcPr>
            <w:tcW w:w="1460" w:type="dxa"/>
            <w:vAlign w:val="bottom"/>
            <w:shd w:val="clear" w:color="auto" w:fill="2B338D"/>
          </w:tcPr>
          <w:p>
            <w:pPr>
              <w:spacing w:after="0"/>
              <w:rPr>
                <w:sz w:val="6"/>
                <w:szCs w:val="6"/>
                <w:color w:val="auto"/>
              </w:rPr>
            </w:pPr>
          </w:p>
        </w:tc>
        <w:tc>
          <w:tcPr>
            <w:tcW w:w="2240" w:type="dxa"/>
            <w:vAlign w:val="bottom"/>
            <w:shd w:val="clear" w:color="auto" w:fill="2B338D"/>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2360" w:type="dxa"/>
            <w:vAlign w:val="bottom"/>
          </w:tcPr>
          <w:p>
            <w:pPr>
              <w:ind w:left="100"/>
              <w:spacing w:after="0"/>
              <w:rPr>
                <w:sz w:val="20"/>
                <w:szCs w:val="20"/>
                <w:color w:val="auto"/>
              </w:rPr>
            </w:pPr>
            <w:r>
              <w:rPr>
                <w:rFonts w:ascii="Arial" w:cs="Arial" w:eastAsia="Arial" w:hAnsi="Arial"/>
                <w:sz w:val="14"/>
                <w:szCs w:val="14"/>
                <w:b w:val="1"/>
                <w:bCs w:val="1"/>
                <w:color w:val="auto"/>
              </w:rPr>
              <w:t>Karen Blasing</w:t>
            </w:r>
            <w:r>
              <w:rPr>
                <w:rFonts w:ascii="Arial" w:cs="Arial" w:eastAsia="Arial" w:hAnsi="Arial"/>
                <w:sz w:val="18"/>
                <w:szCs w:val="18"/>
                <w:b w:val="1"/>
                <w:bCs w:val="1"/>
                <w:color w:val="auto"/>
                <w:vertAlign w:val="superscript"/>
              </w:rPr>
              <w:t>(1)(2)</w:t>
            </w:r>
          </w:p>
        </w:tc>
        <w:tc>
          <w:tcPr>
            <w:tcW w:w="640" w:type="dxa"/>
            <w:vAlign w:val="bottom"/>
          </w:tcPr>
          <w:p>
            <w:pPr>
              <w:jc w:val="center"/>
              <w:spacing w:after="0"/>
              <w:rPr>
                <w:sz w:val="20"/>
                <w:szCs w:val="20"/>
                <w:color w:val="auto"/>
              </w:rPr>
            </w:pPr>
            <w:r>
              <w:rPr>
                <w:rFonts w:ascii="Arial" w:cs="Arial" w:eastAsia="Arial" w:hAnsi="Arial"/>
                <w:sz w:val="14"/>
                <w:szCs w:val="14"/>
                <w:color w:val="auto"/>
              </w:rPr>
              <w:t>I</w:t>
            </w:r>
          </w:p>
        </w:tc>
        <w:tc>
          <w:tcPr>
            <w:tcW w:w="620" w:type="dxa"/>
            <w:vAlign w:val="bottom"/>
          </w:tcPr>
          <w:p>
            <w:pPr>
              <w:jc w:val="center"/>
              <w:spacing w:after="0"/>
              <w:rPr>
                <w:sz w:val="20"/>
                <w:szCs w:val="20"/>
                <w:color w:val="auto"/>
              </w:rPr>
            </w:pPr>
            <w:r>
              <w:rPr>
                <w:rFonts w:ascii="Arial" w:cs="Arial" w:eastAsia="Arial" w:hAnsi="Arial"/>
                <w:sz w:val="14"/>
                <w:szCs w:val="14"/>
                <w:color w:val="auto"/>
              </w:rPr>
              <w:t>65</w:t>
            </w:r>
          </w:p>
        </w:tc>
        <w:tc>
          <w:tcPr>
            <w:tcW w:w="2940" w:type="dxa"/>
            <w:vAlign w:val="bottom"/>
          </w:tcPr>
          <w:p>
            <w:pPr>
              <w:ind w:left="140"/>
              <w:spacing w:after="0"/>
              <w:rPr>
                <w:sz w:val="20"/>
                <w:szCs w:val="20"/>
                <w:color w:val="auto"/>
              </w:rPr>
            </w:pPr>
            <w:r>
              <w:rPr>
                <w:rFonts w:ascii="Arial" w:cs="Arial" w:eastAsia="Arial" w:hAnsi="Arial"/>
                <w:sz w:val="14"/>
                <w:szCs w:val="14"/>
                <w:color w:val="auto"/>
              </w:rPr>
              <w:t>Director</w:t>
            </w:r>
          </w:p>
        </w:tc>
        <w:tc>
          <w:tcPr>
            <w:tcW w:w="980" w:type="dxa"/>
            <w:vAlign w:val="bottom"/>
          </w:tcPr>
          <w:p>
            <w:pPr>
              <w:jc w:val="center"/>
              <w:spacing w:after="0"/>
              <w:rPr>
                <w:sz w:val="20"/>
                <w:szCs w:val="20"/>
                <w:color w:val="auto"/>
              </w:rPr>
            </w:pPr>
            <w:r>
              <w:rPr>
                <w:rFonts w:ascii="Arial" w:cs="Arial" w:eastAsia="Arial" w:hAnsi="Arial"/>
                <w:sz w:val="14"/>
                <w:szCs w:val="14"/>
                <w:color w:val="auto"/>
              </w:rPr>
              <w:t>2017</w:t>
            </w:r>
          </w:p>
        </w:tc>
        <w:tc>
          <w:tcPr>
            <w:tcW w:w="1460" w:type="dxa"/>
            <w:vAlign w:val="bottom"/>
          </w:tcPr>
          <w:p>
            <w:pPr>
              <w:jc w:val="center"/>
              <w:spacing w:after="0"/>
              <w:rPr>
                <w:sz w:val="20"/>
                <w:szCs w:val="20"/>
                <w:color w:val="auto"/>
              </w:rPr>
            </w:pPr>
            <w:r>
              <w:rPr>
                <w:rFonts w:ascii="Arial" w:cs="Arial" w:eastAsia="Arial" w:hAnsi="Arial"/>
                <w:sz w:val="14"/>
                <w:szCs w:val="14"/>
                <w:color w:val="auto"/>
              </w:rPr>
              <w:t>2021</w:t>
            </w:r>
          </w:p>
        </w:tc>
        <w:tc>
          <w:tcPr>
            <w:tcW w:w="2240" w:type="dxa"/>
            <w:vAlign w:val="bottom"/>
          </w:tcPr>
          <w:p>
            <w:pPr>
              <w:jc w:val="center"/>
              <w:spacing w:after="0"/>
              <w:rPr>
                <w:sz w:val="20"/>
                <w:szCs w:val="20"/>
                <w:color w:val="auto"/>
              </w:rPr>
            </w:pPr>
            <w:r>
              <w:rPr>
                <w:rFonts w:ascii="Arial" w:cs="Arial" w:eastAsia="Arial" w:hAnsi="Arial"/>
                <w:sz w:val="14"/>
                <w:szCs w:val="14"/>
                <w:color w:val="auto"/>
              </w:rPr>
              <w:t>2024</w:t>
            </w:r>
          </w:p>
        </w:tc>
        <w:tc>
          <w:tcPr>
            <w:tcW w:w="0" w:type="dxa"/>
            <w:vAlign w:val="bottom"/>
          </w:tcPr>
          <w:p>
            <w:pPr>
              <w:spacing w:after="0"/>
              <w:rPr>
                <w:sz w:val="1"/>
                <w:szCs w:val="1"/>
                <w:color w:val="auto"/>
              </w:rPr>
            </w:pPr>
          </w:p>
        </w:tc>
      </w:tr>
      <w:tr>
        <w:trPr>
          <w:trHeight w:val="48"/>
        </w:trPr>
        <w:tc>
          <w:tcPr>
            <w:tcW w:w="23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9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2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2360" w:type="dxa"/>
            <w:vAlign w:val="bottom"/>
          </w:tcPr>
          <w:p>
            <w:pPr>
              <w:ind w:left="100"/>
              <w:spacing w:after="0"/>
              <w:rPr>
                <w:sz w:val="20"/>
                <w:szCs w:val="20"/>
                <w:color w:val="auto"/>
              </w:rPr>
            </w:pPr>
            <w:r>
              <w:rPr>
                <w:rFonts w:ascii="Arial" w:cs="Arial" w:eastAsia="Arial" w:hAnsi="Arial"/>
                <w:sz w:val="14"/>
                <w:szCs w:val="14"/>
                <w:b w:val="1"/>
                <w:bCs w:val="1"/>
                <w:color w:val="auto"/>
              </w:rPr>
              <w:t>Charles Giancarlo</w:t>
            </w:r>
            <w:r>
              <w:rPr>
                <w:rFonts w:ascii="Arial" w:cs="Arial" w:eastAsia="Arial" w:hAnsi="Arial"/>
                <w:sz w:val="18"/>
                <w:szCs w:val="18"/>
                <w:b w:val="1"/>
                <w:bCs w:val="1"/>
                <w:color w:val="auto"/>
                <w:vertAlign w:val="superscript"/>
              </w:rPr>
              <w:t>(2)(3)</w:t>
            </w:r>
          </w:p>
        </w:tc>
        <w:tc>
          <w:tcPr>
            <w:tcW w:w="640" w:type="dxa"/>
            <w:vAlign w:val="bottom"/>
          </w:tcPr>
          <w:p>
            <w:pPr>
              <w:jc w:val="center"/>
              <w:spacing w:after="0"/>
              <w:rPr>
                <w:sz w:val="20"/>
                <w:szCs w:val="20"/>
                <w:color w:val="auto"/>
              </w:rPr>
            </w:pPr>
            <w:r>
              <w:rPr>
                <w:rFonts w:ascii="Arial" w:cs="Arial" w:eastAsia="Arial" w:hAnsi="Arial"/>
                <w:sz w:val="14"/>
                <w:szCs w:val="14"/>
                <w:color w:val="auto"/>
              </w:rPr>
              <w:t>I</w:t>
            </w:r>
          </w:p>
        </w:tc>
        <w:tc>
          <w:tcPr>
            <w:tcW w:w="620" w:type="dxa"/>
            <w:vAlign w:val="bottom"/>
          </w:tcPr>
          <w:p>
            <w:pPr>
              <w:jc w:val="center"/>
              <w:spacing w:after="0"/>
              <w:rPr>
                <w:sz w:val="20"/>
                <w:szCs w:val="20"/>
                <w:color w:val="auto"/>
              </w:rPr>
            </w:pPr>
            <w:r>
              <w:rPr>
                <w:rFonts w:ascii="Arial" w:cs="Arial" w:eastAsia="Arial" w:hAnsi="Arial"/>
                <w:sz w:val="14"/>
                <w:szCs w:val="14"/>
                <w:color w:val="auto"/>
              </w:rPr>
              <w:t>63</w:t>
            </w:r>
          </w:p>
        </w:tc>
        <w:tc>
          <w:tcPr>
            <w:tcW w:w="2940" w:type="dxa"/>
            <w:vAlign w:val="bottom"/>
          </w:tcPr>
          <w:p>
            <w:pPr>
              <w:ind w:left="140"/>
              <w:spacing w:after="0"/>
              <w:rPr>
                <w:sz w:val="20"/>
                <w:szCs w:val="20"/>
                <w:color w:val="auto"/>
              </w:rPr>
            </w:pPr>
            <w:r>
              <w:rPr>
                <w:rFonts w:ascii="Arial" w:cs="Arial" w:eastAsia="Arial" w:hAnsi="Arial"/>
                <w:sz w:val="14"/>
                <w:szCs w:val="14"/>
                <w:color w:val="auto"/>
              </w:rPr>
              <w:t>Director</w:t>
            </w:r>
          </w:p>
        </w:tc>
        <w:tc>
          <w:tcPr>
            <w:tcW w:w="980" w:type="dxa"/>
            <w:vAlign w:val="bottom"/>
          </w:tcPr>
          <w:p>
            <w:pPr>
              <w:jc w:val="center"/>
              <w:spacing w:after="0"/>
              <w:rPr>
                <w:sz w:val="20"/>
                <w:szCs w:val="20"/>
                <w:color w:val="auto"/>
              </w:rPr>
            </w:pPr>
            <w:r>
              <w:rPr>
                <w:rFonts w:ascii="Arial" w:cs="Arial" w:eastAsia="Arial" w:hAnsi="Arial"/>
                <w:sz w:val="14"/>
                <w:szCs w:val="14"/>
                <w:color w:val="auto"/>
              </w:rPr>
              <w:t>2016</w:t>
            </w:r>
          </w:p>
        </w:tc>
        <w:tc>
          <w:tcPr>
            <w:tcW w:w="1460" w:type="dxa"/>
            <w:vAlign w:val="bottom"/>
          </w:tcPr>
          <w:p>
            <w:pPr>
              <w:jc w:val="center"/>
              <w:spacing w:after="0"/>
              <w:rPr>
                <w:sz w:val="20"/>
                <w:szCs w:val="20"/>
                <w:color w:val="auto"/>
              </w:rPr>
            </w:pPr>
            <w:r>
              <w:rPr>
                <w:rFonts w:ascii="Arial" w:cs="Arial" w:eastAsia="Arial" w:hAnsi="Arial"/>
                <w:sz w:val="14"/>
                <w:szCs w:val="14"/>
                <w:color w:val="auto"/>
              </w:rPr>
              <w:t>2021</w:t>
            </w:r>
          </w:p>
        </w:tc>
        <w:tc>
          <w:tcPr>
            <w:tcW w:w="2240" w:type="dxa"/>
            <w:vAlign w:val="bottom"/>
          </w:tcPr>
          <w:p>
            <w:pPr>
              <w:jc w:val="center"/>
              <w:spacing w:after="0"/>
              <w:rPr>
                <w:sz w:val="20"/>
                <w:szCs w:val="20"/>
                <w:color w:val="auto"/>
              </w:rPr>
            </w:pPr>
            <w:r>
              <w:rPr>
                <w:rFonts w:ascii="Arial" w:cs="Arial" w:eastAsia="Arial" w:hAnsi="Arial"/>
                <w:sz w:val="14"/>
                <w:szCs w:val="14"/>
                <w:color w:val="auto"/>
              </w:rPr>
              <w:t>2024</w:t>
            </w:r>
          </w:p>
        </w:tc>
        <w:tc>
          <w:tcPr>
            <w:tcW w:w="0" w:type="dxa"/>
            <w:vAlign w:val="bottom"/>
          </w:tcPr>
          <w:p>
            <w:pPr>
              <w:spacing w:after="0"/>
              <w:rPr>
                <w:sz w:val="1"/>
                <w:szCs w:val="1"/>
                <w:color w:val="auto"/>
              </w:rPr>
            </w:pPr>
          </w:p>
        </w:tc>
      </w:tr>
      <w:tr>
        <w:trPr>
          <w:trHeight w:val="47"/>
        </w:trPr>
        <w:tc>
          <w:tcPr>
            <w:tcW w:w="23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9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2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2360" w:type="dxa"/>
            <w:vAlign w:val="bottom"/>
          </w:tcPr>
          <w:p>
            <w:pPr>
              <w:ind w:left="100"/>
              <w:spacing w:after="0"/>
              <w:rPr>
                <w:sz w:val="20"/>
                <w:szCs w:val="20"/>
                <w:color w:val="auto"/>
              </w:rPr>
            </w:pPr>
            <w:r>
              <w:rPr>
                <w:rFonts w:ascii="Arial" w:cs="Arial" w:eastAsia="Arial" w:hAnsi="Arial"/>
                <w:sz w:val="14"/>
                <w:szCs w:val="14"/>
                <w:b w:val="1"/>
                <w:bCs w:val="1"/>
                <w:color w:val="auto"/>
              </w:rPr>
              <w:t>Eileen Naughton</w:t>
            </w:r>
          </w:p>
        </w:tc>
        <w:tc>
          <w:tcPr>
            <w:tcW w:w="640" w:type="dxa"/>
            <w:vAlign w:val="bottom"/>
          </w:tcPr>
          <w:p>
            <w:pPr>
              <w:jc w:val="center"/>
              <w:spacing w:after="0"/>
              <w:rPr>
                <w:sz w:val="20"/>
                <w:szCs w:val="20"/>
                <w:color w:val="auto"/>
              </w:rPr>
            </w:pPr>
            <w:r>
              <w:rPr>
                <w:rFonts w:ascii="Arial" w:cs="Arial" w:eastAsia="Arial" w:hAnsi="Arial"/>
                <w:sz w:val="14"/>
                <w:szCs w:val="14"/>
                <w:color w:val="auto"/>
              </w:rPr>
              <w:t>I</w:t>
            </w:r>
          </w:p>
        </w:tc>
        <w:tc>
          <w:tcPr>
            <w:tcW w:w="620" w:type="dxa"/>
            <w:vAlign w:val="bottom"/>
          </w:tcPr>
          <w:p>
            <w:pPr>
              <w:jc w:val="center"/>
              <w:spacing w:after="0"/>
              <w:rPr>
                <w:sz w:val="20"/>
                <w:szCs w:val="20"/>
                <w:color w:val="auto"/>
              </w:rPr>
            </w:pPr>
            <w:r>
              <w:rPr>
                <w:rFonts w:ascii="Arial" w:cs="Arial" w:eastAsia="Arial" w:hAnsi="Arial"/>
                <w:sz w:val="14"/>
                <w:szCs w:val="14"/>
                <w:color w:val="auto"/>
              </w:rPr>
              <w:t>64</w:t>
            </w:r>
          </w:p>
        </w:tc>
        <w:tc>
          <w:tcPr>
            <w:tcW w:w="2940" w:type="dxa"/>
            <w:vAlign w:val="bottom"/>
          </w:tcPr>
          <w:p>
            <w:pPr>
              <w:ind w:left="140"/>
              <w:spacing w:after="0"/>
              <w:rPr>
                <w:sz w:val="20"/>
                <w:szCs w:val="20"/>
                <w:color w:val="auto"/>
              </w:rPr>
            </w:pPr>
            <w:r>
              <w:rPr>
                <w:rFonts w:ascii="Arial" w:cs="Arial" w:eastAsia="Arial" w:hAnsi="Arial"/>
                <w:sz w:val="14"/>
                <w:szCs w:val="14"/>
                <w:color w:val="auto"/>
              </w:rPr>
              <w:t>Director</w:t>
            </w:r>
          </w:p>
        </w:tc>
        <w:tc>
          <w:tcPr>
            <w:tcW w:w="980" w:type="dxa"/>
            <w:vAlign w:val="bottom"/>
          </w:tcPr>
          <w:p>
            <w:pPr>
              <w:jc w:val="center"/>
              <w:spacing w:after="0"/>
              <w:rPr>
                <w:sz w:val="20"/>
                <w:szCs w:val="20"/>
                <w:color w:val="auto"/>
              </w:rPr>
            </w:pPr>
            <w:r>
              <w:rPr>
                <w:rFonts w:ascii="Arial" w:cs="Arial" w:eastAsia="Arial" w:hAnsi="Arial"/>
                <w:sz w:val="14"/>
                <w:szCs w:val="14"/>
                <w:color w:val="auto"/>
              </w:rPr>
              <w:t>2021</w:t>
            </w:r>
          </w:p>
        </w:tc>
        <w:tc>
          <w:tcPr>
            <w:tcW w:w="1460" w:type="dxa"/>
            <w:vAlign w:val="bottom"/>
          </w:tcPr>
          <w:p>
            <w:pPr>
              <w:jc w:val="center"/>
              <w:spacing w:after="0"/>
              <w:rPr>
                <w:sz w:val="20"/>
                <w:szCs w:val="20"/>
                <w:color w:val="auto"/>
              </w:rPr>
            </w:pPr>
            <w:r>
              <w:rPr>
                <w:rFonts w:ascii="Arial" w:cs="Arial" w:eastAsia="Arial" w:hAnsi="Arial"/>
                <w:sz w:val="14"/>
                <w:szCs w:val="14"/>
                <w:color w:val="auto"/>
              </w:rPr>
              <w:t>2021</w:t>
            </w:r>
          </w:p>
        </w:tc>
        <w:tc>
          <w:tcPr>
            <w:tcW w:w="2240" w:type="dxa"/>
            <w:vAlign w:val="bottom"/>
          </w:tcPr>
          <w:p>
            <w:pPr>
              <w:jc w:val="center"/>
              <w:spacing w:after="0"/>
              <w:rPr>
                <w:sz w:val="20"/>
                <w:szCs w:val="20"/>
                <w:color w:val="auto"/>
              </w:rPr>
            </w:pPr>
            <w:r>
              <w:rPr>
                <w:rFonts w:ascii="Arial" w:cs="Arial" w:eastAsia="Arial" w:hAnsi="Arial"/>
                <w:sz w:val="14"/>
                <w:szCs w:val="14"/>
                <w:color w:val="auto"/>
              </w:rPr>
              <w:t>2024</w:t>
            </w:r>
          </w:p>
        </w:tc>
        <w:tc>
          <w:tcPr>
            <w:tcW w:w="0" w:type="dxa"/>
            <w:vAlign w:val="bottom"/>
          </w:tcPr>
          <w:p>
            <w:pPr>
              <w:spacing w:after="0"/>
              <w:rPr>
                <w:sz w:val="1"/>
                <w:szCs w:val="1"/>
                <w:color w:val="auto"/>
              </w:rPr>
            </w:pPr>
          </w:p>
        </w:tc>
      </w:tr>
      <w:tr>
        <w:trPr>
          <w:trHeight w:val="53"/>
        </w:trPr>
        <w:tc>
          <w:tcPr>
            <w:tcW w:w="23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9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460" w:type="dxa"/>
            <w:vAlign w:val="bottom"/>
          </w:tcPr>
          <w:p>
            <w:pPr>
              <w:spacing w:after="0"/>
              <w:rPr>
                <w:sz w:val="4"/>
                <w:szCs w:val="4"/>
                <w:color w:val="auto"/>
              </w:rPr>
            </w:pPr>
          </w:p>
        </w:tc>
        <w:tc>
          <w:tcPr>
            <w:tcW w:w="2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8"/>
        </w:trPr>
        <w:tc>
          <w:tcPr>
            <w:tcW w:w="2360" w:type="dxa"/>
            <w:vAlign w:val="bottom"/>
            <w:shd w:val="clear" w:color="auto" w:fill="000000"/>
          </w:tcPr>
          <w:p>
            <w:pPr>
              <w:spacing w:after="0"/>
              <w:rPr>
                <w:sz w:val="17"/>
                <w:szCs w:val="17"/>
                <w:color w:val="auto"/>
              </w:rPr>
            </w:pPr>
          </w:p>
        </w:tc>
        <w:tc>
          <w:tcPr>
            <w:tcW w:w="640" w:type="dxa"/>
            <w:vAlign w:val="bottom"/>
            <w:shd w:val="clear" w:color="auto" w:fill="009ADA"/>
          </w:tcPr>
          <w:p>
            <w:pPr>
              <w:spacing w:after="0"/>
              <w:rPr>
                <w:sz w:val="17"/>
                <w:szCs w:val="17"/>
                <w:color w:val="auto"/>
              </w:rPr>
            </w:pPr>
          </w:p>
        </w:tc>
        <w:tc>
          <w:tcPr>
            <w:tcW w:w="620" w:type="dxa"/>
            <w:vAlign w:val="bottom"/>
            <w:shd w:val="clear" w:color="auto" w:fill="009ADA"/>
          </w:tcPr>
          <w:p>
            <w:pPr>
              <w:spacing w:after="0"/>
              <w:rPr>
                <w:sz w:val="17"/>
                <w:szCs w:val="17"/>
                <w:color w:val="auto"/>
              </w:rPr>
            </w:pPr>
          </w:p>
        </w:tc>
        <w:tc>
          <w:tcPr>
            <w:tcW w:w="2940" w:type="dxa"/>
            <w:vAlign w:val="bottom"/>
            <w:shd w:val="clear" w:color="auto" w:fill="009ADA"/>
          </w:tcPr>
          <w:p>
            <w:pPr>
              <w:spacing w:after="0"/>
              <w:rPr>
                <w:sz w:val="17"/>
                <w:szCs w:val="17"/>
                <w:color w:val="auto"/>
              </w:rPr>
            </w:pPr>
          </w:p>
        </w:tc>
        <w:tc>
          <w:tcPr>
            <w:tcW w:w="980" w:type="dxa"/>
            <w:vAlign w:val="bottom"/>
            <w:shd w:val="clear" w:color="auto" w:fill="009ADA"/>
          </w:tcPr>
          <w:p>
            <w:pPr>
              <w:jc w:val="center"/>
              <w:spacing w:after="0"/>
              <w:rPr>
                <w:sz w:val="20"/>
                <w:szCs w:val="20"/>
                <w:color w:val="auto"/>
              </w:rPr>
            </w:pPr>
            <w:r>
              <w:rPr>
                <w:rFonts w:ascii="Arial" w:cs="Arial" w:eastAsia="Arial" w:hAnsi="Arial"/>
                <w:sz w:val="16"/>
                <w:szCs w:val="16"/>
                <w:b w:val="1"/>
                <w:bCs w:val="1"/>
                <w:color w:val="FFFFFF"/>
              </w:rPr>
              <w:t>Director</w:t>
            </w:r>
          </w:p>
        </w:tc>
        <w:tc>
          <w:tcPr>
            <w:tcW w:w="1460" w:type="dxa"/>
            <w:vAlign w:val="bottom"/>
            <w:shd w:val="clear" w:color="auto" w:fill="009ADA"/>
          </w:tcPr>
          <w:p>
            <w:pPr>
              <w:jc w:val="center"/>
              <w:spacing w:after="0"/>
              <w:rPr>
                <w:sz w:val="20"/>
                <w:szCs w:val="20"/>
                <w:color w:val="auto"/>
              </w:rPr>
            </w:pPr>
            <w:r>
              <w:rPr>
                <w:rFonts w:ascii="Arial" w:cs="Arial" w:eastAsia="Arial" w:hAnsi="Arial"/>
                <w:sz w:val="16"/>
                <w:szCs w:val="16"/>
                <w:b w:val="1"/>
                <w:bCs w:val="1"/>
                <w:color w:val="FFFFFF"/>
                <w:w w:val="98"/>
              </w:rPr>
              <w:t>Current Term</w:t>
            </w:r>
          </w:p>
        </w:tc>
        <w:tc>
          <w:tcPr>
            <w:tcW w:w="2240" w:type="dxa"/>
            <w:vAlign w:val="bottom"/>
            <w:shd w:val="clear" w:color="auto" w:fill="009ADA"/>
          </w:tcPr>
          <w:p>
            <w:pPr>
              <w:jc w:val="center"/>
              <w:ind w:right="5"/>
              <w:spacing w:after="0"/>
              <w:rPr>
                <w:sz w:val="20"/>
                <w:szCs w:val="20"/>
                <w:color w:val="auto"/>
              </w:rPr>
            </w:pPr>
            <w:r>
              <w:rPr>
                <w:rFonts w:ascii="Arial" w:cs="Arial" w:eastAsia="Arial" w:hAnsi="Arial"/>
                <w:sz w:val="16"/>
                <w:szCs w:val="16"/>
                <w:b w:val="1"/>
                <w:bCs w:val="1"/>
                <w:color w:val="FFFFFF"/>
              </w:rPr>
              <w:t>Expiration of Term for</w:t>
            </w:r>
          </w:p>
        </w:tc>
        <w:tc>
          <w:tcPr>
            <w:tcW w:w="0" w:type="dxa"/>
            <w:vAlign w:val="bottom"/>
          </w:tcPr>
          <w:p>
            <w:pPr>
              <w:spacing w:after="0"/>
              <w:rPr>
                <w:sz w:val="1"/>
                <w:szCs w:val="1"/>
                <w:color w:val="auto"/>
              </w:rPr>
            </w:pPr>
          </w:p>
        </w:tc>
      </w:tr>
      <w:tr>
        <w:trPr>
          <w:trHeight w:val="215"/>
        </w:trPr>
        <w:tc>
          <w:tcPr>
            <w:tcW w:w="2360" w:type="dxa"/>
            <w:vAlign w:val="bottom"/>
            <w:shd w:val="clear" w:color="auto" w:fill="000000"/>
          </w:tcPr>
          <w:p>
            <w:pPr>
              <w:ind w:left="100"/>
              <w:spacing w:after="0"/>
              <w:rPr>
                <w:sz w:val="20"/>
                <w:szCs w:val="20"/>
                <w:color w:val="auto"/>
              </w:rPr>
            </w:pPr>
            <w:r>
              <w:rPr>
                <w:rFonts w:ascii="Arial" w:cs="Arial" w:eastAsia="Arial" w:hAnsi="Arial"/>
                <w:sz w:val="16"/>
                <w:szCs w:val="16"/>
                <w:b w:val="1"/>
                <w:bCs w:val="1"/>
                <w:color w:val="FFFFFF"/>
              </w:rPr>
              <w:t>Continuing Directors</w:t>
            </w:r>
          </w:p>
        </w:tc>
        <w:tc>
          <w:tcPr>
            <w:tcW w:w="640" w:type="dxa"/>
            <w:vAlign w:val="bottom"/>
            <w:shd w:val="clear" w:color="auto" w:fill="009ADA"/>
          </w:tcPr>
          <w:p>
            <w:pPr>
              <w:jc w:val="center"/>
              <w:spacing w:after="0"/>
              <w:rPr>
                <w:sz w:val="20"/>
                <w:szCs w:val="20"/>
                <w:color w:val="auto"/>
              </w:rPr>
            </w:pPr>
            <w:r>
              <w:rPr>
                <w:rFonts w:ascii="Arial" w:cs="Arial" w:eastAsia="Arial" w:hAnsi="Arial"/>
                <w:sz w:val="16"/>
                <w:szCs w:val="16"/>
                <w:b w:val="1"/>
                <w:bCs w:val="1"/>
                <w:color w:val="FFFFFF"/>
                <w:w w:val="98"/>
              </w:rPr>
              <w:t>Class</w:t>
            </w:r>
          </w:p>
        </w:tc>
        <w:tc>
          <w:tcPr>
            <w:tcW w:w="620" w:type="dxa"/>
            <w:vAlign w:val="bottom"/>
            <w:shd w:val="clear" w:color="auto" w:fill="009ADA"/>
          </w:tcPr>
          <w:p>
            <w:pPr>
              <w:jc w:val="center"/>
              <w:spacing w:after="0"/>
              <w:rPr>
                <w:sz w:val="20"/>
                <w:szCs w:val="20"/>
                <w:color w:val="auto"/>
              </w:rPr>
            </w:pPr>
            <w:r>
              <w:rPr>
                <w:rFonts w:ascii="Arial" w:cs="Arial" w:eastAsia="Arial" w:hAnsi="Arial"/>
                <w:sz w:val="16"/>
                <w:szCs w:val="16"/>
                <w:b w:val="1"/>
                <w:bCs w:val="1"/>
                <w:color w:val="FFFFFF"/>
                <w:w w:val="99"/>
              </w:rPr>
              <w:t>Age</w:t>
            </w:r>
          </w:p>
        </w:tc>
        <w:tc>
          <w:tcPr>
            <w:tcW w:w="2940" w:type="dxa"/>
            <w:vAlign w:val="bottom"/>
            <w:shd w:val="clear" w:color="auto" w:fill="009ADA"/>
          </w:tcPr>
          <w:p>
            <w:pPr>
              <w:ind w:left="140"/>
              <w:spacing w:after="0"/>
              <w:rPr>
                <w:sz w:val="20"/>
                <w:szCs w:val="20"/>
                <w:color w:val="auto"/>
              </w:rPr>
            </w:pPr>
            <w:r>
              <w:rPr>
                <w:rFonts w:ascii="Arial" w:cs="Arial" w:eastAsia="Arial" w:hAnsi="Arial"/>
                <w:sz w:val="16"/>
                <w:szCs w:val="16"/>
                <w:b w:val="1"/>
                <w:bCs w:val="1"/>
                <w:color w:val="FFFFFF"/>
              </w:rPr>
              <w:t>Position</w:t>
            </w:r>
          </w:p>
        </w:tc>
        <w:tc>
          <w:tcPr>
            <w:tcW w:w="980" w:type="dxa"/>
            <w:vAlign w:val="bottom"/>
            <w:shd w:val="clear" w:color="auto" w:fill="009ADA"/>
          </w:tcPr>
          <w:p>
            <w:pPr>
              <w:jc w:val="center"/>
              <w:spacing w:after="0"/>
              <w:rPr>
                <w:sz w:val="20"/>
                <w:szCs w:val="20"/>
                <w:color w:val="auto"/>
              </w:rPr>
            </w:pPr>
            <w:r>
              <w:rPr>
                <w:rFonts w:ascii="Arial" w:cs="Arial" w:eastAsia="Arial" w:hAnsi="Arial"/>
                <w:sz w:val="16"/>
                <w:szCs w:val="16"/>
                <w:b w:val="1"/>
                <w:bCs w:val="1"/>
                <w:color w:val="FFFFFF"/>
              </w:rPr>
              <w:t>Since</w:t>
            </w:r>
          </w:p>
        </w:tc>
        <w:tc>
          <w:tcPr>
            <w:tcW w:w="1460" w:type="dxa"/>
            <w:vAlign w:val="bottom"/>
            <w:shd w:val="clear" w:color="auto" w:fill="009ADA"/>
          </w:tcPr>
          <w:p>
            <w:pPr>
              <w:jc w:val="center"/>
              <w:spacing w:after="0"/>
              <w:rPr>
                <w:sz w:val="20"/>
                <w:szCs w:val="20"/>
                <w:color w:val="auto"/>
              </w:rPr>
            </w:pPr>
            <w:r>
              <w:rPr>
                <w:rFonts w:ascii="Arial" w:cs="Arial" w:eastAsia="Arial" w:hAnsi="Arial"/>
                <w:sz w:val="16"/>
                <w:szCs w:val="16"/>
                <w:b w:val="1"/>
                <w:bCs w:val="1"/>
                <w:color w:val="FFFFFF"/>
              </w:rPr>
              <w:t>Expires</w:t>
            </w:r>
          </w:p>
        </w:tc>
        <w:tc>
          <w:tcPr>
            <w:tcW w:w="2240" w:type="dxa"/>
            <w:vAlign w:val="bottom"/>
            <w:shd w:val="clear" w:color="auto" w:fill="009ADA"/>
          </w:tcPr>
          <w:p>
            <w:pPr>
              <w:jc w:val="center"/>
              <w:spacing w:after="0"/>
              <w:rPr>
                <w:sz w:val="20"/>
                <w:szCs w:val="20"/>
                <w:color w:val="auto"/>
              </w:rPr>
            </w:pPr>
            <w:r>
              <w:rPr>
                <w:rFonts w:ascii="Arial" w:cs="Arial" w:eastAsia="Arial" w:hAnsi="Arial"/>
                <w:sz w:val="16"/>
                <w:szCs w:val="16"/>
                <w:b w:val="1"/>
                <w:bCs w:val="1"/>
                <w:color w:val="FFFFFF"/>
              </w:rPr>
              <w:t>Which Nominated</w:t>
            </w:r>
          </w:p>
        </w:tc>
        <w:tc>
          <w:tcPr>
            <w:tcW w:w="0" w:type="dxa"/>
            <w:vAlign w:val="bottom"/>
          </w:tcPr>
          <w:p>
            <w:pPr>
              <w:spacing w:after="0"/>
              <w:rPr>
                <w:sz w:val="1"/>
                <w:szCs w:val="1"/>
                <w:color w:val="auto"/>
              </w:rPr>
            </w:pPr>
          </w:p>
        </w:tc>
      </w:tr>
      <w:tr>
        <w:trPr>
          <w:trHeight w:val="73"/>
        </w:trPr>
        <w:tc>
          <w:tcPr>
            <w:tcW w:w="2360" w:type="dxa"/>
            <w:vAlign w:val="bottom"/>
            <w:shd w:val="clear" w:color="auto" w:fill="000000"/>
          </w:tcPr>
          <w:p>
            <w:pPr>
              <w:spacing w:after="0"/>
              <w:rPr>
                <w:sz w:val="6"/>
                <w:szCs w:val="6"/>
                <w:color w:val="auto"/>
              </w:rPr>
            </w:pPr>
          </w:p>
        </w:tc>
        <w:tc>
          <w:tcPr>
            <w:tcW w:w="640" w:type="dxa"/>
            <w:vAlign w:val="bottom"/>
            <w:shd w:val="clear" w:color="auto" w:fill="009ADA"/>
          </w:tcPr>
          <w:p>
            <w:pPr>
              <w:spacing w:after="0"/>
              <w:rPr>
                <w:sz w:val="6"/>
                <w:szCs w:val="6"/>
                <w:color w:val="auto"/>
              </w:rPr>
            </w:pPr>
          </w:p>
        </w:tc>
        <w:tc>
          <w:tcPr>
            <w:tcW w:w="620" w:type="dxa"/>
            <w:vAlign w:val="bottom"/>
            <w:shd w:val="clear" w:color="auto" w:fill="009ADA"/>
          </w:tcPr>
          <w:p>
            <w:pPr>
              <w:spacing w:after="0"/>
              <w:rPr>
                <w:sz w:val="6"/>
                <w:szCs w:val="6"/>
                <w:color w:val="auto"/>
              </w:rPr>
            </w:pPr>
          </w:p>
        </w:tc>
        <w:tc>
          <w:tcPr>
            <w:tcW w:w="2940" w:type="dxa"/>
            <w:vAlign w:val="bottom"/>
            <w:shd w:val="clear" w:color="auto" w:fill="009ADA"/>
          </w:tcPr>
          <w:p>
            <w:pPr>
              <w:spacing w:after="0"/>
              <w:rPr>
                <w:sz w:val="6"/>
                <w:szCs w:val="6"/>
                <w:color w:val="auto"/>
              </w:rPr>
            </w:pPr>
          </w:p>
        </w:tc>
        <w:tc>
          <w:tcPr>
            <w:tcW w:w="980" w:type="dxa"/>
            <w:vAlign w:val="bottom"/>
            <w:shd w:val="clear" w:color="auto" w:fill="009ADA"/>
          </w:tcPr>
          <w:p>
            <w:pPr>
              <w:spacing w:after="0"/>
              <w:rPr>
                <w:sz w:val="6"/>
                <w:szCs w:val="6"/>
                <w:color w:val="auto"/>
              </w:rPr>
            </w:pPr>
          </w:p>
        </w:tc>
        <w:tc>
          <w:tcPr>
            <w:tcW w:w="1460" w:type="dxa"/>
            <w:vAlign w:val="bottom"/>
            <w:shd w:val="clear" w:color="auto" w:fill="009ADA"/>
          </w:tcPr>
          <w:p>
            <w:pPr>
              <w:spacing w:after="0"/>
              <w:rPr>
                <w:sz w:val="6"/>
                <w:szCs w:val="6"/>
                <w:color w:val="auto"/>
              </w:rPr>
            </w:pPr>
          </w:p>
        </w:tc>
        <w:tc>
          <w:tcPr>
            <w:tcW w:w="2240" w:type="dxa"/>
            <w:vAlign w:val="bottom"/>
            <w:shd w:val="clear" w:color="auto" w:fill="009ADA"/>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2360" w:type="dxa"/>
            <w:vAlign w:val="bottom"/>
          </w:tcPr>
          <w:p>
            <w:pPr>
              <w:ind w:left="100"/>
              <w:spacing w:after="0"/>
              <w:rPr>
                <w:sz w:val="20"/>
                <w:szCs w:val="20"/>
                <w:color w:val="auto"/>
              </w:rPr>
            </w:pPr>
            <w:r>
              <w:rPr>
                <w:rFonts w:ascii="Arial" w:cs="Arial" w:eastAsia="Arial" w:hAnsi="Arial"/>
                <w:sz w:val="14"/>
                <w:szCs w:val="14"/>
                <w:b w:val="1"/>
                <w:bCs w:val="1"/>
                <w:color w:val="auto"/>
              </w:rPr>
              <w:t>Andrew Brown</w:t>
            </w:r>
            <w:r>
              <w:rPr>
                <w:rFonts w:ascii="Arial" w:cs="Arial" w:eastAsia="Arial" w:hAnsi="Arial"/>
                <w:sz w:val="18"/>
                <w:szCs w:val="18"/>
                <w:b w:val="1"/>
                <w:bCs w:val="1"/>
                <w:color w:val="auto"/>
                <w:vertAlign w:val="superscript"/>
              </w:rPr>
              <w:t>(1)(2)</w:t>
            </w:r>
          </w:p>
        </w:tc>
        <w:tc>
          <w:tcPr>
            <w:tcW w:w="640" w:type="dxa"/>
            <w:vAlign w:val="bottom"/>
          </w:tcPr>
          <w:p>
            <w:pPr>
              <w:jc w:val="center"/>
              <w:spacing w:after="0"/>
              <w:rPr>
                <w:sz w:val="20"/>
                <w:szCs w:val="20"/>
                <w:color w:val="auto"/>
              </w:rPr>
            </w:pPr>
            <w:r>
              <w:rPr>
                <w:rFonts w:ascii="Arial" w:cs="Arial" w:eastAsia="Arial" w:hAnsi="Arial"/>
                <w:sz w:val="14"/>
                <w:szCs w:val="14"/>
                <w:color w:val="auto"/>
              </w:rPr>
              <w:t>II</w:t>
            </w:r>
          </w:p>
        </w:tc>
        <w:tc>
          <w:tcPr>
            <w:tcW w:w="620" w:type="dxa"/>
            <w:vAlign w:val="bottom"/>
          </w:tcPr>
          <w:p>
            <w:pPr>
              <w:jc w:val="center"/>
              <w:spacing w:after="0"/>
              <w:rPr>
                <w:sz w:val="20"/>
                <w:szCs w:val="20"/>
                <w:color w:val="auto"/>
              </w:rPr>
            </w:pPr>
            <w:r>
              <w:rPr>
                <w:rFonts w:ascii="Arial" w:cs="Arial" w:eastAsia="Arial" w:hAnsi="Arial"/>
                <w:sz w:val="14"/>
                <w:szCs w:val="14"/>
                <w:color w:val="auto"/>
              </w:rPr>
              <w:t>58</w:t>
            </w:r>
          </w:p>
        </w:tc>
        <w:tc>
          <w:tcPr>
            <w:tcW w:w="2940" w:type="dxa"/>
            <w:vAlign w:val="bottom"/>
          </w:tcPr>
          <w:p>
            <w:pPr>
              <w:ind w:left="140"/>
              <w:spacing w:after="0"/>
              <w:rPr>
                <w:sz w:val="20"/>
                <w:szCs w:val="20"/>
                <w:color w:val="auto"/>
              </w:rPr>
            </w:pPr>
            <w:r>
              <w:rPr>
                <w:rFonts w:ascii="Arial" w:cs="Arial" w:eastAsia="Arial" w:hAnsi="Arial"/>
                <w:sz w:val="14"/>
                <w:szCs w:val="14"/>
                <w:color w:val="auto"/>
              </w:rPr>
              <w:t>Director</w:t>
            </w:r>
          </w:p>
        </w:tc>
        <w:tc>
          <w:tcPr>
            <w:tcW w:w="980" w:type="dxa"/>
            <w:vAlign w:val="bottom"/>
          </w:tcPr>
          <w:p>
            <w:pPr>
              <w:jc w:val="center"/>
              <w:spacing w:after="0"/>
              <w:rPr>
                <w:sz w:val="20"/>
                <w:szCs w:val="20"/>
                <w:color w:val="auto"/>
              </w:rPr>
            </w:pPr>
            <w:r>
              <w:rPr>
                <w:rFonts w:ascii="Arial" w:cs="Arial" w:eastAsia="Arial" w:hAnsi="Arial"/>
                <w:sz w:val="14"/>
                <w:szCs w:val="14"/>
                <w:color w:val="auto"/>
              </w:rPr>
              <w:t>2015</w:t>
            </w:r>
          </w:p>
        </w:tc>
        <w:tc>
          <w:tcPr>
            <w:tcW w:w="1460" w:type="dxa"/>
            <w:vAlign w:val="bottom"/>
          </w:tcPr>
          <w:p>
            <w:pPr>
              <w:jc w:val="center"/>
              <w:spacing w:after="0"/>
              <w:rPr>
                <w:sz w:val="20"/>
                <w:szCs w:val="20"/>
                <w:color w:val="auto"/>
              </w:rPr>
            </w:pPr>
            <w:r>
              <w:rPr>
                <w:rFonts w:ascii="Arial" w:cs="Arial" w:eastAsia="Arial" w:hAnsi="Arial"/>
                <w:sz w:val="14"/>
                <w:szCs w:val="14"/>
                <w:color w:val="auto"/>
              </w:rPr>
              <w:t>2022</w:t>
            </w:r>
          </w:p>
        </w:tc>
        <w:tc>
          <w:tcPr>
            <w:tcW w:w="224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7"/>
        </w:trPr>
        <w:tc>
          <w:tcPr>
            <w:tcW w:w="23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9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2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2360" w:type="dxa"/>
            <w:vAlign w:val="bottom"/>
          </w:tcPr>
          <w:p>
            <w:pPr>
              <w:ind w:left="100"/>
              <w:spacing w:after="0"/>
              <w:rPr>
                <w:sz w:val="20"/>
                <w:szCs w:val="20"/>
                <w:color w:val="auto"/>
              </w:rPr>
            </w:pPr>
            <w:r>
              <w:rPr>
                <w:rFonts w:ascii="Arial" w:cs="Arial" w:eastAsia="Arial" w:hAnsi="Arial"/>
                <w:sz w:val="14"/>
                <w:szCs w:val="14"/>
                <w:b w:val="1"/>
                <w:bCs w:val="1"/>
                <w:color w:val="auto"/>
              </w:rPr>
              <w:t>Scott Darling</w:t>
            </w:r>
            <w:r>
              <w:rPr>
                <w:rFonts w:ascii="Arial" w:cs="Arial" w:eastAsia="Arial" w:hAnsi="Arial"/>
                <w:sz w:val="18"/>
                <w:szCs w:val="18"/>
                <w:b w:val="1"/>
                <w:bCs w:val="1"/>
                <w:color w:val="auto"/>
                <w:vertAlign w:val="superscript"/>
              </w:rPr>
              <w:t>(1)(3)</w:t>
            </w:r>
          </w:p>
        </w:tc>
        <w:tc>
          <w:tcPr>
            <w:tcW w:w="640" w:type="dxa"/>
            <w:vAlign w:val="bottom"/>
          </w:tcPr>
          <w:p>
            <w:pPr>
              <w:jc w:val="center"/>
              <w:spacing w:after="0"/>
              <w:rPr>
                <w:sz w:val="20"/>
                <w:szCs w:val="20"/>
                <w:color w:val="auto"/>
              </w:rPr>
            </w:pPr>
            <w:r>
              <w:rPr>
                <w:rFonts w:ascii="Arial" w:cs="Arial" w:eastAsia="Arial" w:hAnsi="Arial"/>
                <w:sz w:val="14"/>
                <w:szCs w:val="14"/>
                <w:color w:val="auto"/>
              </w:rPr>
              <w:t>II</w:t>
            </w:r>
          </w:p>
        </w:tc>
        <w:tc>
          <w:tcPr>
            <w:tcW w:w="620" w:type="dxa"/>
            <w:vAlign w:val="bottom"/>
          </w:tcPr>
          <w:p>
            <w:pPr>
              <w:jc w:val="center"/>
              <w:spacing w:after="0"/>
              <w:rPr>
                <w:sz w:val="20"/>
                <w:szCs w:val="20"/>
                <w:color w:val="auto"/>
              </w:rPr>
            </w:pPr>
            <w:r>
              <w:rPr>
                <w:rFonts w:ascii="Arial" w:cs="Arial" w:eastAsia="Arial" w:hAnsi="Arial"/>
                <w:sz w:val="14"/>
                <w:szCs w:val="14"/>
                <w:color w:val="auto"/>
              </w:rPr>
              <w:t>65</w:t>
            </w:r>
          </w:p>
        </w:tc>
        <w:tc>
          <w:tcPr>
            <w:tcW w:w="2940" w:type="dxa"/>
            <w:vAlign w:val="bottom"/>
          </w:tcPr>
          <w:p>
            <w:pPr>
              <w:ind w:left="140"/>
              <w:spacing w:after="0"/>
              <w:rPr>
                <w:sz w:val="20"/>
                <w:szCs w:val="20"/>
                <w:color w:val="auto"/>
              </w:rPr>
            </w:pPr>
            <w:r>
              <w:rPr>
                <w:rFonts w:ascii="Arial" w:cs="Arial" w:eastAsia="Arial" w:hAnsi="Arial"/>
                <w:sz w:val="14"/>
                <w:szCs w:val="14"/>
                <w:color w:val="auto"/>
              </w:rPr>
              <w:t>Director</w:t>
            </w:r>
          </w:p>
        </w:tc>
        <w:tc>
          <w:tcPr>
            <w:tcW w:w="980" w:type="dxa"/>
            <w:vAlign w:val="bottom"/>
          </w:tcPr>
          <w:p>
            <w:pPr>
              <w:jc w:val="center"/>
              <w:spacing w:after="0"/>
              <w:rPr>
                <w:sz w:val="20"/>
                <w:szCs w:val="20"/>
                <w:color w:val="auto"/>
              </w:rPr>
            </w:pPr>
            <w:r>
              <w:rPr>
                <w:rFonts w:ascii="Arial" w:cs="Arial" w:eastAsia="Arial" w:hAnsi="Arial"/>
                <w:sz w:val="14"/>
                <w:szCs w:val="14"/>
                <w:color w:val="auto"/>
              </w:rPr>
              <w:t>2016</w:t>
            </w:r>
          </w:p>
        </w:tc>
        <w:tc>
          <w:tcPr>
            <w:tcW w:w="1460" w:type="dxa"/>
            <w:vAlign w:val="bottom"/>
          </w:tcPr>
          <w:p>
            <w:pPr>
              <w:jc w:val="center"/>
              <w:spacing w:after="0"/>
              <w:rPr>
                <w:sz w:val="20"/>
                <w:szCs w:val="20"/>
                <w:color w:val="auto"/>
              </w:rPr>
            </w:pPr>
            <w:r>
              <w:rPr>
                <w:rFonts w:ascii="Arial" w:cs="Arial" w:eastAsia="Arial" w:hAnsi="Arial"/>
                <w:sz w:val="14"/>
                <w:szCs w:val="14"/>
                <w:color w:val="auto"/>
              </w:rPr>
              <w:t>2022</w:t>
            </w:r>
          </w:p>
        </w:tc>
        <w:tc>
          <w:tcPr>
            <w:tcW w:w="224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8"/>
        </w:trPr>
        <w:tc>
          <w:tcPr>
            <w:tcW w:w="23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9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2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2360" w:type="dxa"/>
            <w:vAlign w:val="bottom"/>
          </w:tcPr>
          <w:p>
            <w:pPr>
              <w:ind w:left="100"/>
              <w:spacing w:after="0"/>
              <w:rPr>
                <w:sz w:val="20"/>
                <w:szCs w:val="20"/>
                <w:color w:val="auto"/>
              </w:rPr>
            </w:pPr>
            <w:r>
              <w:rPr>
                <w:rFonts w:ascii="Arial" w:cs="Arial" w:eastAsia="Arial" w:hAnsi="Arial"/>
                <w:sz w:val="14"/>
                <w:szCs w:val="14"/>
                <w:b w:val="1"/>
                <w:bCs w:val="1"/>
                <w:color w:val="auto"/>
              </w:rPr>
              <w:t>David Schneider</w:t>
            </w:r>
            <w:r>
              <w:rPr>
                <w:rFonts w:ascii="Arial" w:cs="Arial" w:eastAsia="Arial" w:hAnsi="Arial"/>
                <w:sz w:val="18"/>
                <w:szCs w:val="18"/>
                <w:b w:val="1"/>
                <w:bCs w:val="1"/>
                <w:color w:val="auto"/>
                <w:vertAlign w:val="superscript"/>
              </w:rPr>
              <w:t>(3)</w:t>
            </w:r>
          </w:p>
        </w:tc>
        <w:tc>
          <w:tcPr>
            <w:tcW w:w="640" w:type="dxa"/>
            <w:vAlign w:val="bottom"/>
          </w:tcPr>
          <w:p>
            <w:pPr>
              <w:jc w:val="center"/>
              <w:spacing w:after="0"/>
              <w:rPr>
                <w:sz w:val="20"/>
                <w:szCs w:val="20"/>
                <w:color w:val="auto"/>
              </w:rPr>
            </w:pPr>
            <w:r>
              <w:rPr>
                <w:rFonts w:ascii="Arial" w:cs="Arial" w:eastAsia="Arial" w:hAnsi="Arial"/>
                <w:sz w:val="14"/>
                <w:szCs w:val="14"/>
                <w:color w:val="auto"/>
              </w:rPr>
              <w:t>II</w:t>
            </w:r>
          </w:p>
        </w:tc>
        <w:tc>
          <w:tcPr>
            <w:tcW w:w="620" w:type="dxa"/>
            <w:vAlign w:val="bottom"/>
          </w:tcPr>
          <w:p>
            <w:pPr>
              <w:jc w:val="center"/>
              <w:spacing w:after="0"/>
              <w:rPr>
                <w:sz w:val="20"/>
                <w:szCs w:val="20"/>
                <w:color w:val="auto"/>
              </w:rPr>
            </w:pPr>
            <w:r>
              <w:rPr>
                <w:rFonts w:ascii="Arial" w:cs="Arial" w:eastAsia="Arial" w:hAnsi="Arial"/>
                <w:sz w:val="14"/>
                <w:szCs w:val="14"/>
                <w:color w:val="auto"/>
              </w:rPr>
              <w:t>53</w:t>
            </w:r>
          </w:p>
        </w:tc>
        <w:tc>
          <w:tcPr>
            <w:tcW w:w="2940" w:type="dxa"/>
            <w:vAlign w:val="bottom"/>
          </w:tcPr>
          <w:p>
            <w:pPr>
              <w:ind w:left="140"/>
              <w:spacing w:after="0"/>
              <w:rPr>
                <w:sz w:val="20"/>
                <w:szCs w:val="20"/>
                <w:color w:val="auto"/>
              </w:rPr>
            </w:pPr>
            <w:r>
              <w:rPr>
                <w:rFonts w:ascii="Arial" w:cs="Arial" w:eastAsia="Arial" w:hAnsi="Arial"/>
                <w:sz w:val="14"/>
                <w:szCs w:val="14"/>
                <w:color w:val="auto"/>
              </w:rPr>
              <w:t>Director</w:t>
            </w:r>
          </w:p>
        </w:tc>
        <w:tc>
          <w:tcPr>
            <w:tcW w:w="980" w:type="dxa"/>
            <w:vAlign w:val="bottom"/>
          </w:tcPr>
          <w:p>
            <w:pPr>
              <w:jc w:val="center"/>
              <w:spacing w:after="0"/>
              <w:rPr>
                <w:sz w:val="20"/>
                <w:szCs w:val="20"/>
                <w:color w:val="auto"/>
              </w:rPr>
            </w:pPr>
            <w:r>
              <w:rPr>
                <w:rFonts w:ascii="Arial" w:cs="Arial" w:eastAsia="Arial" w:hAnsi="Arial"/>
                <w:sz w:val="14"/>
                <w:szCs w:val="14"/>
                <w:color w:val="auto"/>
              </w:rPr>
              <w:t>2019</w:t>
            </w:r>
          </w:p>
        </w:tc>
        <w:tc>
          <w:tcPr>
            <w:tcW w:w="1460" w:type="dxa"/>
            <w:vAlign w:val="bottom"/>
          </w:tcPr>
          <w:p>
            <w:pPr>
              <w:jc w:val="center"/>
              <w:spacing w:after="0"/>
              <w:rPr>
                <w:sz w:val="20"/>
                <w:szCs w:val="20"/>
                <w:color w:val="auto"/>
              </w:rPr>
            </w:pPr>
            <w:r>
              <w:rPr>
                <w:rFonts w:ascii="Arial" w:cs="Arial" w:eastAsia="Arial" w:hAnsi="Arial"/>
                <w:sz w:val="14"/>
                <w:szCs w:val="14"/>
                <w:color w:val="auto"/>
              </w:rPr>
              <w:t>2022</w:t>
            </w:r>
          </w:p>
        </w:tc>
        <w:tc>
          <w:tcPr>
            <w:tcW w:w="224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7"/>
        </w:trPr>
        <w:tc>
          <w:tcPr>
            <w:tcW w:w="23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9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2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8"/>
        </w:trPr>
        <w:tc>
          <w:tcPr>
            <w:tcW w:w="236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Jay Chaudhry</w:t>
            </w:r>
          </w:p>
        </w:tc>
        <w:tc>
          <w:tcPr>
            <w:tcW w:w="640" w:type="dxa"/>
            <w:vAlign w:val="bottom"/>
            <w:vMerge w:val="restart"/>
          </w:tcPr>
          <w:p>
            <w:pPr>
              <w:jc w:val="center"/>
              <w:spacing w:after="0"/>
              <w:rPr>
                <w:sz w:val="20"/>
                <w:szCs w:val="20"/>
                <w:color w:val="auto"/>
              </w:rPr>
            </w:pPr>
            <w:r>
              <w:rPr>
                <w:rFonts w:ascii="Arial" w:cs="Arial" w:eastAsia="Arial" w:hAnsi="Arial"/>
                <w:sz w:val="14"/>
                <w:szCs w:val="14"/>
                <w:color w:val="auto"/>
              </w:rPr>
              <w:t>III</w:t>
            </w:r>
          </w:p>
        </w:tc>
        <w:tc>
          <w:tcPr>
            <w:tcW w:w="620" w:type="dxa"/>
            <w:vAlign w:val="bottom"/>
            <w:vMerge w:val="restart"/>
          </w:tcPr>
          <w:p>
            <w:pPr>
              <w:jc w:val="center"/>
              <w:spacing w:after="0"/>
              <w:rPr>
                <w:sz w:val="20"/>
                <w:szCs w:val="20"/>
                <w:color w:val="auto"/>
              </w:rPr>
            </w:pPr>
            <w:r>
              <w:rPr>
                <w:rFonts w:ascii="Arial" w:cs="Arial" w:eastAsia="Arial" w:hAnsi="Arial"/>
                <w:sz w:val="14"/>
                <w:szCs w:val="14"/>
                <w:color w:val="auto"/>
              </w:rPr>
              <w:t>63</w:t>
            </w:r>
          </w:p>
        </w:tc>
        <w:tc>
          <w:tcPr>
            <w:tcW w:w="2940" w:type="dxa"/>
            <w:vAlign w:val="bottom"/>
          </w:tcPr>
          <w:p>
            <w:pPr>
              <w:ind w:left="140"/>
              <w:spacing w:after="0"/>
              <w:rPr>
                <w:sz w:val="20"/>
                <w:szCs w:val="20"/>
                <w:color w:val="auto"/>
              </w:rPr>
            </w:pPr>
            <w:r>
              <w:rPr>
                <w:rFonts w:ascii="Arial" w:cs="Arial" w:eastAsia="Arial" w:hAnsi="Arial"/>
                <w:sz w:val="14"/>
                <w:szCs w:val="14"/>
                <w:color w:val="auto"/>
              </w:rPr>
              <w:t>President, Chief Executive Officer and</w:t>
            </w:r>
          </w:p>
        </w:tc>
        <w:tc>
          <w:tcPr>
            <w:tcW w:w="980" w:type="dxa"/>
            <w:vAlign w:val="bottom"/>
            <w:vMerge w:val="restart"/>
          </w:tcPr>
          <w:p>
            <w:pPr>
              <w:jc w:val="center"/>
              <w:spacing w:after="0"/>
              <w:rPr>
                <w:sz w:val="20"/>
                <w:szCs w:val="20"/>
                <w:color w:val="auto"/>
              </w:rPr>
            </w:pPr>
            <w:r>
              <w:rPr>
                <w:rFonts w:ascii="Arial" w:cs="Arial" w:eastAsia="Arial" w:hAnsi="Arial"/>
                <w:sz w:val="14"/>
                <w:szCs w:val="14"/>
                <w:color w:val="auto"/>
              </w:rPr>
              <w:t>2007</w:t>
            </w:r>
          </w:p>
        </w:tc>
        <w:tc>
          <w:tcPr>
            <w:tcW w:w="1460" w:type="dxa"/>
            <w:vAlign w:val="bottom"/>
            <w:vMerge w:val="restart"/>
          </w:tcPr>
          <w:p>
            <w:pPr>
              <w:jc w:val="center"/>
              <w:spacing w:after="0"/>
              <w:rPr>
                <w:sz w:val="20"/>
                <w:szCs w:val="20"/>
                <w:color w:val="auto"/>
              </w:rPr>
            </w:pPr>
            <w:r>
              <w:rPr>
                <w:rFonts w:ascii="Arial" w:cs="Arial" w:eastAsia="Arial" w:hAnsi="Arial"/>
                <w:sz w:val="14"/>
                <w:szCs w:val="14"/>
                <w:color w:val="auto"/>
              </w:rPr>
              <w:t>2023</w:t>
            </w:r>
          </w:p>
        </w:tc>
        <w:tc>
          <w:tcPr>
            <w:tcW w:w="224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1"/>
        </w:trPr>
        <w:tc>
          <w:tcPr>
            <w:tcW w:w="236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2940" w:type="dxa"/>
            <w:vAlign w:val="bottom"/>
            <w:vMerge w:val="restart"/>
          </w:tcPr>
          <w:p>
            <w:pPr>
              <w:ind w:left="140"/>
              <w:spacing w:after="0"/>
              <w:rPr>
                <w:sz w:val="20"/>
                <w:szCs w:val="20"/>
                <w:color w:val="auto"/>
              </w:rPr>
            </w:pPr>
            <w:r>
              <w:rPr>
                <w:rFonts w:ascii="Arial" w:cs="Arial" w:eastAsia="Arial" w:hAnsi="Arial"/>
                <w:sz w:val="14"/>
                <w:szCs w:val="14"/>
                <w:color w:val="auto"/>
              </w:rPr>
              <w:t>Chairman of the Board</w:t>
            </w:r>
          </w:p>
        </w:tc>
        <w:tc>
          <w:tcPr>
            <w:tcW w:w="980" w:type="dxa"/>
            <w:vAlign w:val="bottom"/>
            <w:vMerge w:val="continue"/>
          </w:tcPr>
          <w:p>
            <w:pPr>
              <w:spacing w:after="0"/>
              <w:rPr>
                <w:sz w:val="7"/>
                <w:szCs w:val="7"/>
                <w:color w:val="auto"/>
              </w:rPr>
            </w:pPr>
          </w:p>
        </w:tc>
        <w:tc>
          <w:tcPr>
            <w:tcW w:w="1460" w:type="dxa"/>
            <w:vAlign w:val="bottom"/>
            <w:vMerge w:val="continue"/>
          </w:tcPr>
          <w:p>
            <w:pPr>
              <w:spacing w:after="0"/>
              <w:rPr>
                <w:sz w:val="7"/>
                <w:szCs w:val="7"/>
                <w:color w:val="auto"/>
              </w:rPr>
            </w:pPr>
          </w:p>
        </w:tc>
        <w:tc>
          <w:tcPr>
            <w:tcW w:w="22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23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94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1460" w:type="dxa"/>
            <w:vAlign w:val="bottom"/>
          </w:tcPr>
          <w:p>
            <w:pPr>
              <w:spacing w:after="0"/>
              <w:rPr>
                <w:sz w:val="8"/>
                <w:szCs w:val="8"/>
                <w:color w:val="auto"/>
              </w:rPr>
            </w:pPr>
          </w:p>
        </w:tc>
        <w:tc>
          <w:tcPr>
            <w:tcW w:w="2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
        </w:trPr>
        <w:tc>
          <w:tcPr>
            <w:tcW w:w="23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236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Amit Sinha, Ph.D.</w:t>
            </w: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940" w:type="dxa"/>
            <w:vAlign w:val="bottom"/>
          </w:tcPr>
          <w:p>
            <w:pPr>
              <w:ind w:left="140"/>
              <w:spacing w:after="0"/>
              <w:rPr>
                <w:sz w:val="20"/>
                <w:szCs w:val="20"/>
                <w:color w:val="auto"/>
              </w:rPr>
            </w:pPr>
            <w:r>
              <w:rPr>
                <w:rFonts w:ascii="Arial" w:cs="Arial" w:eastAsia="Arial" w:hAnsi="Arial"/>
                <w:sz w:val="14"/>
                <w:szCs w:val="14"/>
                <w:color w:val="auto"/>
              </w:rPr>
              <w:t>President of Research and Development,</w:t>
            </w:r>
          </w:p>
        </w:tc>
        <w:tc>
          <w:tcPr>
            <w:tcW w:w="9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360" w:type="dxa"/>
            <w:vAlign w:val="bottom"/>
            <w:vMerge w:val="continue"/>
          </w:tcPr>
          <w:p>
            <w:pPr>
              <w:spacing w:after="0"/>
              <w:rPr>
                <w:sz w:val="15"/>
                <w:szCs w:val="15"/>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rPr>
              <w:t>III</w:t>
            </w:r>
          </w:p>
        </w:tc>
        <w:tc>
          <w:tcPr>
            <w:tcW w:w="620" w:type="dxa"/>
            <w:vAlign w:val="bottom"/>
          </w:tcPr>
          <w:p>
            <w:pPr>
              <w:jc w:val="center"/>
              <w:spacing w:after="0"/>
              <w:rPr>
                <w:sz w:val="20"/>
                <w:szCs w:val="20"/>
                <w:color w:val="auto"/>
              </w:rPr>
            </w:pPr>
            <w:r>
              <w:rPr>
                <w:rFonts w:ascii="Arial" w:cs="Arial" w:eastAsia="Arial" w:hAnsi="Arial"/>
                <w:sz w:val="14"/>
                <w:szCs w:val="14"/>
                <w:color w:val="auto"/>
              </w:rPr>
              <w:t>45</w:t>
            </w:r>
          </w:p>
        </w:tc>
        <w:tc>
          <w:tcPr>
            <w:tcW w:w="2940" w:type="dxa"/>
            <w:vAlign w:val="bottom"/>
          </w:tcPr>
          <w:p>
            <w:pPr>
              <w:ind w:left="140"/>
              <w:spacing w:after="0"/>
              <w:rPr>
                <w:sz w:val="20"/>
                <w:szCs w:val="20"/>
                <w:color w:val="auto"/>
              </w:rPr>
            </w:pPr>
            <w:r>
              <w:rPr>
                <w:rFonts w:ascii="Arial" w:cs="Arial" w:eastAsia="Arial" w:hAnsi="Arial"/>
                <w:sz w:val="14"/>
                <w:szCs w:val="14"/>
                <w:color w:val="auto"/>
              </w:rPr>
              <w:t>Operations and Customer Service, Chief</w:t>
            </w:r>
          </w:p>
        </w:tc>
        <w:tc>
          <w:tcPr>
            <w:tcW w:w="980" w:type="dxa"/>
            <w:vAlign w:val="bottom"/>
          </w:tcPr>
          <w:p>
            <w:pPr>
              <w:jc w:val="center"/>
              <w:spacing w:after="0"/>
              <w:rPr>
                <w:sz w:val="20"/>
                <w:szCs w:val="20"/>
                <w:color w:val="auto"/>
              </w:rPr>
            </w:pPr>
            <w:r>
              <w:rPr>
                <w:rFonts w:ascii="Arial" w:cs="Arial" w:eastAsia="Arial" w:hAnsi="Arial"/>
                <w:sz w:val="14"/>
                <w:szCs w:val="14"/>
                <w:color w:val="auto"/>
              </w:rPr>
              <w:t>2017</w:t>
            </w:r>
          </w:p>
        </w:tc>
        <w:tc>
          <w:tcPr>
            <w:tcW w:w="1460" w:type="dxa"/>
            <w:vAlign w:val="bottom"/>
          </w:tcPr>
          <w:p>
            <w:pPr>
              <w:jc w:val="center"/>
              <w:spacing w:after="0"/>
              <w:rPr>
                <w:sz w:val="20"/>
                <w:szCs w:val="20"/>
                <w:color w:val="auto"/>
              </w:rPr>
            </w:pPr>
            <w:r>
              <w:rPr>
                <w:rFonts w:ascii="Arial" w:cs="Arial" w:eastAsia="Arial" w:hAnsi="Arial"/>
                <w:sz w:val="14"/>
                <w:szCs w:val="14"/>
                <w:color w:val="auto"/>
              </w:rPr>
              <w:t>2023</w:t>
            </w:r>
          </w:p>
        </w:tc>
        <w:tc>
          <w:tcPr>
            <w:tcW w:w="224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5688330</wp:posOffset>
            </wp:positionH>
            <wp:positionV relativeFrom="paragraph">
              <wp:posOffset>-1483360</wp:posOffset>
            </wp:positionV>
            <wp:extent cx="8255" cy="3086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255" cy="30861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-1483360</wp:posOffset>
            </wp:positionV>
            <wp:extent cx="8890" cy="3086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890" cy="30861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-1483360</wp:posOffset>
            </wp:positionV>
            <wp:extent cx="8255" cy="3086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255" cy="308610"/>
                    </a:xfrm>
                    <a:prstGeom prst="rect">
                      <a:avLst/>
                    </a:prstGeom>
                    <a:noFill/>
                  </pic:spPr>
                </pic:pic>
              </a:graphicData>
            </a:graphic>
          </wp:anchor>
        </w:drawing>
        <w:drawing>
          <wp:anchor simplePos="0" relativeHeight="251657728" behindDoc="1" locked="0" layoutInCell="0" allowOverlap="1">
            <wp:simplePos x="0" y="0"/>
            <wp:positionH relativeFrom="column">
              <wp:posOffset>2319655</wp:posOffset>
            </wp:positionH>
            <wp:positionV relativeFrom="paragraph">
              <wp:posOffset>-1483360</wp:posOffset>
            </wp:positionV>
            <wp:extent cx="8890" cy="3086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890" cy="308610"/>
                    </a:xfrm>
                    <a:prstGeom prst="rect">
                      <a:avLst/>
                    </a:prstGeom>
                    <a:noFill/>
                  </pic:spPr>
                </pic:pic>
              </a:graphicData>
            </a:graphic>
          </wp:anchor>
        </w:drawing>
        <w:drawing>
          <wp:anchor simplePos="0" relativeHeight="251657728" behindDoc="1" locked="0" layoutInCell="0" allowOverlap="1">
            <wp:simplePos x="0" y="0"/>
            <wp:positionH relativeFrom="column">
              <wp:posOffset>1908175</wp:posOffset>
            </wp:positionH>
            <wp:positionV relativeFrom="paragraph">
              <wp:posOffset>-1483360</wp:posOffset>
            </wp:positionV>
            <wp:extent cx="8890" cy="3086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890" cy="308610"/>
                    </a:xfrm>
                    <a:prstGeom prst="rect">
                      <a:avLst/>
                    </a:prstGeom>
                    <a:noFill/>
                  </pic:spPr>
                </pic:pic>
              </a:graphicData>
            </a:graphic>
          </wp:anchor>
        </w:drawing>
        <w:drawing>
          <wp:anchor simplePos="0" relativeHeight="251657728" behindDoc="1" locked="0" layoutInCell="0" allowOverlap="1">
            <wp:simplePos x="0" y="0"/>
            <wp:positionH relativeFrom="column">
              <wp:posOffset>1496695</wp:posOffset>
            </wp:positionH>
            <wp:positionV relativeFrom="paragraph">
              <wp:posOffset>-1483360</wp:posOffset>
            </wp:positionV>
            <wp:extent cx="8255" cy="3086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255" cy="308610"/>
                    </a:xfrm>
                    <a:prstGeom prst="rect">
                      <a:avLst/>
                    </a:prstGeom>
                    <a:noFill/>
                  </pic:spPr>
                </pic:pic>
              </a:graphicData>
            </a:graphic>
          </wp:anchor>
        </w:drawing>
      </w:r>
    </w:p>
    <w:p>
      <w:pPr>
        <w:ind w:left="3760"/>
        <w:spacing w:after="0"/>
        <w:rPr>
          <w:sz w:val="20"/>
          <w:szCs w:val="20"/>
          <w:color w:val="auto"/>
        </w:rPr>
      </w:pPr>
      <w:r>
        <w:rPr>
          <w:rFonts w:ascii="Arial" w:cs="Arial" w:eastAsia="Arial" w:hAnsi="Arial"/>
          <w:sz w:val="14"/>
          <w:szCs w:val="14"/>
          <w:color w:val="auto"/>
        </w:rPr>
        <w:t>Technology Officer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7" w:lineRule="exact"/>
        <w:rPr>
          <w:sz w:val="20"/>
          <w:szCs w:val="20"/>
          <w:color w:val="auto"/>
        </w:rPr>
      </w:pPr>
    </w:p>
    <w:p>
      <w:pPr>
        <w:ind w:left="240" w:hanging="232"/>
        <w:spacing w:after="0"/>
        <w:tabs>
          <w:tab w:leader="none" w:pos="240" w:val="left"/>
        </w:tabs>
        <w:numPr>
          <w:ilvl w:val="0"/>
          <w:numId w:val="25"/>
        </w:numPr>
        <w:rPr>
          <w:rFonts w:ascii="Arial" w:cs="Arial" w:eastAsia="Arial" w:hAnsi="Arial"/>
          <w:sz w:val="13"/>
          <w:szCs w:val="13"/>
          <w:color w:val="auto"/>
        </w:rPr>
      </w:pPr>
      <w:r>
        <w:rPr>
          <w:rFonts w:ascii="Arial" w:cs="Arial" w:eastAsia="Arial" w:hAnsi="Arial"/>
          <w:sz w:val="13"/>
          <w:szCs w:val="13"/>
          <w:color w:val="auto"/>
        </w:rPr>
        <w:t>Member of our audit committee</w:t>
      </w:r>
    </w:p>
    <w:p>
      <w:pPr>
        <w:spacing w:after="0" w:line="53" w:lineRule="exact"/>
        <w:rPr>
          <w:rFonts w:ascii="Arial" w:cs="Arial" w:eastAsia="Arial" w:hAnsi="Arial"/>
          <w:sz w:val="13"/>
          <w:szCs w:val="13"/>
          <w:color w:val="auto"/>
        </w:rPr>
      </w:pPr>
    </w:p>
    <w:p>
      <w:pPr>
        <w:ind w:left="240" w:hanging="232"/>
        <w:spacing w:after="0"/>
        <w:tabs>
          <w:tab w:leader="none" w:pos="240" w:val="left"/>
        </w:tabs>
        <w:numPr>
          <w:ilvl w:val="0"/>
          <w:numId w:val="25"/>
        </w:numPr>
        <w:rPr>
          <w:rFonts w:ascii="Arial" w:cs="Arial" w:eastAsia="Arial" w:hAnsi="Arial"/>
          <w:sz w:val="13"/>
          <w:szCs w:val="13"/>
          <w:color w:val="auto"/>
        </w:rPr>
      </w:pPr>
      <w:r>
        <w:rPr>
          <w:rFonts w:ascii="Arial" w:cs="Arial" w:eastAsia="Arial" w:hAnsi="Arial"/>
          <w:sz w:val="13"/>
          <w:szCs w:val="13"/>
          <w:color w:val="auto"/>
        </w:rPr>
        <w:t>Member of our compensation committee</w:t>
      </w:r>
    </w:p>
    <w:p>
      <w:pPr>
        <w:spacing w:after="0" w:line="53" w:lineRule="exact"/>
        <w:rPr>
          <w:rFonts w:ascii="Arial" w:cs="Arial" w:eastAsia="Arial" w:hAnsi="Arial"/>
          <w:sz w:val="13"/>
          <w:szCs w:val="13"/>
          <w:color w:val="auto"/>
        </w:rPr>
      </w:pPr>
    </w:p>
    <w:p>
      <w:pPr>
        <w:ind w:left="240" w:hanging="232"/>
        <w:spacing w:after="0"/>
        <w:tabs>
          <w:tab w:leader="none" w:pos="240" w:val="left"/>
        </w:tabs>
        <w:numPr>
          <w:ilvl w:val="0"/>
          <w:numId w:val="25"/>
        </w:numPr>
        <w:rPr>
          <w:rFonts w:ascii="Arial" w:cs="Arial" w:eastAsia="Arial" w:hAnsi="Arial"/>
          <w:sz w:val="13"/>
          <w:szCs w:val="13"/>
          <w:color w:val="auto"/>
        </w:rPr>
      </w:pPr>
      <w:r>
        <w:rPr>
          <w:rFonts w:ascii="Arial" w:cs="Arial" w:eastAsia="Arial" w:hAnsi="Arial"/>
          <w:sz w:val="13"/>
          <w:szCs w:val="13"/>
          <w:color w:val="auto"/>
        </w:rPr>
        <w:t>Member of our nominating and corporate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217170</wp:posOffset>
            </wp:positionV>
            <wp:extent cx="342900" cy="2146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42900" cy="214630"/>
                    </a:xfrm>
                    <a:prstGeom prst="rect">
                      <a:avLst/>
                    </a:prstGeom>
                    <a:noFill/>
                  </pic:spPr>
                </pic:pic>
              </a:graphicData>
            </a:graphic>
          </wp:anchor>
        </w:drawing>
      </w:r>
    </w:p>
    <w:p>
      <w:pPr>
        <w:spacing w:after="0" w:line="261" w:lineRule="exact"/>
        <w:rPr>
          <w:sz w:val="20"/>
          <w:szCs w:val="20"/>
          <w:color w:val="auto"/>
        </w:rPr>
      </w:pPr>
    </w:p>
    <w:p>
      <w:pPr>
        <w:ind w:left="5540"/>
        <w:spacing w:after="0"/>
        <w:tabs>
          <w:tab w:leader="none" w:pos="9780" w:val="left"/>
        </w:tabs>
        <w:rPr>
          <w:sz w:val="20"/>
          <w:szCs w:val="20"/>
          <w:color w:val="auto"/>
        </w:rPr>
      </w:pPr>
      <w:r>
        <w:rPr>
          <w:rFonts w:ascii="Arial" w:cs="Arial" w:eastAsia="Arial" w:hAnsi="Arial"/>
          <w:sz w:val="29"/>
          <w:szCs w:val="29"/>
          <w:color w:val="auto"/>
          <w:vertAlign w:val="superscript"/>
        </w:rPr>
        <w:t>13</w:t>
      </w:r>
      <w:r>
        <w:rPr>
          <w:sz w:val="20"/>
          <w:szCs w:val="20"/>
          <w:color w:val="auto"/>
        </w:rPr>
        <w:tab/>
      </w:r>
      <w:r>
        <w:rPr>
          <w:rFonts w:ascii="Arial" w:cs="Arial" w:eastAsia="Arial" w:hAnsi="Arial"/>
          <w:sz w:val="14"/>
          <w:szCs w:val="14"/>
          <w:color w:val="auto"/>
        </w:rPr>
        <w:t>2021 Proxy Statement</w:t>
      </w:r>
    </w:p>
    <w:p>
      <w:pPr>
        <w:sectPr>
          <w:pgSz w:w="11900" w:h="16838" w:orient="portrait"/>
          <w:cols w:equalWidth="0" w:num="1">
            <w:col w:w="11240"/>
          </w:cols>
          <w:pgMar w:left="320" w:top="172" w:right="339" w:bottom="1440" w:gutter="0" w:footer="0" w:header="0"/>
        </w:sectPr>
      </w:pPr>
    </w:p>
    <w:bookmarkStart w:id="17" w:name="page18"/>
    <w:bookmarkEnd w:id="17"/>
    <w:p>
      <w:pPr>
        <w:ind w:left="280"/>
        <w:spacing w:after="0"/>
        <w:rPr>
          <w:sz w:val="20"/>
          <w:szCs w:val="20"/>
          <w:color w:val="auto"/>
        </w:rPr>
      </w:pPr>
      <w:r>
        <w:rPr>
          <w:rFonts w:ascii="Arial" w:cs="Arial" w:eastAsia="Arial" w:hAnsi="Arial"/>
          <w:sz w:val="12"/>
          <w:szCs w:val="12"/>
          <w:b w:val="1"/>
          <w:bCs w:val="1"/>
          <w:color w:val="929292"/>
        </w:rPr>
        <w:t>BOARD OF 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7470" cy="596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7470" cy="59690"/>
                    </a:xfrm>
                    <a:prstGeom prst="rect">
                      <a:avLst/>
                    </a:prstGeom>
                    <a:noFill/>
                  </pic:spPr>
                </pic:pic>
              </a:graphicData>
            </a:graphic>
          </wp:anchor>
        </w:drawing>
      </w:r>
    </w:p>
    <w:p>
      <w:pPr>
        <w:sectPr>
          <w:pgSz w:w="11900" w:h="16838" w:orient="portrait"/>
          <w:cols w:equalWidth="0" w:num="1">
            <w:col w:w="11220"/>
          </w:cols>
          <w:pgMar w:left="320" w:top="17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36"/>
          <w:szCs w:val="36"/>
          <w:color w:val="auto"/>
        </w:rPr>
        <w:t>Director Nominees</w:t>
      </w:r>
    </w:p>
    <w:p>
      <w:pPr>
        <w:spacing w:after="0" w:line="200" w:lineRule="exact"/>
        <w:rPr>
          <w:sz w:val="20"/>
          <w:szCs w:val="20"/>
          <w:color w:val="auto"/>
        </w:rPr>
      </w:pPr>
    </w:p>
    <w:p>
      <w:pPr>
        <w:spacing w:after="0" w:line="304" w:lineRule="exact"/>
        <w:rPr>
          <w:sz w:val="20"/>
          <w:szCs w:val="20"/>
          <w:color w:val="auto"/>
        </w:rPr>
      </w:pPr>
    </w:p>
    <w:p>
      <w:pPr>
        <w:ind w:left="20"/>
        <w:spacing w:after="0"/>
        <w:rPr>
          <w:sz w:val="20"/>
          <w:szCs w:val="20"/>
          <w:color w:val="auto"/>
        </w:rPr>
      </w:pPr>
      <w:r>
        <w:rPr>
          <w:rFonts w:ascii="Arial" w:cs="Arial" w:eastAsia="Arial" w:hAnsi="Arial"/>
          <w:sz w:val="43"/>
          <w:szCs w:val="43"/>
          <w:color w:val="009ADA"/>
        </w:rPr>
        <w:t>Karen Blasing</w:t>
      </w:r>
    </w:p>
    <w:p>
      <w:pPr>
        <w:spacing w:after="0" w:line="12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2B338D"/>
        </w:rPr>
        <w:t>Age | 65</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2B338D"/>
        </w:rPr>
        <w:t>Director Since |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227139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pacing w:after="0" w:line="309" w:lineRule="exact"/>
        <w:rPr>
          <w:sz w:val="20"/>
          <w:szCs w:val="20"/>
          <w:color w:val="auto"/>
        </w:rPr>
      </w:pPr>
    </w:p>
    <w:p>
      <w:pPr>
        <w:ind w:left="20" w:right="60"/>
        <w:spacing w:after="0" w:line="344" w:lineRule="auto"/>
        <w:rPr>
          <w:sz w:val="20"/>
          <w:szCs w:val="20"/>
          <w:color w:val="auto"/>
        </w:rPr>
      </w:pPr>
      <w:r>
        <w:rPr>
          <w:rFonts w:ascii="Arial" w:cs="Arial" w:eastAsia="Arial" w:hAnsi="Arial"/>
          <w:sz w:val="16"/>
          <w:szCs w:val="16"/>
          <w:b w:val="1"/>
          <w:bCs w:val="1"/>
          <w:i w:val="1"/>
          <w:iCs w:val="1"/>
          <w:color w:val="auto"/>
        </w:rPr>
        <w:t>We believe Ms. Blasing is qualified to serve as a member of our board of directors based on her extensive financial leadership and management experience at numerous SaaS and enterprise software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0"/>
        <w:spacing w:after="0"/>
        <w:rPr>
          <w:sz w:val="20"/>
          <w:szCs w:val="20"/>
          <w:color w:val="auto"/>
        </w:rPr>
      </w:pPr>
      <w:r>
        <w:rPr>
          <w:rFonts w:ascii="Arial" w:cs="Arial" w:eastAsia="Arial" w:hAnsi="Arial"/>
          <w:sz w:val="43"/>
          <w:szCs w:val="43"/>
          <w:color w:val="009ADA"/>
        </w:rPr>
        <w:t>Charles Giancarlo</w:t>
      </w:r>
    </w:p>
    <w:p>
      <w:pPr>
        <w:spacing w:after="0" w:line="12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2B338D"/>
        </w:rPr>
        <w:t>Age | 63</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2B338D"/>
        </w:rPr>
        <w:t>Director Since |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434975</wp:posOffset>
            </wp:positionV>
            <wp:extent cx="227139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0"/>
        <w:spacing w:after="0" w:line="342" w:lineRule="auto"/>
        <w:rPr>
          <w:sz w:val="20"/>
          <w:szCs w:val="20"/>
          <w:color w:val="auto"/>
        </w:rPr>
      </w:pPr>
      <w:r>
        <w:rPr>
          <w:rFonts w:ascii="Arial" w:cs="Arial" w:eastAsia="Arial" w:hAnsi="Arial"/>
          <w:sz w:val="16"/>
          <w:szCs w:val="16"/>
          <w:b w:val="1"/>
          <w:bCs w:val="1"/>
          <w:i w:val="1"/>
          <w:iCs w:val="1"/>
          <w:color w:val="auto"/>
        </w:rPr>
        <w:t>We believe Mr. Giancarlo is qualified to serve as a member of our board of directors based on his extensive business expertise, including his prior executive level leadership, and his experience on the boards of publicly traded technology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795655</wp:posOffset>
            </wp:positionV>
            <wp:extent cx="342900" cy="2146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42900" cy="2146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40"/>
        <w:spacing w:after="0" w:line="335" w:lineRule="auto"/>
        <w:rPr>
          <w:sz w:val="20"/>
          <w:szCs w:val="20"/>
          <w:color w:val="auto"/>
        </w:rPr>
      </w:pPr>
      <w:r>
        <w:rPr>
          <w:rFonts w:ascii="Arial" w:cs="Arial" w:eastAsia="Arial" w:hAnsi="Arial"/>
          <w:sz w:val="16"/>
          <w:szCs w:val="16"/>
          <w:color w:val="auto"/>
        </w:rPr>
        <w:t>Karen Blasing served as the chief financial officer of Guidewire Software, Inc., a back-end systems software company, from July 2009 to March 2015. Prior to 2009, Ms. Blasing served as the chief financial officer for Force10 Networks, Inc. and as the senior vice president of finance for Salesforce.com, Inc., and she also served as chief financial officer for Nuance Communications, Inc. and Counterpane Internet Security, Inc. and held senior finance roles for Informix Corporation (now IBM Informix) and Oracle Corporation. She currently serves as a director of Autodesk, Inc., a multinational software corporation, where she serves as a member of the audit committee, and GitLab Inc., a devops platform company, where she serves as a chair of the audit committee. Ms. Blasing previously served as a director of Ellie Mae, Inc. Ms. Blasing holds a B.A. in economics and business administration from the University of Montana and an M.B.A. from the University of Washington.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-154940</wp:posOffset>
            </wp:positionH>
            <wp:positionV relativeFrom="paragraph">
              <wp:posOffset>-1828800</wp:posOffset>
            </wp:positionV>
            <wp:extent cx="8255" cy="49631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255" cy="4963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line="335" w:lineRule="auto"/>
        <w:rPr>
          <w:sz w:val="20"/>
          <w:szCs w:val="20"/>
          <w:color w:val="auto"/>
        </w:rPr>
      </w:pPr>
      <w:r>
        <w:rPr>
          <w:rFonts w:ascii="Arial" w:cs="Arial" w:eastAsia="Arial" w:hAnsi="Arial"/>
          <w:sz w:val="16"/>
          <w:szCs w:val="16"/>
          <w:color w:val="auto"/>
        </w:rPr>
        <w:t>Charles Giancarlo has served as chief executive officer of Pure Storage, Inc., a data storage and management company, since August 2017. From January 2008 until October 2015, Mr. Giancarlo was a managing director and then strategic advisor of Silver Lake Partners, a private investment firm that focuses on technology-enabled and related growth industries. From May 1993 to December 2007, Mr. Giancarlo served in numerous senior executive roles at Cisco Systems, Inc., a provider of communications and networking products and services, ultimately as the executive vice president and chief development officer from May 2004 to December 2007. Mr. Giancarlo currently serves on the boards of directors of Arista Networks, Inc., a manufacturer of networking products, where he serves as a member of the compensation committee and the nominating and corporate governance committee, and Pure Storage. He previously served on the boards of directors of Accenture plc, Avaya, Inc., Imperva, Inc., ServiceNow, Inc., Netflix, Inc. and Tintri, Inc. Mr. Giancarlo holds a B.S. in electrical engineering from Brown University, an M.S. in electrical engineering from the University of California, Berkeley and an M.B.A. from Harvard Business School.</w:t>
      </w:r>
    </w:p>
    <w:p>
      <w:pPr>
        <w:spacing w:after="0" w:line="399" w:lineRule="exact"/>
        <w:rPr>
          <w:sz w:val="20"/>
          <w:szCs w:val="20"/>
          <w:color w:val="auto"/>
        </w:rPr>
      </w:pPr>
    </w:p>
    <w:p>
      <w:pPr>
        <w:sectPr>
          <w:pgSz w:w="11900" w:h="16838" w:orient="portrait"/>
          <w:cols w:equalWidth="0" w:num="2">
            <w:col w:w="3520" w:space="540"/>
            <w:col w:w="7160"/>
          </w:cols>
          <w:pgMar w:left="320" w:top="172"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5540"/>
        <w:spacing w:after="0"/>
        <w:tabs>
          <w:tab w:leader="none" w:pos="9780" w:val="left"/>
        </w:tabs>
        <w:rPr>
          <w:sz w:val="20"/>
          <w:szCs w:val="20"/>
          <w:color w:val="auto"/>
        </w:rPr>
      </w:pPr>
      <w:r>
        <w:rPr>
          <w:rFonts w:ascii="Arial" w:cs="Arial" w:eastAsia="Arial" w:hAnsi="Arial"/>
          <w:sz w:val="29"/>
          <w:szCs w:val="29"/>
          <w:color w:val="auto"/>
          <w:vertAlign w:val="superscript"/>
        </w:rPr>
        <w:t>14</w:t>
      </w:r>
      <w:r>
        <w:rPr>
          <w:sz w:val="20"/>
          <w:szCs w:val="20"/>
          <w:color w:val="auto"/>
        </w:rPr>
        <w:tab/>
      </w:r>
      <w:r>
        <w:rPr>
          <w:rFonts w:ascii="Arial" w:cs="Arial" w:eastAsia="Arial" w:hAnsi="Arial"/>
          <w:sz w:val="14"/>
          <w:szCs w:val="14"/>
          <w:color w:val="auto"/>
        </w:rPr>
        <w:t>2021 Proxy Statement</w:t>
      </w:r>
    </w:p>
    <w:p>
      <w:pPr>
        <w:sectPr>
          <w:pgSz w:w="11900" w:h="16838" w:orient="portrait"/>
          <w:cols w:equalWidth="0" w:num="1">
            <w:col w:w="11220"/>
          </w:cols>
          <w:pgMar w:left="320" w:top="172" w:right="359" w:bottom="1440" w:gutter="0" w:footer="0" w:header="0"/>
          <w:type w:val="continuous"/>
        </w:sectPr>
      </w:pPr>
    </w:p>
    <w:bookmarkStart w:id="18" w:name="page19"/>
    <w:bookmarkEnd w:id="18"/>
    <w:p>
      <w:pPr>
        <w:ind w:left="180"/>
        <w:spacing w:after="0"/>
        <w:rPr>
          <w:sz w:val="20"/>
          <w:szCs w:val="20"/>
          <w:color w:val="auto"/>
        </w:rPr>
      </w:pPr>
      <w:r>
        <w:rPr>
          <w:rFonts w:ascii="Arial" w:cs="Arial" w:eastAsia="Arial" w:hAnsi="Arial"/>
          <w:sz w:val="12"/>
          <w:szCs w:val="12"/>
          <w:b w:val="1"/>
          <w:bCs w:val="1"/>
          <w:color w:val="929292"/>
        </w:rPr>
        <w:t>BOARD OF 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-55880</wp:posOffset>
            </wp:positionV>
            <wp:extent cx="77470" cy="596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7470" cy="59690"/>
                    </a:xfrm>
                    <a:prstGeom prst="rect">
                      <a:avLst/>
                    </a:prstGeom>
                    <a:noFill/>
                  </pic:spPr>
                </pic:pic>
              </a:graphicData>
            </a:graphic>
          </wp:anchor>
        </w:drawing>
        <w:drawing>
          <wp:anchor simplePos="0" relativeHeight="251657728" behindDoc="1" locked="0" layoutInCell="0" allowOverlap="1">
            <wp:simplePos x="0" y="0"/>
            <wp:positionH relativeFrom="column">
              <wp:posOffset>2367280</wp:posOffset>
            </wp:positionH>
            <wp:positionV relativeFrom="paragraph">
              <wp:posOffset>732155</wp:posOffset>
            </wp:positionV>
            <wp:extent cx="8890" cy="248602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890" cy="2486025"/>
                    </a:xfrm>
                    <a:prstGeom prst="rect">
                      <a:avLst/>
                    </a:prstGeom>
                    <a:noFill/>
                  </pic:spPr>
                </pic:pic>
              </a:graphicData>
            </a:graphic>
          </wp:anchor>
        </w:drawing>
      </w:r>
    </w:p>
    <w:p>
      <w:pPr>
        <w:sectPr>
          <w:pgSz w:w="11900" w:h="16838" w:orient="portrait"/>
          <w:cols w:equalWidth="0" w:num="1">
            <w:col w:w="11120"/>
          </w:cols>
          <w:pgMar w:left="420" w:top="17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43"/>
          <w:szCs w:val="43"/>
          <w:color w:val="009ADA"/>
        </w:rPr>
        <w:t>Eileen Naughton</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b w:val="1"/>
          <w:bCs w:val="1"/>
          <w:color w:val="2B338D"/>
        </w:rPr>
        <w:t>Age | 64</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2B338D"/>
        </w:rPr>
        <w:t>Director Since |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434975</wp:posOffset>
            </wp:positionV>
            <wp:extent cx="228028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line="342" w:lineRule="auto"/>
        <w:rPr>
          <w:sz w:val="20"/>
          <w:szCs w:val="20"/>
          <w:color w:val="auto"/>
        </w:rPr>
      </w:pPr>
      <w:r>
        <w:rPr>
          <w:rFonts w:ascii="Arial" w:cs="Arial" w:eastAsia="Arial" w:hAnsi="Arial"/>
          <w:sz w:val="16"/>
          <w:szCs w:val="16"/>
          <w:b w:val="1"/>
          <w:bCs w:val="1"/>
          <w:i w:val="1"/>
          <w:iCs w:val="1"/>
          <w:color w:val="auto"/>
        </w:rPr>
        <w:t>We believe Ms. Naughton is qualified to serve on our board of directors because of her knowledge and experience in operations and management at multiple sophisticated companies and her experience as a director of various other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-49530</wp:posOffset>
            </wp:positionH>
            <wp:positionV relativeFrom="paragraph">
              <wp:posOffset>718820</wp:posOffset>
            </wp:positionV>
            <wp:extent cx="342900" cy="2146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42900" cy="2146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right="100"/>
        <w:spacing w:after="0" w:line="336" w:lineRule="auto"/>
        <w:rPr>
          <w:sz w:val="20"/>
          <w:szCs w:val="20"/>
          <w:color w:val="auto"/>
        </w:rPr>
      </w:pPr>
      <w:r>
        <w:rPr>
          <w:rFonts w:ascii="Arial" w:cs="Arial" w:eastAsia="Arial" w:hAnsi="Arial"/>
          <w:sz w:val="16"/>
          <w:szCs w:val="16"/>
          <w:color w:val="auto"/>
        </w:rPr>
        <w:t>Eileen Naughton served as the Chief People Officer and Vice President of People Operations at Google, Inc. from September 2016 to January 2021. Prior to September 2016, Ms. Naughton served in a variety of senior roles at Google dating back to 2006, including as Vice President and Managing Director for Google UK &amp; Ireland and Vice President of Global Sales. Prior to joining Google in 2006, Ms. Naughton held a number of executive positions at Time Warner, including president of TIME Magazine. Ms. Naughton previously served on the boards of directors of L’Oreal S.A. and The XO Group. Ms. Naughton holds a Bachelor of Arts in international relations from the University of Pennsylvania, a Master of Arts from the Lauder Institute and a Master of Business Administration from the University of Pennsylvania.</w:t>
      </w:r>
    </w:p>
    <w:p>
      <w:pPr>
        <w:spacing w:after="0" w:line="1419" w:lineRule="exact"/>
        <w:rPr>
          <w:sz w:val="20"/>
          <w:szCs w:val="20"/>
          <w:color w:val="auto"/>
        </w:rPr>
      </w:pPr>
    </w:p>
    <w:p>
      <w:pPr>
        <w:sectPr>
          <w:pgSz w:w="11900" w:h="16838" w:orient="portrait"/>
          <w:cols w:equalWidth="0" w:num="2">
            <w:col w:w="3420" w:space="560"/>
            <w:col w:w="7140"/>
          </w:cols>
          <w:pgMar w:left="420" w:top="172"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440"/>
        <w:spacing w:after="0"/>
        <w:tabs>
          <w:tab w:leader="none" w:pos="9680" w:val="left"/>
        </w:tabs>
        <w:rPr>
          <w:sz w:val="20"/>
          <w:szCs w:val="20"/>
          <w:color w:val="auto"/>
        </w:rPr>
      </w:pPr>
      <w:r>
        <w:rPr>
          <w:rFonts w:ascii="Arial" w:cs="Arial" w:eastAsia="Arial" w:hAnsi="Arial"/>
          <w:sz w:val="29"/>
          <w:szCs w:val="29"/>
          <w:color w:val="auto"/>
          <w:vertAlign w:val="superscript"/>
        </w:rPr>
        <w:t>15</w:t>
      </w:r>
      <w:r>
        <w:rPr>
          <w:sz w:val="20"/>
          <w:szCs w:val="20"/>
          <w:color w:val="auto"/>
        </w:rPr>
        <w:tab/>
      </w:r>
      <w:r>
        <w:rPr>
          <w:rFonts w:ascii="Arial" w:cs="Arial" w:eastAsia="Arial" w:hAnsi="Arial"/>
          <w:sz w:val="14"/>
          <w:szCs w:val="14"/>
          <w:color w:val="auto"/>
        </w:rPr>
        <w:t>2021 Proxy Statement</w:t>
      </w:r>
    </w:p>
    <w:p>
      <w:pPr>
        <w:sectPr>
          <w:pgSz w:w="11900" w:h="16838" w:orient="portrait"/>
          <w:cols w:equalWidth="0" w:num="1">
            <w:col w:w="11120"/>
          </w:cols>
          <w:pgMar w:left="420" w:top="172" w:right="359" w:bottom="1440" w:gutter="0" w:footer="0" w:header="0"/>
          <w:type w:val="continuous"/>
        </w:sectPr>
      </w:pPr>
    </w:p>
    <w:bookmarkStart w:id="19" w:name="page20"/>
    <w:bookmarkEnd w:id="19"/>
    <w:p>
      <w:pPr>
        <w:ind w:left="280"/>
        <w:spacing w:after="0"/>
        <w:rPr>
          <w:sz w:val="20"/>
          <w:szCs w:val="20"/>
          <w:color w:val="auto"/>
        </w:rPr>
      </w:pPr>
      <w:r>
        <w:rPr>
          <w:rFonts w:ascii="Arial" w:cs="Arial" w:eastAsia="Arial" w:hAnsi="Arial"/>
          <w:sz w:val="12"/>
          <w:szCs w:val="12"/>
          <w:b w:val="1"/>
          <w:bCs w:val="1"/>
          <w:color w:val="929292"/>
        </w:rPr>
        <w:t>BOARD OF 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7470" cy="596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7470" cy="59690"/>
                    </a:xfrm>
                    <a:prstGeom prst="rect">
                      <a:avLst/>
                    </a:prstGeom>
                    <a:noFill/>
                  </pic:spPr>
                </pic:pic>
              </a:graphicData>
            </a:graphic>
          </wp:anchor>
        </w:drawing>
      </w:r>
    </w:p>
    <w:p>
      <w:pPr>
        <w:sectPr>
          <w:pgSz w:w="11900" w:h="16838" w:orient="portrait"/>
          <w:cols w:equalWidth="0" w:num="1">
            <w:col w:w="11220"/>
          </w:cols>
          <w:pgMar w:left="320" w:top="17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36"/>
          <w:szCs w:val="36"/>
          <w:color w:val="auto"/>
        </w:rPr>
        <w:t>Continuing Directors</w:t>
      </w:r>
    </w:p>
    <w:p>
      <w:pPr>
        <w:spacing w:after="0" w:line="200" w:lineRule="exact"/>
        <w:rPr>
          <w:sz w:val="20"/>
          <w:szCs w:val="20"/>
          <w:color w:val="auto"/>
        </w:rPr>
      </w:pPr>
    </w:p>
    <w:p>
      <w:pPr>
        <w:spacing w:after="0" w:line="304" w:lineRule="exact"/>
        <w:rPr>
          <w:sz w:val="20"/>
          <w:szCs w:val="20"/>
          <w:color w:val="auto"/>
        </w:rPr>
      </w:pPr>
    </w:p>
    <w:p>
      <w:pPr>
        <w:ind w:left="20"/>
        <w:spacing w:after="0"/>
        <w:rPr>
          <w:sz w:val="20"/>
          <w:szCs w:val="20"/>
          <w:color w:val="auto"/>
        </w:rPr>
      </w:pPr>
      <w:r>
        <w:rPr>
          <w:rFonts w:ascii="Arial" w:cs="Arial" w:eastAsia="Arial" w:hAnsi="Arial"/>
          <w:sz w:val="43"/>
          <w:szCs w:val="43"/>
          <w:color w:val="009ADA"/>
        </w:rPr>
        <w:t>Andrew Brown</w:t>
      </w:r>
    </w:p>
    <w:p>
      <w:pPr>
        <w:spacing w:after="0" w:line="12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2B338D"/>
        </w:rPr>
        <w:t>Age | 58</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2B338D"/>
        </w:rPr>
        <w:t>Director Since |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227139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pacing w:after="0" w:line="363" w:lineRule="exact"/>
        <w:rPr>
          <w:sz w:val="20"/>
          <w:szCs w:val="20"/>
          <w:color w:val="auto"/>
        </w:rPr>
      </w:pPr>
    </w:p>
    <w:p>
      <w:pPr>
        <w:ind w:left="20" w:right="20"/>
        <w:spacing w:after="0" w:line="342" w:lineRule="auto"/>
        <w:rPr>
          <w:sz w:val="20"/>
          <w:szCs w:val="20"/>
          <w:color w:val="auto"/>
        </w:rPr>
      </w:pPr>
      <w:r>
        <w:rPr>
          <w:rFonts w:ascii="Arial" w:cs="Arial" w:eastAsia="Arial" w:hAnsi="Arial"/>
          <w:sz w:val="16"/>
          <w:szCs w:val="16"/>
          <w:b w:val="1"/>
          <w:bCs w:val="1"/>
          <w:i w:val="1"/>
          <w:iCs w:val="1"/>
          <w:color w:val="auto"/>
        </w:rPr>
        <w:t>We believe Mr. Brown is qualified to serve as a member of our board of directors based on his extensive experience as chief technology officer of multiple Fortune 500 companies, as well as his service on the board of directors of other publicly held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0"/>
        <w:spacing w:after="0"/>
        <w:rPr>
          <w:sz w:val="20"/>
          <w:szCs w:val="20"/>
          <w:color w:val="auto"/>
        </w:rPr>
      </w:pPr>
      <w:r>
        <w:rPr>
          <w:rFonts w:ascii="Arial" w:cs="Arial" w:eastAsia="Arial" w:hAnsi="Arial"/>
          <w:sz w:val="43"/>
          <w:szCs w:val="43"/>
          <w:color w:val="009ADA"/>
        </w:rPr>
        <w:t>Scott Darling</w:t>
      </w:r>
    </w:p>
    <w:p>
      <w:pPr>
        <w:spacing w:after="0" w:line="12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2B338D"/>
        </w:rPr>
        <w:t>Age | 65</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2B338D"/>
        </w:rPr>
        <w:t>Director Since |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227139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pacing w:after="0" w:line="363" w:lineRule="exact"/>
        <w:rPr>
          <w:sz w:val="20"/>
          <w:szCs w:val="20"/>
          <w:color w:val="auto"/>
        </w:rPr>
      </w:pPr>
    </w:p>
    <w:p>
      <w:pPr>
        <w:ind w:left="20"/>
        <w:spacing w:after="0" w:line="347" w:lineRule="auto"/>
        <w:rPr>
          <w:sz w:val="20"/>
          <w:szCs w:val="20"/>
          <w:color w:val="auto"/>
        </w:rPr>
      </w:pPr>
      <w:r>
        <w:rPr>
          <w:rFonts w:ascii="Arial" w:cs="Arial" w:eastAsia="Arial" w:hAnsi="Arial"/>
          <w:sz w:val="16"/>
          <w:szCs w:val="16"/>
          <w:b w:val="1"/>
          <w:bCs w:val="1"/>
          <w:i w:val="1"/>
          <w:iCs w:val="1"/>
          <w:color w:val="auto"/>
        </w:rPr>
        <w:t>We believe Mr. Darling is qualified to serve as a member of our board of directors based on his experience as a director of and as an investor in multiple technology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1247775</wp:posOffset>
            </wp:positionV>
            <wp:extent cx="342900" cy="21399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42900" cy="2139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80"/>
        <w:spacing w:after="0" w:line="335" w:lineRule="auto"/>
        <w:rPr>
          <w:sz w:val="20"/>
          <w:szCs w:val="20"/>
          <w:color w:val="auto"/>
        </w:rPr>
      </w:pPr>
      <w:r>
        <w:rPr>
          <w:rFonts w:ascii="Arial" w:cs="Arial" w:eastAsia="Arial" w:hAnsi="Arial"/>
          <w:sz w:val="16"/>
          <w:szCs w:val="16"/>
          <w:color w:val="auto"/>
        </w:rPr>
        <w:t>Andrew Brown has served as chief executive officer of Sand Hill East LLC, a strategic management, investment and marketing services firm, since February 2014. Since 2006, he has also been the chief executive officer and co-owner of Biz Tectonics LLC, a privately held consulting company. From September 2010 to October 2013, Mr. Brown served as group chief technology officer of UBS Securities LLC, an investment bank. From 2008 to 2010, he served as head of strategy, architecture and optimization at Bank of America Merrill Lynch, the corporate and investment banking division of Bank of America. From 2006 to 2008, Mr. Brown served as chief technology officer of infrastructure at Credit Suisse Securities (USA) LLC, an investment bank. He currently sits on the board of directors of Guidewire Software, Inc., a provider of software products for property and casualty insurers, where he serves as a member of the compensation committee, and Pure Storage, where he serves as a member of the compensation committee. Mr. Brown holds a B.S. (Honors) in chemical physics from University College London.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-154940</wp:posOffset>
            </wp:positionH>
            <wp:positionV relativeFrom="paragraph">
              <wp:posOffset>-1991995</wp:posOffset>
            </wp:positionV>
            <wp:extent cx="8255" cy="52635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255" cy="5263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20"/>
        <w:spacing w:after="0" w:line="335" w:lineRule="auto"/>
        <w:rPr>
          <w:sz w:val="20"/>
          <w:szCs w:val="20"/>
          <w:color w:val="auto"/>
        </w:rPr>
      </w:pPr>
      <w:r>
        <w:rPr>
          <w:rFonts w:ascii="Arial" w:cs="Arial" w:eastAsia="Arial" w:hAnsi="Arial"/>
          <w:sz w:val="16"/>
          <w:szCs w:val="16"/>
          <w:color w:val="auto"/>
        </w:rPr>
        <w:t>Scott Darling has served as president of Dell Technologies Capital, the corporate development and venture capital arm of Dell Technologies Inc., since September 2016. Prior to joining Dell Technologies upon its acquisition of EMC Corp., Mr. Darling was president of EMC Corporate Development and Ventures from March 2012 to September 2016, and in such role he was responsible for EMC’s business development and venture capital investment activity. Prior to joining EMC, Mr. Darling was a general partner at Frazier Technology Ventures II, L.P., which he joined in 2007, and was vice president and managing director at Intel Capital Corp., the venture capital arm of Intel Corporation, from 2000 to 2007. Mr. Darling previously served on the board of directors of DocuSign Inc., a provider of electronic signature technology and digital transaction management services. Mr. Darling holds a B.A. in economics from the University of California at Santa Cruz and an M.B.A. from the Stanford University Graduate School of Business.</w:t>
      </w:r>
    </w:p>
    <w:p>
      <w:pPr>
        <w:spacing w:after="0" w:line="200" w:lineRule="exact"/>
        <w:rPr>
          <w:sz w:val="20"/>
          <w:szCs w:val="20"/>
          <w:color w:val="auto"/>
        </w:rPr>
      </w:pPr>
    </w:p>
    <w:p>
      <w:pPr>
        <w:sectPr>
          <w:pgSz w:w="11900" w:h="16838" w:orient="portrait"/>
          <w:cols w:equalWidth="0" w:num="2">
            <w:col w:w="3520" w:space="540"/>
            <w:col w:w="7160"/>
          </w:cols>
          <w:pgMar w:left="320" w:top="172"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540"/>
        <w:spacing w:after="0"/>
        <w:tabs>
          <w:tab w:leader="none" w:pos="9780" w:val="left"/>
        </w:tabs>
        <w:rPr>
          <w:sz w:val="20"/>
          <w:szCs w:val="20"/>
          <w:color w:val="auto"/>
        </w:rPr>
      </w:pPr>
      <w:r>
        <w:rPr>
          <w:rFonts w:ascii="Arial" w:cs="Arial" w:eastAsia="Arial" w:hAnsi="Arial"/>
          <w:sz w:val="29"/>
          <w:szCs w:val="29"/>
          <w:color w:val="auto"/>
          <w:vertAlign w:val="superscript"/>
        </w:rPr>
        <w:t>16</w:t>
      </w:r>
      <w:r>
        <w:rPr>
          <w:sz w:val="20"/>
          <w:szCs w:val="20"/>
          <w:color w:val="auto"/>
        </w:rPr>
        <w:tab/>
      </w:r>
      <w:r>
        <w:rPr>
          <w:rFonts w:ascii="Arial" w:cs="Arial" w:eastAsia="Arial" w:hAnsi="Arial"/>
          <w:sz w:val="14"/>
          <w:szCs w:val="14"/>
          <w:color w:val="auto"/>
        </w:rPr>
        <w:t>2021 Proxy Statement</w:t>
      </w:r>
    </w:p>
    <w:p>
      <w:pPr>
        <w:sectPr>
          <w:pgSz w:w="11900" w:h="16838" w:orient="portrait"/>
          <w:cols w:equalWidth="0" w:num="1">
            <w:col w:w="11220"/>
          </w:cols>
          <w:pgMar w:left="320" w:top="172" w:right="359" w:bottom="1440" w:gutter="0" w:footer="0" w:header="0"/>
          <w:type w:val="continuous"/>
        </w:sectPr>
      </w:pPr>
    </w:p>
    <w:bookmarkStart w:id="20" w:name="page21"/>
    <w:bookmarkEnd w:id="20"/>
    <w:p>
      <w:pPr>
        <w:ind w:left="260"/>
        <w:spacing w:after="0"/>
        <w:rPr>
          <w:sz w:val="20"/>
          <w:szCs w:val="20"/>
          <w:color w:val="auto"/>
        </w:rPr>
      </w:pPr>
      <w:r>
        <w:rPr>
          <w:rFonts w:ascii="Arial" w:cs="Arial" w:eastAsia="Arial" w:hAnsi="Arial"/>
          <w:sz w:val="12"/>
          <w:szCs w:val="12"/>
          <w:b w:val="1"/>
          <w:bCs w:val="1"/>
          <w:color w:val="929292"/>
        </w:rPr>
        <w:t>BOARD OF 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7470" cy="596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7470" cy="59690"/>
                    </a:xfrm>
                    <a:prstGeom prst="rect">
                      <a:avLst/>
                    </a:prstGeom>
                    <a:noFill/>
                  </pic:spPr>
                </pic:pic>
              </a:graphicData>
            </a:graphic>
          </wp:anchor>
        </w:drawing>
        <w:drawing>
          <wp:anchor simplePos="0" relativeHeight="251657728" behindDoc="1" locked="0" layoutInCell="0" allowOverlap="1">
            <wp:simplePos x="0" y="0"/>
            <wp:positionH relativeFrom="column">
              <wp:posOffset>2418080</wp:posOffset>
            </wp:positionH>
            <wp:positionV relativeFrom="paragraph">
              <wp:posOffset>732155</wp:posOffset>
            </wp:positionV>
            <wp:extent cx="8890" cy="25203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890" cy="2520315"/>
                    </a:xfrm>
                    <a:prstGeom prst="rect">
                      <a:avLst/>
                    </a:prstGeom>
                    <a:noFill/>
                  </pic:spPr>
                </pic:pic>
              </a:graphicData>
            </a:graphic>
          </wp:anchor>
        </w:drawing>
      </w:r>
    </w:p>
    <w:p>
      <w:pPr>
        <w:sectPr>
          <w:pgSz w:w="11900" w:h="16838" w:orient="portrait"/>
          <w:cols w:equalWidth="0" w:num="1">
            <w:col w:w="11200"/>
          </w:cols>
          <w:pgMar w:left="340" w:top="17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43"/>
          <w:szCs w:val="43"/>
          <w:color w:val="009ADA"/>
        </w:rPr>
        <w:t>David Schneider</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b w:val="1"/>
          <w:bCs w:val="1"/>
          <w:color w:val="2B338D"/>
        </w:rPr>
        <w:t>Age | 53</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2B338D"/>
        </w:rPr>
        <w:t>Director Since |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434975</wp:posOffset>
            </wp:positionV>
            <wp:extent cx="228028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20"/>
        <w:spacing w:after="0" w:line="344" w:lineRule="auto"/>
        <w:rPr>
          <w:sz w:val="20"/>
          <w:szCs w:val="20"/>
          <w:color w:val="auto"/>
        </w:rPr>
      </w:pPr>
      <w:r>
        <w:rPr>
          <w:rFonts w:ascii="Arial" w:cs="Arial" w:eastAsia="Arial" w:hAnsi="Arial"/>
          <w:sz w:val="16"/>
          <w:szCs w:val="16"/>
          <w:b w:val="1"/>
          <w:bCs w:val="1"/>
          <w:i w:val="1"/>
          <w:iCs w:val="1"/>
          <w:color w:val="auto"/>
        </w:rPr>
        <w:t>We believe Mr. Schneider is qualified to serve on our board of directors because of his knowledge and experience in operations and management at various technology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43"/>
          <w:szCs w:val="43"/>
          <w:color w:val="009ADA"/>
        </w:rPr>
        <w:t>Jagtar (Jay)</w:t>
      </w:r>
    </w:p>
    <w:p>
      <w:pPr>
        <w:spacing w:after="0" w:line="21" w:lineRule="exact"/>
        <w:rPr>
          <w:sz w:val="20"/>
          <w:szCs w:val="20"/>
          <w:color w:val="auto"/>
        </w:rPr>
      </w:pPr>
    </w:p>
    <w:p>
      <w:pPr>
        <w:spacing w:after="0"/>
        <w:rPr>
          <w:sz w:val="20"/>
          <w:szCs w:val="20"/>
          <w:color w:val="auto"/>
        </w:rPr>
      </w:pPr>
      <w:r>
        <w:rPr>
          <w:rFonts w:ascii="Arial" w:cs="Arial" w:eastAsia="Arial" w:hAnsi="Arial"/>
          <w:sz w:val="43"/>
          <w:szCs w:val="43"/>
          <w:color w:val="009ADA"/>
        </w:rPr>
        <w:t>Chaudhry</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color w:val="2B338D"/>
        </w:rPr>
        <w:t>Age | 63</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2B338D"/>
        </w:rPr>
        <w:t>Director Since |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109220</wp:posOffset>
            </wp:positionV>
            <wp:extent cx="228028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336" w:lineRule="exact"/>
        <w:rPr>
          <w:sz w:val="20"/>
          <w:szCs w:val="20"/>
          <w:color w:val="auto"/>
        </w:rPr>
      </w:pPr>
    </w:p>
    <w:p>
      <w:pPr>
        <w:spacing w:after="0" w:line="340" w:lineRule="auto"/>
        <w:rPr>
          <w:sz w:val="20"/>
          <w:szCs w:val="20"/>
          <w:color w:val="auto"/>
        </w:rPr>
      </w:pPr>
      <w:r>
        <w:rPr>
          <w:rFonts w:ascii="Arial" w:cs="Arial" w:eastAsia="Arial" w:hAnsi="Arial"/>
          <w:sz w:val="16"/>
          <w:szCs w:val="16"/>
          <w:b w:val="1"/>
          <w:bCs w:val="1"/>
          <w:i w:val="1"/>
          <w:iCs w:val="1"/>
          <w:color w:val="auto"/>
        </w:rPr>
        <w:t>We believe Mr. Chaudhry is qualified to serve as a member of our board of directors because he is a security industry pioneer and an accomplished entrepreneur, having founded and built several companies, and based on the perspective, operational insight and expertise he has accumulated as our co-founder and our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710565</wp:posOffset>
            </wp:positionV>
            <wp:extent cx="342900" cy="21463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42900" cy="2146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right="120"/>
        <w:spacing w:after="0" w:line="335" w:lineRule="auto"/>
        <w:rPr>
          <w:sz w:val="20"/>
          <w:szCs w:val="20"/>
          <w:color w:val="auto"/>
        </w:rPr>
      </w:pPr>
      <w:r>
        <w:rPr>
          <w:rFonts w:ascii="Arial" w:cs="Arial" w:eastAsia="Arial" w:hAnsi="Arial"/>
          <w:sz w:val="16"/>
          <w:szCs w:val="16"/>
          <w:color w:val="auto"/>
        </w:rPr>
        <w:t>David Schneider has served as General Partner of Coatue Management, an investment firm focusing on technology companies, since February 2021. Mr. Schneider previously served as president, emeritus of ServiceNow, Inc., a cloud computing company, from July 2020 to December 2021, as president, global customer operations from January 2019 to July 2020, as chief revenue officer from June 2014 to January 2019 and as senior vice president of worldwide sales and services from June 2011 to May 2014. From July 2009 to March 2011, Mr. Schneider served as senior vice president of worldwide sales of the backup recovery systems division of EMC Corporation, a computer storage company acquired by Dell Technologies Inc. From January 2004 to July 2009, Mr. Schneider held senior positions at Data Domain, Inc., a data archiving and deduplication company acquired by EMC, most recently as Senior Vice President of Worldwide Sales. Mr. Schneider holds a B.A. in political science from the University of California, Irvine.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1042670</wp:posOffset>
            </wp:positionV>
            <wp:extent cx="8890" cy="2802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890" cy="2802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right="160"/>
        <w:spacing w:after="0" w:line="338" w:lineRule="auto"/>
        <w:rPr>
          <w:sz w:val="20"/>
          <w:szCs w:val="20"/>
          <w:color w:val="auto"/>
        </w:rPr>
      </w:pPr>
      <w:r>
        <w:rPr>
          <w:rFonts w:ascii="Arial" w:cs="Arial" w:eastAsia="Arial" w:hAnsi="Arial"/>
          <w:sz w:val="16"/>
          <w:szCs w:val="16"/>
          <w:color w:val="auto"/>
        </w:rPr>
        <w:t>Jay Chaudhry is our co-founder and has served as our President, Chief Executive Officer and as Chairman of our board of directors since September 2007. Mr. Chaudhry holds an M.B.A. and an M.S. in electrical engineering and industrial engineering from the University of Cincinnati and a B. Tech in electronics engineering from the Indian Institute of Technology (Banaras Hindu University) Varanasi</w:t>
      </w:r>
    </w:p>
    <w:p>
      <w:pPr>
        <w:spacing w:after="0" w:line="2954" w:lineRule="exact"/>
        <w:rPr>
          <w:sz w:val="20"/>
          <w:szCs w:val="20"/>
          <w:color w:val="auto"/>
        </w:rPr>
      </w:pPr>
    </w:p>
    <w:p>
      <w:pPr>
        <w:sectPr>
          <w:pgSz w:w="11900" w:h="16838" w:orient="portrait"/>
          <w:cols w:equalWidth="0" w:num="2">
            <w:col w:w="3520" w:space="540"/>
            <w:col w:w="7140"/>
          </w:cols>
          <w:pgMar w:left="340" w:top="172"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520"/>
        <w:spacing w:after="0"/>
        <w:tabs>
          <w:tab w:leader="none" w:pos="9760" w:val="left"/>
        </w:tabs>
        <w:rPr>
          <w:sz w:val="20"/>
          <w:szCs w:val="20"/>
          <w:color w:val="auto"/>
        </w:rPr>
      </w:pPr>
      <w:r>
        <w:rPr>
          <w:rFonts w:ascii="Arial" w:cs="Arial" w:eastAsia="Arial" w:hAnsi="Arial"/>
          <w:sz w:val="29"/>
          <w:szCs w:val="29"/>
          <w:color w:val="auto"/>
          <w:vertAlign w:val="superscript"/>
        </w:rPr>
        <w:t>17</w:t>
      </w:r>
      <w:r>
        <w:rPr>
          <w:sz w:val="20"/>
          <w:szCs w:val="20"/>
          <w:color w:val="auto"/>
        </w:rPr>
        <w:tab/>
      </w:r>
      <w:r>
        <w:rPr>
          <w:rFonts w:ascii="Arial" w:cs="Arial" w:eastAsia="Arial" w:hAnsi="Arial"/>
          <w:sz w:val="14"/>
          <w:szCs w:val="14"/>
          <w:color w:val="auto"/>
        </w:rPr>
        <w:t>2021 Proxy Statement</w:t>
      </w:r>
    </w:p>
    <w:p>
      <w:pPr>
        <w:sectPr>
          <w:pgSz w:w="11900" w:h="16838" w:orient="portrait"/>
          <w:cols w:equalWidth="0" w:num="1">
            <w:col w:w="11200"/>
          </w:cols>
          <w:pgMar w:left="340" w:top="172" w:right="359" w:bottom="1440" w:gutter="0" w:footer="0" w:header="0"/>
          <w:type w:val="continuous"/>
        </w:sectPr>
      </w:pPr>
    </w:p>
    <w:bookmarkStart w:id="21" w:name="page22"/>
    <w:bookmarkEnd w:id="21"/>
    <w:p>
      <w:pPr>
        <w:ind w:left="280"/>
        <w:spacing w:after="0"/>
        <w:rPr>
          <w:sz w:val="20"/>
          <w:szCs w:val="20"/>
          <w:color w:val="auto"/>
        </w:rPr>
      </w:pPr>
      <w:r>
        <w:rPr>
          <w:rFonts w:ascii="Arial" w:cs="Arial" w:eastAsia="Arial" w:hAnsi="Arial"/>
          <w:sz w:val="12"/>
          <w:szCs w:val="12"/>
          <w:b w:val="1"/>
          <w:bCs w:val="1"/>
          <w:color w:val="929292"/>
        </w:rPr>
        <w:t>BOARD OF 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7470" cy="596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7470" cy="59690"/>
                    </a:xfrm>
                    <a:prstGeom prst="rect">
                      <a:avLst/>
                    </a:prstGeom>
                    <a:noFill/>
                  </pic:spPr>
                </pic:pic>
              </a:graphicData>
            </a:graphic>
          </wp:anchor>
        </w:drawing>
        <w:drawing>
          <wp:anchor simplePos="0" relativeHeight="251657728" behindDoc="1" locked="0" layoutInCell="0" allowOverlap="1">
            <wp:simplePos x="0" y="0"/>
            <wp:positionH relativeFrom="column">
              <wp:posOffset>2422525</wp:posOffset>
            </wp:positionH>
            <wp:positionV relativeFrom="paragraph">
              <wp:posOffset>732155</wp:posOffset>
            </wp:positionV>
            <wp:extent cx="8255" cy="26314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255" cy="2631440"/>
                    </a:xfrm>
                    <a:prstGeom prst="rect">
                      <a:avLst/>
                    </a:prstGeom>
                    <a:noFill/>
                  </pic:spPr>
                </pic:pic>
              </a:graphicData>
            </a:graphic>
          </wp:anchor>
        </w:drawing>
      </w:r>
    </w:p>
    <w:p>
      <w:pPr>
        <w:sectPr>
          <w:pgSz w:w="11900" w:h="16838" w:orient="portrait"/>
          <w:cols w:equalWidth="0" w:num="1">
            <w:col w:w="11240"/>
          </w:cols>
          <w:pgMar w:left="320" w:top="17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0"/>
        <w:spacing w:after="0"/>
        <w:rPr>
          <w:sz w:val="20"/>
          <w:szCs w:val="20"/>
          <w:color w:val="auto"/>
        </w:rPr>
      </w:pPr>
      <w:r>
        <w:rPr>
          <w:rFonts w:ascii="Arial" w:cs="Arial" w:eastAsia="Arial" w:hAnsi="Arial"/>
          <w:sz w:val="43"/>
          <w:szCs w:val="43"/>
          <w:color w:val="009ADA"/>
        </w:rPr>
        <w:t>Amit</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43"/>
          <w:szCs w:val="43"/>
          <w:color w:val="009ADA"/>
        </w:rPr>
        <w:t>Sinha, Ph.D.</w:t>
      </w:r>
    </w:p>
    <w:p>
      <w:pPr>
        <w:spacing w:after="0" w:line="12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2B338D"/>
        </w:rPr>
        <w:t>Age | 45</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2B338D"/>
        </w:rPr>
        <w:t>Director Since |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227139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pacing w:after="0" w:line="336" w:lineRule="exact"/>
        <w:rPr>
          <w:sz w:val="20"/>
          <w:szCs w:val="20"/>
          <w:color w:val="auto"/>
        </w:rPr>
      </w:pPr>
    </w:p>
    <w:p>
      <w:pPr>
        <w:ind w:left="20"/>
        <w:spacing w:after="0" w:line="340" w:lineRule="auto"/>
        <w:rPr>
          <w:sz w:val="20"/>
          <w:szCs w:val="20"/>
          <w:color w:val="auto"/>
        </w:rPr>
      </w:pPr>
      <w:r>
        <w:rPr>
          <w:rFonts w:ascii="Arial" w:cs="Arial" w:eastAsia="Arial" w:hAnsi="Arial"/>
          <w:sz w:val="16"/>
          <w:szCs w:val="16"/>
          <w:b w:val="1"/>
          <w:bCs w:val="1"/>
          <w:i w:val="1"/>
          <w:iCs w:val="1"/>
          <w:color w:val="auto"/>
        </w:rPr>
        <w:t>We believe Dr. Sinha is qualified to serve as a member of our board of directors because he has more than 15 years of experience as an architect and technical manager in the networking and security industries and because of the operational insight and expertise he has accumulated as our Chief Technology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right="200"/>
        <w:spacing w:after="0" w:line="337" w:lineRule="auto"/>
        <w:rPr>
          <w:sz w:val="20"/>
          <w:szCs w:val="20"/>
          <w:color w:val="auto"/>
        </w:rPr>
      </w:pPr>
      <w:r>
        <w:rPr>
          <w:rFonts w:ascii="Arial" w:cs="Arial" w:eastAsia="Arial" w:hAnsi="Arial"/>
          <w:sz w:val="16"/>
          <w:szCs w:val="16"/>
          <w:color w:val="auto"/>
        </w:rPr>
        <w:t>Amit Sinha, Ph.D. has served as our President of Research and Development, Operations and Customer Service since July 2019 and as our Chief Technology Officer since December 2010. He previously served as our Executive Vice President of Engineering and Cloud Operations from October 2013 to July 2019. Dr. Sinha holds a Ph.D. and an M.S. in electrical engineering and computer science from the Massachusetts Institute of Technology, and a B. Tech in electrical engineering from the Indian Institute of Technology, Delhi.</w:t>
      </w:r>
    </w:p>
    <w:p>
      <w:pPr>
        <w:spacing w:after="0" w:line="2699" w:lineRule="exact"/>
        <w:rPr>
          <w:sz w:val="20"/>
          <w:szCs w:val="20"/>
          <w:color w:val="auto"/>
        </w:rPr>
      </w:pPr>
    </w:p>
    <w:p>
      <w:pPr>
        <w:sectPr>
          <w:pgSz w:w="11900" w:h="16838" w:orient="portrait"/>
          <w:cols w:equalWidth="0" w:num="2">
            <w:col w:w="3520" w:space="540"/>
            <w:col w:w="7180"/>
          </w:cols>
          <w:pgMar w:left="320" w:top="172" w:right="339" w:bottom="1440" w:gutter="0" w:footer="0" w:header="0"/>
          <w:type w:val="continuous"/>
        </w:sect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009ADA"/>
        </w:rPr>
        <w:t>Diversity Board Matrix (as of November 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4546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454660"/>
                    </a:xfrm>
                    <a:prstGeom prst="rect">
                      <a:avLst/>
                    </a:prstGeom>
                    <a:noFill/>
                  </pic:spPr>
                </pic:pic>
              </a:graphicData>
            </a:graphic>
          </wp:anchor>
        </w:drawing>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385"/>
        </w:trPr>
        <w:tc>
          <w:tcPr>
            <w:tcW w:w="5800" w:type="dxa"/>
            <w:vAlign w:val="bottom"/>
            <w:tcBorders>
              <w:bottom w:val="single" w:sz="8" w:color="auto"/>
            </w:tcBorders>
            <w:shd w:val="clear" w:color="auto" w:fill="000000"/>
          </w:tcPr>
          <w:p>
            <w:pPr>
              <w:ind w:left="100"/>
              <w:spacing w:after="0"/>
              <w:rPr>
                <w:sz w:val="20"/>
                <w:szCs w:val="20"/>
                <w:color w:val="auto"/>
              </w:rPr>
            </w:pPr>
            <w:r>
              <w:rPr>
                <w:rFonts w:ascii="Arial" w:cs="Arial" w:eastAsia="Arial" w:hAnsi="Arial"/>
                <w:sz w:val="22"/>
                <w:szCs w:val="22"/>
                <w:b w:val="1"/>
                <w:bCs w:val="1"/>
                <w:color w:val="FFFFFF"/>
              </w:rPr>
              <w:t>Total number of Directors</w:t>
            </w:r>
          </w:p>
        </w:tc>
        <w:tc>
          <w:tcPr>
            <w:tcW w:w="980" w:type="dxa"/>
            <w:vAlign w:val="bottom"/>
            <w:tcBorders>
              <w:bottom w:val="single" w:sz="8" w:color="auto"/>
            </w:tcBorders>
            <w:shd w:val="clear" w:color="auto" w:fill="000000"/>
          </w:tcPr>
          <w:p>
            <w:pPr>
              <w:spacing w:after="0"/>
              <w:rPr>
                <w:sz w:val="24"/>
                <w:szCs w:val="24"/>
                <w:color w:val="auto"/>
              </w:rPr>
            </w:pPr>
          </w:p>
        </w:tc>
        <w:tc>
          <w:tcPr>
            <w:tcW w:w="1260" w:type="dxa"/>
            <w:vAlign w:val="bottom"/>
            <w:tcBorders>
              <w:bottom w:val="single" w:sz="8" w:color="auto"/>
            </w:tcBorders>
            <w:shd w:val="clear" w:color="auto" w:fill="000000"/>
          </w:tcPr>
          <w:p>
            <w:pPr>
              <w:spacing w:after="0"/>
              <w:rPr>
                <w:sz w:val="24"/>
                <w:szCs w:val="24"/>
                <w:color w:val="auto"/>
              </w:rPr>
            </w:pPr>
          </w:p>
        </w:tc>
        <w:tc>
          <w:tcPr>
            <w:tcW w:w="1600" w:type="dxa"/>
            <w:vAlign w:val="bottom"/>
            <w:tcBorders>
              <w:bottom w:val="single" w:sz="8" w:color="auto"/>
            </w:tcBorders>
            <w:shd w:val="clear" w:color="auto" w:fill="000000"/>
          </w:tcPr>
          <w:p>
            <w:pPr>
              <w:jc w:val="right"/>
              <w:ind w:right="1183"/>
              <w:spacing w:after="0"/>
              <w:rPr>
                <w:sz w:val="20"/>
                <w:szCs w:val="20"/>
                <w:color w:val="auto"/>
              </w:rPr>
            </w:pPr>
            <w:r>
              <w:rPr>
                <w:rFonts w:ascii="Arial" w:cs="Arial" w:eastAsia="Arial" w:hAnsi="Arial"/>
                <w:sz w:val="25"/>
                <w:szCs w:val="25"/>
                <w:b w:val="1"/>
                <w:bCs w:val="1"/>
                <w:color w:val="FFFFFF"/>
              </w:rPr>
              <w:t>8</w:t>
            </w:r>
          </w:p>
        </w:tc>
        <w:tc>
          <w:tcPr>
            <w:tcW w:w="1600" w:type="dxa"/>
            <w:vAlign w:val="bottom"/>
            <w:tcBorders>
              <w:bottom w:val="single" w:sz="8" w:color="auto"/>
            </w:tcBorders>
            <w:shd w:val="clear" w:color="auto" w:fill="000000"/>
          </w:tcPr>
          <w:p>
            <w:pPr>
              <w:spacing w:after="0"/>
              <w:rPr>
                <w:sz w:val="24"/>
                <w:szCs w:val="24"/>
                <w:color w:val="auto"/>
              </w:rPr>
            </w:pPr>
          </w:p>
        </w:tc>
      </w:tr>
      <w:tr>
        <w:trPr>
          <w:trHeight w:val="237"/>
        </w:trPr>
        <w:tc>
          <w:tcPr>
            <w:tcW w:w="5800" w:type="dxa"/>
            <w:vAlign w:val="bottom"/>
            <w:shd w:val="clear" w:color="auto" w:fill="2B338D"/>
          </w:tcPr>
          <w:p>
            <w:pPr>
              <w:ind w:left="100"/>
              <w:spacing w:after="0"/>
              <w:rPr>
                <w:sz w:val="20"/>
                <w:szCs w:val="20"/>
                <w:color w:val="auto"/>
              </w:rPr>
            </w:pPr>
            <w:r>
              <w:rPr>
                <w:rFonts w:ascii="Arial" w:cs="Arial" w:eastAsia="Arial" w:hAnsi="Arial"/>
                <w:sz w:val="16"/>
                <w:szCs w:val="16"/>
                <w:b w:val="1"/>
                <w:bCs w:val="1"/>
                <w:color w:val="FFFFFF"/>
              </w:rPr>
              <w:t>Gender Identity</w:t>
            </w:r>
          </w:p>
        </w:tc>
        <w:tc>
          <w:tcPr>
            <w:tcW w:w="980" w:type="dxa"/>
            <w:vAlign w:val="bottom"/>
            <w:shd w:val="clear" w:color="auto" w:fill="2B338D"/>
          </w:tcPr>
          <w:p>
            <w:pPr>
              <w:ind w:left="120"/>
              <w:spacing w:after="0"/>
              <w:rPr>
                <w:sz w:val="20"/>
                <w:szCs w:val="20"/>
                <w:color w:val="auto"/>
              </w:rPr>
            </w:pPr>
            <w:r>
              <w:rPr>
                <w:rFonts w:ascii="Arial" w:cs="Arial" w:eastAsia="Arial" w:hAnsi="Arial"/>
                <w:sz w:val="16"/>
                <w:szCs w:val="16"/>
                <w:b w:val="1"/>
                <w:bCs w:val="1"/>
                <w:color w:val="FFFFFF"/>
              </w:rPr>
              <w:t>Male</w:t>
            </w:r>
          </w:p>
        </w:tc>
        <w:tc>
          <w:tcPr>
            <w:tcW w:w="1260" w:type="dxa"/>
            <w:vAlign w:val="bottom"/>
            <w:shd w:val="clear" w:color="auto" w:fill="2B338D"/>
          </w:tcPr>
          <w:p>
            <w:pPr>
              <w:ind w:left="500"/>
              <w:spacing w:after="0"/>
              <w:rPr>
                <w:sz w:val="20"/>
                <w:szCs w:val="20"/>
                <w:color w:val="auto"/>
              </w:rPr>
            </w:pPr>
            <w:r>
              <w:rPr>
                <w:rFonts w:ascii="Arial" w:cs="Arial" w:eastAsia="Arial" w:hAnsi="Arial"/>
                <w:sz w:val="16"/>
                <w:szCs w:val="16"/>
                <w:b w:val="1"/>
                <w:bCs w:val="1"/>
                <w:color w:val="FFFFFF"/>
              </w:rPr>
              <w:t>Female</w:t>
            </w:r>
          </w:p>
        </w:tc>
        <w:tc>
          <w:tcPr>
            <w:tcW w:w="1600" w:type="dxa"/>
            <w:vAlign w:val="bottom"/>
            <w:shd w:val="clear" w:color="auto" w:fill="2B338D"/>
          </w:tcPr>
          <w:p>
            <w:pPr>
              <w:jc w:val="right"/>
              <w:ind w:right="83"/>
              <w:spacing w:after="0"/>
              <w:rPr>
                <w:sz w:val="20"/>
                <w:szCs w:val="20"/>
                <w:color w:val="auto"/>
              </w:rPr>
            </w:pPr>
            <w:r>
              <w:rPr>
                <w:rFonts w:ascii="Arial" w:cs="Arial" w:eastAsia="Arial" w:hAnsi="Arial"/>
                <w:sz w:val="16"/>
                <w:szCs w:val="16"/>
                <w:b w:val="1"/>
                <w:bCs w:val="1"/>
                <w:color w:val="FFFFFF"/>
              </w:rPr>
              <w:t>Non-Binary</w:t>
            </w:r>
          </w:p>
        </w:tc>
        <w:tc>
          <w:tcPr>
            <w:tcW w:w="1600" w:type="dxa"/>
            <w:vAlign w:val="bottom"/>
            <w:shd w:val="clear" w:color="auto" w:fill="2B338D"/>
          </w:tcPr>
          <w:p>
            <w:pPr>
              <w:jc w:val="center"/>
              <w:ind w:left="87"/>
              <w:spacing w:after="0"/>
              <w:rPr>
                <w:sz w:val="20"/>
                <w:szCs w:val="20"/>
                <w:color w:val="auto"/>
              </w:rPr>
            </w:pPr>
            <w:r>
              <w:rPr>
                <w:rFonts w:ascii="Arial" w:cs="Arial" w:eastAsia="Arial" w:hAnsi="Arial"/>
                <w:sz w:val="16"/>
                <w:szCs w:val="16"/>
                <w:b w:val="1"/>
                <w:bCs w:val="1"/>
                <w:color w:val="FFFFFF"/>
              </w:rPr>
              <w:t>Not Disclosed</w:t>
            </w:r>
          </w:p>
        </w:tc>
      </w:tr>
      <w:tr>
        <w:trPr>
          <w:trHeight w:val="74"/>
        </w:trPr>
        <w:tc>
          <w:tcPr>
            <w:tcW w:w="5800" w:type="dxa"/>
            <w:vAlign w:val="bottom"/>
            <w:shd w:val="clear" w:color="auto" w:fill="2B338D"/>
          </w:tcPr>
          <w:p>
            <w:pPr>
              <w:spacing w:after="0"/>
              <w:rPr>
                <w:sz w:val="6"/>
                <w:szCs w:val="6"/>
                <w:color w:val="auto"/>
              </w:rPr>
            </w:pPr>
          </w:p>
        </w:tc>
        <w:tc>
          <w:tcPr>
            <w:tcW w:w="980" w:type="dxa"/>
            <w:vAlign w:val="bottom"/>
            <w:shd w:val="clear" w:color="auto" w:fill="2B338D"/>
          </w:tcPr>
          <w:p>
            <w:pPr>
              <w:spacing w:after="0"/>
              <w:rPr>
                <w:sz w:val="6"/>
                <w:szCs w:val="6"/>
                <w:color w:val="auto"/>
              </w:rPr>
            </w:pPr>
          </w:p>
        </w:tc>
        <w:tc>
          <w:tcPr>
            <w:tcW w:w="1260" w:type="dxa"/>
            <w:vAlign w:val="bottom"/>
            <w:shd w:val="clear" w:color="auto" w:fill="2B338D"/>
          </w:tcPr>
          <w:p>
            <w:pPr>
              <w:spacing w:after="0"/>
              <w:rPr>
                <w:sz w:val="6"/>
                <w:szCs w:val="6"/>
                <w:color w:val="auto"/>
              </w:rPr>
            </w:pPr>
          </w:p>
        </w:tc>
        <w:tc>
          <w:tcPr>
            <w:tcW w:w="1600" w:type="dxa"/>
            <w:vAlign w:val="bottom"/>
            <w:shd w:val="clear" w:color="auto" w:fill="2B338D"/>
          </w:tcPr>
          <w:p>
            <w:pPr>
              <w:spacing w:after="0"/>
              <w:rPr>
                <w:sz w:val="6"/>
                <w:szCs w:val="6"/>
                <w:color w:val="auto"/>
              </w:rPr>
            </w:pPr>
          </w:p>
        </w:tc>
        <w:tc>
          <w:tcPr>
            <w:tcW w:w="1600" w:type="dxa"/>
            <w:vAlign w:val="bottom"/>
            <w:shd w:val="clear" w:color="auto" w:fill="2B338D"/>
          </w:tcPr>
          <w:p>
            <w:pPr>
              <w:spacing w:after="0"/>
              <w:rPr>
                <w:sz w:val="6"/>
                <w:szCs w:val="6"/>
                <w:color w:val="auto"/>
              </w:rPr>
            </w:pPr>
          </w:p>
        </w:tc>
      </w:tr>
      <w:tr>
        <w:trPr>
          <w:trHeight w:val="231"/>
        </w:trPr>
        <w:tc>
          <w:tcPr>
            <w:tcW w:w="5800" w:type="dxa"/>
            <w:vAlign w:val="bottom"/>
          </w:tcPr>
          <w:p>
            <w:pPr>
              <w:ind w:left="100"/>
              <w:spacing w:after="0"/>
              <w:rPr>
                <w:sz w:val="20"/>
                <w:szCs w:val="20"/>
                <w:color w:val="auto"/>
              </w:rPr>
            </w:pPr>
            <w:r>
              <w:rPr>
                <w:rFonts w:ascii="Arial" w:cs="Arial" w:eastAsia="Arial" w:hAnsi="Arial"/>
                <w:sz w:val="14"/>
                <w:szCs w:val="14"/>
                <w:b w:val="1"/>
                <w:bCs w:val="1"/>
                <w:color w:val="auto"/>
              </w:rPr>
              <w:t>Number of Directors based on Gender Identity</w:t>
            </w:r>
          </w:p>
        </w:tc>
        <w:tc>
          <w:tcPr>
            <w:tcW w:w="980" w:type="dxa"/>
            <w:vAlign w:val="bottom"/>
          </w:tcPr>
          <w:p>
            <w:pPr>
              <w:jc w:val="center"/>
              <w:ind w:right="347"/>
              <w:spacing w:after="0"/>
              <w:rPr>
                <w:sz w:val="20"/>
                <w:szCs w:val="20"/>
                <w:color w:val="auto"/>
              </w:rPr>
            </w:pPr>
            <w:r>
              <w:rPr>
                <w:rFonts w:ascii="Arial" w:cs="Arial" w:eastAsia="Arial" w:hAnsi="Arial"/>
                <w:sz w:val="14"/>
                <w:szCs w:val="14"/>
                <w:color w:val="auto"/>
              </w:rPr>
              <w:t>6</w:t>
            </w:r>
          </w:p>
        </w:tc>
        <w:tc>
          <w:tcPr>
            <w:tcW w:w="1260" w:type="dxa"/>
            <w:vAlign w:val="bottom"/>
          </w:tcPr>
          <w:p>
            <w:pPr>
              <w:jc w:val="center"/>
              <w:ind w:left="227"/>
              <w:spacing w:after="0"/>
              <w:rPr>
                <w:sz w:val="20"/>
                <w:szCs w:val="20"/>
                <w:color w:val="auto"/>
              </w:rPr>
            </w:pPr>
            <w:r>
              <w:rPr>
                <w:rFonts w:ascii="Arial" w:cs="Arial" w:eastAsia="Arial" w:hAnsi="Arial"/>
                <w:sz w:val="14"/>
                <w:szCs w:val="14"/>
                <w:color w:val="auto"/>
              </w:rPr>
              <w:t>2</w:t>
            </w:r>
          </w:p>
        </w:tc>
        <w:tc>
          <w:tcPr>
            <w:tcW w:w="1600" w:type="dxa"/>
            <w:vAlign w:val="bottom"/>
          </w:tcPr>
          <w:p>
            <w:pPr>
              <w:jc w:val="center"/>
              <w:ind w:left="323"/>
              <w:spacing w:after="0"/>
              <w:rPr>
                <w:sz w:val="20"/>
                <w:szCs w:val="20"/>
                <w:color w:val="auto"/>
              </w:rPr>
            </w:pPr>
            <w:r>
              <w:rPr>
                <w:rFonts w:ascii="Arial" w:cs="Arial" w:eastAsia="Arial" w:hAnsi="Arial"/>
                <w:sz w:val="14"/>
                <w:szCs w:val="14"/>
                <w:color w:val="auto"/>
              </w:rPr>
              <w:t>0</w:t>
            </w:r>
          </w:p>
        </w:tc>
        <w:tc>
          <w:tcPr>
            <w:tcW w:w="1600" w:type="dxa"/>
            <w:vAlign w:val="bottom"/>
          </w:tcPr>
          <w:p>
            <w:pPr>
              <w:jc w:val="center"/>
              <w:ind w:left="47"/>
              <w:spacing w:after="0"/>
              <w:rPr>
                <w:sz w:val="20"/>
                <w:szCs w:val="20"/>
                <w:color w:val="auto"/>
              </w:rPr>
            </w:pPr>
            <w:r>
              <w:rPr>
                <w:rFonts w:ascii="Arial" w:cs="Arial" w:eastAsia="Arial" w:hAnsi="Arial"/>
                <w:sz w:val="14"/>
                <w:szCs w:val="14"/>
                <w:color w:val="auto"/>
              </w:rPr>
              <w:t>0</w:t>
            </w:r>
          </w:p>
        </w:tc>
      </w:tr>
      <w:tr>
        <w:trPr>
          <w:trHeight w:val="53"/>
        </w:trPr>
        <w:tc>
          <w:tcPr>
            <w:tcW w:w="58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600" w:type="dxa"/>
            <w:vAlign w:val="bottom"/>
          </w:tcPr>
          <w:p>
            <w:pPr>
              <w:spacing w:after="0"/>
              <w:rPr>
                <w:sz w:val="4"/>
                <w:szCs w:val="4"/>
                <w:color w:val="auto"/>
              </w:rPr>
            </w:pPr>
          </w:p>
        </w:tc>
      </w:tr>
      <w:tr>
        <w:trPr>
          <w:trHeight w:val="223"/>
        </w:trPr>
        <w:tc>
          <w:tcPr>
            <w:tcW w:w="5800" w:type="dxa"/>
            <w:vAlign w:val="bottom"/>
            <w:shd w:val="clear" w:color="auto" w:fill="009ADA"/>
          </w:tcPr>
          <w:p>
            <w:pPr>
              <w:ind w:left="100"/>
              <w:spacing w:after="0"/>
              <w:rPr>
                <w:sz w:val="20"/>
                <w:szCs w:val="20"/>
                <w:color w:val="auto"/>
              </w:rPr>
            </w:pPr>
            <w:r>
              <w:rPr>
                <w:rFonts w:ascii="Arial" w:cs="Arial" w:eastAsia="Arial" w:hAnsi="Arial"/>
                <w:sz w:val="16"/>
                <w:szCs w:val="16"/>
                <w:b w:val="1"/>
                <w:bCs w:val="1"/>
                <w:color w:val="FFFFFF"/>
              </w:rPr>
              <w:t>Number of Directors who identify in any categories below:</w:t>
            </w:r>
          </w:p>
        </w:tc>
        <w:tc>
          <w:tcPr>
            <w:tcW w:w="980" w:type="dxa"/>
            <w:vAlign w:val="bottom"/>
            <w:shd w:val="clear" w:color="auto" w:fill="009ADA"/>
          </w:tcPr>
          <w:p>
            <w:pPr>
              <w:spacing w:after="0"/>
              <w:rPr>
                <w:sz w:val="19"/>
                <w:szCs w:val="19"/>
                <w:color w:val="auto"/>
              </w:rPr>
            </w:pPr>
          </w:p>
        </w:tc>
        <w:tc>
          <w:tcPr>
            <w:tcW w:w="1260" w:type="dxa"/>
            <w:vAlign w:val="bottom"/>
            <w:shd w:val="clear" w:color="auto" w:fill="009ADA"/>
          </w:tcPr>
          <w:p>
            <w:pPr>
              <w:spacing w:after="0"/>
              <w:rPr>
                <w:sz w:val="19"/>
                <w:szCs w:val="19"/>
                <w:color w:val="auto"/>
              </w:rPr>
            </w:pPr>
          </w:p>
        </w:tc>
        <w:tc>
          <w:tcPr>
            <w:tcW w:w="1600" w:type="dxa"/>
            <w:vAlign w:val="bottom"/>
            <w:shd w:val="clear" w:color="auto" w:fill="009ADA"/>
          </w:tcPr>
          <w:p>
            <w:pPr>
              <w:spacing w:after="0"/>
              <w:rPr>
                <w:sz w:val="19"/>
                <w:szCs w:val="19"/>
                <w:color w:val="auto"/>
              </w:rPr>
            </w:pPr>
          </w:p>
        </w:tc>
        <w:tc>
          <w:tcPr>
            <w:tcW w:w="1600" w:type="dxa"/>
            <w:vAlign w:val="bottom"/>
            <w:shd w:val="clear" w:color="auto" w:fill="009ADA"/>
          </w:tcPr>
          <w:p>
            <w:pPr>
              <w:spacing w:after="0"/>
              <w:rPr>
                <w:sz w:val="19"/>
                <w:szCs w:val="19"/>
                <w:color w:val="auto"/>
              </w:rPr>
            </w:pPr>
          </w:p>
        </w:tc>
      </w:tr>
      <w:tr>
        <w:trPr>
          <w:trHeight w:val="74"/>
        </w:trPr>
        <w:tc>
          <w:tcPr>
            <w:tcW w:w="5800" w:type="dxa"/>
            <w:vAlign w:val="bottom"/>
            <w:shd w:val="clear" w:color="auto" w:fill="009ADA"/>
          </w:tcPr>
          <w:p>
            <w:pPr>
              <w:spacing w:after="0"/>
              <w:rPr>
                <w:sz w:val="6"/>
                <w:szCs w:val="6"/>
                <w:color w:val="auto"/>
              </w:rPr>
            </w:pPr>
          </w:p>
        </w:tc>
        <w:tc>
          <w:tcPr>
            <w:tcW w:w="980" w:type="dxa"/>
            <w:vAlign w:val="bottom"/>
            <w:shd w:val="clear" w:color="auto" w:fill="009ADA"/>
          </w:tcPr>
          <w:p>
            <w:pPr>
              <w:spacing w:after="0"/>
              <w:rPr>
                <w:sz w:val="6"/>
                <w:szCs w:val="6"/>
                <w:color w:val="auto"/>
              </w:rPr>
            </w:pPr>
          </w:p>
        </w:tc>
        <w:tc>
          <w:tcPr>
            <w:tcW w:w="1260" w:type="dxa"/>
            <w:vAlign w:val="bottom"/>
            <w:shd w:val="clear" w:color="auto" w:fill="009ADA"/>
          </w:tcPr>
          <w:p>
            <w:pPr>
              <w:spacing w:after="0"/>
              <w:rPr>
                <w:sz w:val="6"/>
                <w:szCs w:val="6"/>
                <w:color w:val="auto"/>
              </w:rPr>
            </w:pPr>
          </w:p>
        </w:tc>
        <w:tc>
          <w:tcPr>
            <w:tcW w:w="1600" w:type="dxa"/>
            <w:vAlign w:val="bottom"/>
            <w:shd w:val="clear" w:color="auto" w:fill="009ADA"/>
          </w:tcPr>
          <w:p>
            <w:pPr>
              <w:spacing w:after="0"/>
              <w:rPr>
                <w:sz w:val="6"/>
                <w:szCs w:val="6"/>
                <w:color w:val="auto"/>
              </w:rPr>
            </w:pPr>
          </w:p>
        </w:tc>
        <w:tc>
          <w:tcPr>
            <w:tcW w:w="1600" w:type="dxa"/>
            <w:vAlign w:val="bottom"/>
            <w:shd w:val="clear" w:color="auto" w:fill="009ADA"/>
          </w:tcPr>
          <w:p>
            <w:pPr>
              <w:spacing w:after="0"/>
              <w:rPr>
                <w:sz w:val="6"/>
                <w:szCs w:val="6"/>
                <w:color w:val="auto"/>
              </w:rPr>
            </w:pPr>
          </w:p>
        </w:tc>
      </w:tr>
      <w:tr>
        <w:trPr>
          <w:trHeight w:val="231"/>
        </w:trPr>
        <w:tc>
          <w:tcPr>
            <w:tcW w:w="5800" w:type="dxa"/>
            <w:vAlign w:val="bottom"/>
          </w:tcPr>
          <w:p>
            <w:pPr>
              <w:ind w:left="100"/>
              <w:spacing w:after="0"/>
              <w:rPr>
                <w:sz w:val="20"/>
                <w:szCs w:val="20"/>
                <w:color w:val="auto"/>
              </w:rPr>
            </w:pPr>
            <w:r>
              <w:rPr>
                <w:rFonts w:ascii="Arial" w:cs="Arial" w:eastAsia="Arial" w:hAnsi="Arial"/>
                <w:sz w:val="14"/>
                <w:szCs w:val="14"/>
                <w:b w:val="1"/>
                <w:bCs w:val="1"/>
                <w:color w:val="auto"/>
              </w:rPr>
              <w:t>African American or Black</w:t>
            </w:r>
          </w:p>
        </w:tc>
        <w:tc>
          <w:tcPr>
            <w:tcW w:w="980" w:type="dxa"/>
            <w:vAlign w:val="bottom"/>
          </w:tcPr>
          <w:p>
            <w:pPr>
              <w:jc w:val="center"/>
              <w:ind w:right="327"/>
              <w:spacing w:after="0"/>
              <w:rPr>
                <w:sz w:val="20"/>
                <w:szCs w:val="20"/>
                <w:color w:val="auto"/>
              </w:rPr>
            </w:pPr>
            <w:r>
              <w:rPr>
                <w:rFonts w:ascii="Arial" w:cs="Arial" w:eastAsia="Arial" w:hAnsi="Arial"/>
                <w:sz w:val="14"/>
                <w:szCs w:val="14"/>
                <w:color w:val="auto"/>
                <w:w w:val="99"/>
              </w:rPr>
              <w:t>—</w:t>
            </w:r>
          </w:p>
        </w:tc>
        <w:tc>
          <w:tcPr>
            <w:tcW w:w="1260" w:type="dxa"/>
            <w:vAlign w:val="bottom"/>
          </w:tcPr>
          <w:p>
            <w:pPr>
              <w:jc w:val="center"/>
              <w:ind w:left="227"/>
              <w:spacing w:after="0"/>
              <w:rPr>
                <w:sz w:val="20"/>
                <w:szCs w:val="20"/>
                <w:color w:val="auto"/>
              </w:rPr>
            </w:pPr>
            <w:r>
              <w:rPr>
                <w:rFonts w:ascii="Arial" w:cs="Arial" w:eastAsia="Arial" w:hAnsi="Arial"/>
                <w:sz w:val="14"/>
                <w:szCs w:val="14"/>
                <w:color w:val="auto"/>
              </w:rPr>
              <w:t>—</w:t>
            </w:r>
          </w:p>
        </w:tc>
        <w:tc>
          <w:tcPr>
            <w:tcW w:w="1600" w:type="dxa"/>
            <w:vAlign w:val="bottom"/>
          </w:tcPr>
          <w:p>
            <w:pPr>
              <w:jc w:val="center"/>
              <w:ind w:left="303"/>
              <w:spacing w:after="0"/>
              <w:rPr>
                <w:sz w:val="20"/>
                <w:szCs w:val="20"/>
                <w:color w:val="auto"/>
              </w:rPr>
            </w:pPr>
            <w:r>
              <w:rPr>
                <w:rFonts w:ascii="Arial" w:cs="Arial" w:eastAsia="Arial" w:hAnsi="Arial"/>
                <w:sz w:val="14"/>
                <w:szCs w:val="14"/>
                <w:color w:val="auto"/>
                <w:w w:val="99"/>
              </w:rPr>
              <w:t>—</w:t>
            </w:r>
          </w:p>
        </w:tc>
        <w:tc>
          <w:tcPr>
            <w:tcW w:w="1600" w:type="dxa"/>
            <w:vAlign w:val="bottom"/>
          </w:tcPr>
          <w:p>
            <w:pPr>
              <w:jc w:val="center"/>
              <w:ind w:left="67"/>
              <w:spacing w:after="0"/>
              <w:rPr>
                <w:sz w:val="20"/>
                <w:szCs w:val="20"/>
                <w:color w:val="auto"/>
              </w:rPr>
            </w:pPr>
            <w:r>
              <w:rPr>
                <w:rFonts w:ascii="Arial" w:cs="Arial" w:eastAsia="Arial" w:hAnsi="Arial"/>
                <w:sz w:val="14"/>
                <w:szCs w:val="14"/>
                <w:color w:val="auto"/>
                <w:w w:val="99"/>
              </w:rPr>
              <w:t>—</w:t>
            </w:r>
          </w:p>
        </w:tc>
      </w:tr>
      <w:tr>
        <w:trPr>
          <w:trHeight w:val="53"/>
        </w:trPr>
        <w:tc>
          <w:tcPr>
            <w:tcW w:w="58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r>
      <w:tr>
        <w:trPr>
          <w:trHeight w:val="225"/>
        </w:trPr>
        <w:tc>
          <w:tcPr>
            <w:tcW w:w="5800" w:type="dxa"/>
            <w:vAlign w:val="bottom"/>
          </w:tcPr>
          <w:p>
            <w:pPr>
              <w:ind w:left="100"/>
              <w:spacing w:after="0"/>
              <w:rPr>
                <w:sz w:val="20"/>
                <w:szCs w:val="20"/>
                <w:color w:val="auto"/>
              </w:rPr>
            </w:pPr>
            <w:r>
              <w:rPr>
                <w:rFonts w:ascii="Arial" w:cs="Arial" w:eastAsia="Arial" w:hAnsi="Arial"/>
                <w:sz w:val="14"/>
                <w:szCs w:val="14"/>
                <w:b w:val="1"/>
                <w:bCs w:val="1"/>
                <w:color w:val="auto"/>
              </w:rPr>
              <w:t>Alaskan Native or American Indian</w:t>
            </w:r>
          </w:p>
        </w:tc>
        <w:tc>
          <w:tcPr>
            <w:tcW w:w="980" w:type="dxa"/>
            <w:vAlign w:val="bottom"/>
          </w:tcPr>
          <w:p>
            <w:pPr>
              <w:jc w:val="center"/>
              <w:ind w:right="327"/>
              <w:spacing w:after="0"/>
              <w:rPr>
                <w:sz w:val="20"/>
                <w:szCs w:val="20"/>
                <w:color w:val="auto"/>
              </w:rPr>
            </w:pPr>
            <w:r>
              <w:rPr>
                <w:rFonts w:ascii="Arial" w:cs="Arial" w:eastAsia="Arial" w:hAnsi="Arial"/>
                <w:sz w:val="14"/>
                <w:szCs w:val="14"/>
                <w:color w:val="auto"/>
                <w:w w:val="99"/>
              </w:rPr>
              <w:t>—</w:t>
            </w:r>
          </w:p>
        </w:tc>
        <w:tc>
          <w:tcPr>
            <w:tcW w:w="1260" w:type="dxa"/>
            <w:vAlign w:val="bottom"/>
          </w:tcPr>
          <w:p>
            <w:pPr>
              <w:jc w:val="center"/>
              <w:ind w:left="227"/>
              <w:spacing w:after="0"/>
              <w:rPr>
                <w:sz w:val="20"/>
                <w:szCs w:val="20"/>
                <w:color w:val="auto"/>
              </w:rPr>
            </w:pPr>
            <w:r>
              <w:rPr>
                <w:rFonts w:ascii="Arial" w:cs="Arial" w:eastAsia="Arial" w:hAnsi="Arial"/>
                <w:sz w:val="14"/>
                <w:szCs w:val="14"/>
                <w:color w:val="auto"/>
              </w:rPr>
              <w:t>—</w:t>
            </w:r>
          </w:p>
        </w:tc>
        <w:tc>
          <w:tcPr>
            <w:tcW w:w="1600" w:type="dxa"/>
            <w:vAlign w:val="bottom"/>
          </w:tcPr>
          <w:p>
            <w:pPr>
              <w:jc w:val="center"/>
              <w:ind w:left="303"/>
              <w:spacing w:after="0"/>
              <w:rPr>
                <w:sz w:val="20"/>
                <w:szCs w:val="20"/>
                <w:color w:val="auto"/>
              </w:rPr>
            </w:pPr>
            <w:r>
              <w:rPr>
                <w:rFonts w:ascii="Arial" w:cs="Arial" w:eastAsia="Arial" w:hAnsi="Arial"/>
                <w:sz w:val="14"/>
                <w:szCs w:val="14"/>
                <w:color w:val="auto"/>
                <w:w w:val="99"/>
              </w:rPr>
              <w:t>—</w:t>
            </w:r>
          </w:p>
        </w:tc>
        <w:tc>
          <w:tcPr>
            <w:tcW w:w="1600" w:type="dxa"/>
            <w:vAlign w:val="bottom"/>
          </w:tcPr>
          <w:p>
            <w:pPr>
              <w:jc w:val="center"/>
              <w:ind w:left="67"/>
              <w:spacing w:after="0"/>
              <w:rPr>
                <w:sz w:val="20"/>
                <w:szCs w:val="20"/>
                <w:color w:val="auto"/>
              </w:rPr>
            </w:pPr>
            <w:r>
              <w:rPr>
                <w:rFonts w:ascii="Arial" w:cs="Arial" w:eastAsia="Arial" w:hAnsi="Arial"/>
                <w:sz w:val="14"/>
                <w:szCs w:val="14"/>
                <w:color w:val="auto"/>
                <w:w w:val="99"/>
              </w:rPr>
              <w:t>—</w:t>
            </w:r>
          </w:p>
        </w:tc>
      </w:tr>
      <w:tr>
        <w:trPr>
          <w:trHeight w:val="53"/>
        </w:trPr>
        <w:tc>
          <w:tcPr>
            <w:tcW w:w="58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r>
      <w:tr>
        <w:trPr>
          <w:trHeight w:val="225"/>
        </w:trPr>
        <w:tc>
          <w:tcPr>
            <w:tcW w:w="5800" w:type="dxa"/>
            <w:vAlign w:val="bottom"/>
          </w:tcPr>
          <w:p>
            <w:pPr>
              <w:ind w:left="100"/>
              <w:spacing w:after="0"/>
              <w:rPr>
                <w:sz w:val="20"/>
                <w:szCs w:val="20"/>
                <w:color w:val="auto"/>
              </w:rPr>
            </w:pPr>
            <w:r>
              <w:rPr>
                <w:rFonts w:ascii="Arial" w:cs="Arial" w:eastAsia="Arial" w:hAnsi="Arial"/>
                <w:sz w:val="14"/>
                <w:szCs w:val="14"/>
                <w:b w:val="1"/>
                <w:bCs w:val="1"/>
                <w:color w:val="auto"/>
              </w:rPr>
              <w:t>Asian</w:t>
            </w:r>
          </w:p>
        </w:tc>
        <w:tc>
          <w:tcPr>
            <w:tcW w:w="980" w:type="dxa"/>
            <w:vAlign w:val="bottom"/>
          </w:tcPr>
          <w:p>
            <w:pPr>
              <w:jc w:val="center"/>
              <w:ind w:right="347"/>
              <w:spacing w:after="0"/>
              <w:rPr>
                <w:sz w:val="20"/>
                <w:szCs w:val="20"/>
                <w:color w:val="auto"/>
              </w:rPr>
            </w:pPr>
            <w:r>
              <w:rPr>
                <w:rFonts w:ascii="Arial" w:cs="Arial" w:eastAsia="Arial" w:hAnsi="Arial"/>
                <w:sz w:val="14"/>
                <w:szCs w:val="14"/>
                <w:color w:val="auto"/>
              </w:rPr>
              <w:t>2</w:t>
            </w:r>
          </w:p>
        </w:tc>
        <w:tc>
          <w:tcPr>
            <w:tcW w:w="1260" w:type="dxa"/>
            <w:vAlign w:val="bottom"/>
          </w:tcPr>
          <w:p>
            <w:pPr>
              <w:jc w:val="center"/>
              <w:ind w:left="227"/>
              <w:spacing w:after="0"/>
              <w:rPr>
                <w:sz w:val="20"/>
                <w:szCs w:val="20"/>
                <w:color w:val="auto"/>
              </w:rPr>
            </w:pPr>
            <w:r>
              <w:rPr>
                <w:rFonts w:ascii="Arial" w:cs="Arial" w:eastAsia="Arial" w:hAnsi="Arial"/>
                <w:sz w:val="14"/>
                <w:szCs w:val="14"/>
                <w:color w:val="auto"/>
              </w:rPr>
              <w:t>—</w:t>
            </w:r>
          </w:p>
        </w:tc>
        <w:tc>
          <w:tcPr>
            <w:tcW w:w="1600" w:type="dxa"/>
            <w:vAlign w:val="bottom"/>
          </w:tcPr>
          <w:p>
            <w:pPr>
              <w:jc w:val="center"/>
              <w:ind w:left="303"/>
              <w:spacing w:after="0"/>
              <w:rPr>
                <w:sz w:val="20"/>
                <w:szCs w:val="20"/>
                <w:color w:val="auto"/>
              </w:rPr>
            </w:pPr>
            <w:r>
              <w:rPr>
                <w:rFonts w:ascii="Arial" w:cs="Arial" w:eastAsia="Arial" w:hAnsi="Arial"/>
                <w:sz w:val="14"/>
                <w:szCs w:val="14"/>
                <w:color w:val="auto"/>
                <w:w w:val="99"/>
              </w:rPr>
              <w:t>—</w:t>
            </w:r>
          </w:p>
        </w:tc>
        <w:tc>
          <w:tcPr>
            <w:tcW w:w="1600" w:type="dxa"/>
            <w:vAlign w:val="bottom"/>
          </w:tcPr>
          <w:p>
            <w:pPr>
              <w:jc w:val="center"/>
              <w:ind w:left="67"/>
              <w:spacing w:after="0"/>
              <w:rPr>
                <w:sz w:val="20"/>
                <w:szCs w:val="20"/>
                <w:color w:val="auto"/>
              </w:rPr>
            </w:pPr>
            <w:r>
              <w:rPr>
                <w:rFonts w:ascii="Arial" w:cs="Arial" w:eastAsia="Arial" w:hAnsi="Arial"/>
                <w:sz w:val="14"/>
                <w:szCs w:val="14"/>
                <w:color w:val="auto"/>
                <w:w w:val="99"/>
              </w:rPr>
              <w:t>—</w:t>
            </w:r>
          </w:p>
        </w:tc>
      </w:tr>
      <w:tr>
        <w:trPr>
          <w:trHeight w:val="52"/>
        </w:trPr>
        <w:tc>
          <w:tcPr>
            <w:tcW w:w="58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r>
      <w:tr>
        <w:trPr>
          <w:trHeight w:val="225"/>
        </w:trPr>
        <w:tc>
          <w:tcPr>
            <w:tcW w:w="5800" w:type="dxa"/>
            <w:vAlign w:val="bottom"/>
          </w:tcPr>
          <w:p>
            <w:pPr>
              <w:ind w:left="100"/>
              <w:spacing w:after="0"/>
              <w:rPr>
                <w:sz w:val="20"/>
                <w:szCs w:val="20"/>
                <w:color w:val="auto"/>
              </w:rPr>
            </w:pPr>
            <w:r>
              <w:rPr>
                <w:rFonts w:ascii="Arial" w:cs="Arial" w:eastAsia="Arial" w:hAnsi="Arial"/>
                <w:sz w:val="14"/>
                <w:szCs w:val="14"/>
                <w:b w:val="1"/>
                <w:bCs w:val="1"/>
                <w:color w:val="auto"/>
              </w:rPr>
              <w:t>Hispanic of Latinx</w:t>
            </w:r>
          </w:p>
        </w:tc>
        <w:tc>
          <w:tcPr>
            <w:tcW w:w="980" w:type="dxa"/>
            <w:vAlign w:val="bottom"/>
          </w:tcPr>
          <w:p>
            <w:pPr>
              <w:jc w:val="center"/>
              <w:ind w:right="327"/>
              <w:spacing w:after="0"/>
              <w:rPr>
                <w:sz w:val="20"/>
                <w:szCs w:val="20"/>
                <w:color w:val="auto"/>
              </w:rPr>
            </w:pPr>
            <w:r>
              <w:rPr>
                <w:rFonts w:ascii="Arial" w:cs="Arial" w:eastAsia="Arial" w:hAnsi="Arial"/>
                <w:sz w:val="14"/>
                <w:szCs w:val="14"/>
                <w:color w:val="auto"/>
                <w:w w:val="99"/>
              </w:rPr>
              <w:t>—</w:t>
            </w:r>
          </w:p>
        </w:tc>
        <w:tc>
          <w:tcPr>
            <w:tcW w:w="1260" w:type="dxa"/>
            <w:vAlign w:val="bottom"/>
          </w:tcPr>
          <w:p>
            <w:pPr>
              <w:jc w:val="center"/>
              <w:ind w:left="227"/>
              <w:spacing w:after="0"/>
              <w:rPr>
                <w:sz w:val="20"/>
                <w:szCs w:val="20"/>
                <w:color w:val="auto"/>
              </w:rPr>
            </w:pPr>
            <w:r>
              <w:rPr>
                <w:rFonts w:ascii="Arial" w:cs="Arial" w:eastAsia="Arial" w:hAnsi="Arial"/>
                <w:sz w:val="14"/>
                <w:szCs w:val="14"/>
                <w:color w:val="auto"/>
              </w:rPr>
              <w:t>—</w:t>
            </w:r>
          </w:p>
        </w:tc>
        <w:tc>
          <w:tcPr>
            <w:tcW w:w="1600" w:type="dxa"/>
            <w:vAlign w:val="bottom"/>
          </w:tcPr>
          <w:p>
            <w:pPr>
              <w:jc w:val="center"/>
              <w:ind w:left="303"/>
              <w:spacing w:after="0"/>
              <w:rPr>
                <w:sz w:val="20"/>
                <w:szCs w:val="20"/>
                <w:color w:val="auto"/>
              </w:rPr>
            </w:pPr>
            <w:r>
              <w:rPr>
                <w:rFonts w:ascii="Arial" w:cs="Arial" w:eastAsia="Arial" w:hAnsi="Arial"/>
                <w:sz w:val="14"/>
                <w:szCs w:val="14"/>
                <w:color w:val="auto"/>
                <w:w w:val="99"/>
              </w:rPr>
              <w:t>—</w:t>
            </w:r>
          </w:p>
        </w:tc>
        <w:tc>
          <w:tcPr>
            <w:tcW w:w="1600" w:type="dxa"/>
            <w:vAlign w:val="bottom"/>
          </w:tcPr>
          <w:p>
            <w:pPr>
              <w:jc w:val="center"/>
              <w:ind w:left="67"/>
              <w:spacing w:after="0"/>
              <w:rPr>
                <w:sz w:val="20"/>
                <w:szCs w:val="20"/>
                <w:color w:val="auto"/>
              </w:rPr>
            </w:pPr>
            <w:r>
              <w:rPr>
                <w:rFonts w:ascii="Arial" w:cs="Arial" w:eastAsia="Arial" w:hAnsi="Arial"/>
                <w:sz w:val="14"/>
                <w:szCs w:val="14"/>
                <w:color w:val="auto"/>
                <w:w w:val="99"/>
              </w:rPr>
              <w:t>—</w:t>
            </w:r>
          </w:p>
        </w:tc>
      </w:tr>
      <w:tr>
        <w:trPr>
          <w:trHeight w:val="53"/>
        </w:trPr>
        <w:tc>
          <w:tcPr>
            <w:tcW w:w="58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r>
      <w:tr>
        <w:trPr>
          <w:trHeight w:val="225"/>
        </w:trPr>
        <w:tc>
          <w:tcPr>
            <w:tcW w:w="5800" w:type="dxa"/>
            <w:vAlign w:val="bottom"/>
          </w:tcPr>
          <w:p>
            <w:pPr>
              <w:ind w:left="100"/>
              <w:spacing w:after="0"/>
              <w:rPr>
                <w:sz w:val="20"/>
                <w:szCs w:val="20"/>
                <w:color w:val="auto"/>
              </w:rPr>
            </w:pPr>
            <w:r>
              <w:rPr>
                <w:rFonts w:ascii="Arial" w:cs="Arial" w:eastAsia="Arial" w:hAnsi="Arial"/>
                <w:sz w:val="14"/>
                <w:szCs w:val="14"/>
                <w:b w:val="1"/>
                <w:bCs w:val="1"/>
                <w:color w:val="auto"/>
              </w:rPr>
              <w:t>Native Hawaiian or Pacific Islander</w:t>
            </w:r>
          </w:p>
        </w:tc>
        <w:tc>
          <w:tcPr>
            <w:tcW w:w="980" w:type="dxa"/>
            <w:vAlign w:val="bottom"/>
          </w:tcPr>
          <w:p>
            <w:pPr>
              <w:jc w:val="center"/>
              <w:ind w:right="327"/>
              <w:spacing w:after="0"/>
              <w:rPr>
                <w:sz w:val="20"/>
                <w:szCs w:val="20"/>
                <w:color w:val="auto"/>
              </w:rPr>
            </w:pPr>
            <w:r>
              <w:rPr>
                <w:rFonts w:ascii="Arial" w:cs="Arial" w:eastAsia="Arial" w:hAnsi="Arial"/>
                <w:sz w:val="14"/>
                <w:szCs w:val="14"/>
                <w:color w:val="auto"/>
                <w:w w:val="99"/>
              </w:rPr>
              <w:t>—</w:t>
            </w:r>
          </w:p>
        </w:tc>
        <w:tc>
          <w:tcPr>
            <w:tcW w:w="1260" w:type="dxa"/>
            <w:vAlign w:val="bottom"/>
          </w:tcPr>
          <w:p>
            <w:pPr>
              <w:jc w:val="center"/>
              <w:ind w:left="227"/>
              <w:spacing w:after="0"/>
              <w:rPr>
                <w:sz w:val="20"/>
                <w:szCs w:val="20"/>
                <w:color w:val="auto"/>
              </w:rPr>
            </w:pPr>
            <w:r>
              <w:rPr>
                <w:rFonts w:ascii="Arial" w:cs="Arial" w:eastAsia="Arial" w:hAnsi="Arial"/>
                <w:sz w:val="14"/>
                <w:szCs w:val="14"/>
                <w:color w:val="auto"/>
              </w:rPr>
              <w:t>—</w:t>
            </w:r>
          </w:p>
        </w:tc>
        <w:tc>
          <w:tcPr>
            <w:tcW w:w="1600" w:type="dxa"/>
            <w:vAlign w:val="bottom"/>
          </w:tcPr>
          <w:p>
            <w:pPr>
              <w:jc w:val="center"/>
              <w:ind w:left="303"/>
              <w:spacing w:after="0"/>
              <w:rPr>
                <w:sz w:val="20"/>
                <w:szCs w:val="20"/>
                <w:color w:val="auto"/>
              </w:rPr>
            </w:pPr>
            <w:r>
              <w:rPr>
                <w:rFonts w:ascii="Arial" w:cs="Arial" w:eastAsia="Arial" w:hAnsi="Arial"/>
                <w:sz w:val="14"/>
                <w:szCs w:val="14"/>
                <w:color w:val="auto"/>
                <w:w w:val="99"/>
              </w:rPr>
              <w:t>—</w:t>
            </w:r>
          </w:p>
        </w:tc>
        <w:tc>
          <w:tcPr>
            <w:tcW w:w="1600" w:type="dxa"/>
            <w:vAlign w:val="bottom"/>
          </w:tcPr>
          <w:p>
            <w:pPr>
              <w:jc w:val="center"/>
              <w:ind w:left="67"/>
              <w:spacing w:after="0"/>
              <w:rPr>
                <w:sz w:val="20"/>
                <w:szCs w:val="20"/>
                <w:color w:val="auto"/>
              </w:rPr>
            </w:pPr>
            <w:r>
              <w:rPr>
                <w:rFonts w:ascii="Arial" w:cs="Arial" w:eastAsia="Arial" w:hAnsi="Arial"/>
                <w:sz w:val="14"/>
                <w:szCs w:val="14"/>
                <w:color w:val="auto"/>
                <w:w w:val="99"/>
              </w:rPr>
              <w:t>—</w:t>
            </w:r>
          </w:p>
        </w:tc>
      </w:tr>
      <w:tr>
        <w:trPr>
          <w:trHeight w:val="53"/>
        </w:trPr>
        <w:tc>
          <w:tcPr>
            <w:tcW w:w="58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r>
      <w:tr>
        <w:trPr>
          <w:trHeight w:val="225"/>
        </w:trPr>
        <w:tc>
          <w:tcPr>
            <w:tcW w:w="5800" w:type="dxa"/>
            <w:vAlign w:val="bottom"/>
          </w:tcPr>
          <w:p>
            <w:pPr>
              <w:ind w:left="100"/>
              <w:spacing w:after="0"/>
              <w:rPr>
                <w:sz w:val="20"/>
                <w:szCs w:val="20"/>
                <w:color w:val="auto"/>
              </w:rPr>
            </w:pPr>
            <w:r>
              <w:rPr>
                <w:rFonts w:ascii="Arial" w:cs="Arial" w:eastAsia="Arial" w:hAnsi="Arial"/>
                <w:sz w:val="14"/>
                <w:szCs w:val="14"/>
                <w:b w:val="1"/>
                <w:bCs w:val="1"/>
                <w:color w:val="auto"/>
              </w:rPr>
              <w:t>White</w:t>
            </w:r>
          </w:p>
        </w:tc>
        <w:tc>
          <w:tcPr>
            <w:tcW w:w="980" w:type="dxa"/>
            <w:vAlign w:val="bottom"/>
          </w:tcPr>
          <w:p>
            <w:pPr>
              <w:jc w:val="center"/>
              <w:ind w:right="347"/>
              <w:spacing w:after="0"/>
              <w:rPr>
                <w:sz w:val="20"/>
                <w:szCs w:val="20"/>
                <w:color w:val="auto"/>
              </w:rPr>
            </w:pPr>
            <w:r>
              <w:rPr>
                <w:rFonts w:ascii="Arial" w:cs="Arial" w:eastAsia="Arial" w:hAnsi="Arial"/>
                <w:sz w:val="14"/>
                <w:szCs w:val="14"/>
                <w:color w:val="auto"/>
              </w:rPr>
              <w:t>4</w:t>
            </w:r>
          </w:p>
        </w:tc>
        <w:tc>
          <w:tcPr>
            <w:tcW w:w="1260" w:type="dxa"/>
            <w:vAlign w:val="bottom"/>
          </w:tcPr>
          <w:p>
            <w:pPr>
              <w:jc w:val="center"/>
              <w:ind w:left="227"/>
              <w:spacing w:after="0"/>
              <w:rPr>
                <w:sz w:val="20"/>
                <w:szCs w:val="20"/>
                <w:color w:val="auto"/>
              </w:rPr>
            </w:pPr>
            <w:r>
              <w:rPr>
                <w:rFonts w:ascii="Arial" w:cs="Arial" w:eastAsia="Arial" w:hAnsi="Arial"/>
                <w:sz w:val="14"/>
                <w:szCs w:val="14"/>
                <w:color w:val="auto"/>
              </w:rPr>
              <w:t>2</w:t>
            </w:r>
          </w:p>
        </w:tc>
        <w:tc>
          <w:tcPr>
            <w:tcW w:w="1600" w:type="dxa"/>
            <w:vAlign w:val="bottom"/>
          </w:tcPr>
          <w:p>
            <w:pPr>
              <w:jc w:val="center"/>
              <w:ind w:left="303"/>
              <w:spacing w:after="0"/>
              <w:rPr>
                <w:sz w:val="20"/>
                <w:szCs w:val="20"/>
                <w:color w:val="auto"/>
              </w:rPr>
            </w:pPr>
            <w:r>
              <w:rPr>
                <w:rFonts w:ascii="Arial" w:cs="Arial" w:eastAsia="Arial" w:hAnsi="Arial"/>
                <w:sz w:val="14"/>
                <w:szCs w:val="14"/>
                <w:color w:val="auto"/>
                <w:w w:val="99"/>
              </w:rPr>
              <w:t>—</w:t>
            </w:r>
          </w:p>
        </w:tc>
        <w:tc>
          <w:tcPr>
            <w:tcW w:w="1600" w:type="dxa"/>
            <w:vAlign w:val="bottom"/>
          </w:tcPr>
          <w:p>
            <w:pPr>
              <w:jc w:val="center"/>
              <w:ind w:left="67"/>
              <w:spacing w:after="0"/>
              <w:rPr>
                <w:sz w:val="20"/>
                <w:szCs w:val="20"/>
                <w:color w:val="auto"/>
              </w:rPr>
            </w:pPr>
            <w:r>
              <w:rPr>
                <w:rFonts w:ascii="Arial" w:cs="Arial" w:eastAsia="Arial" w:hAnsi="Arial"/>
                <w:sz w:val="14"/>
                <w:szCs w:val="14"/>
                <w:color w:val="auto"/>
                <w:w w:val="99"/>
              </w:rPr>
              <w:t>—</w:t>
            </w:r>
          </w:p>
        </w:tc>
      </w:tr>
      <w:tr>
        <w:trPr>
          <w:trHeight w:val="53"/>
        </w:trPr>
        <w:tc>
          <w:tcPr>
            <w:tcW w:w="58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r>
      <w:tr>
        <w:trPr>
          <w:trHeight w:val="225"/>
        </w:trPr>
        <w:tc>
          <w:tcPr>
            <w:tcW w:w="5800" w:type="dxa"/>
            <w:vAlign w:val="bottom"/>
          </w:tcPr>
          <w:p>
            <w:pPr>
              <w:ind w:left="100"/>
              <w:spacing w:after="0"/>
              <w:rPr>
                <w:sz w:val="20"/>
                <w:szCs w:val="20"/>
                <w:color w:val="auto"/>
              </w:rPr>
            </w:pPr>
            <w:r>
              <w:rPr>
                <w:rFonts w:ascii="Arial" w:cs="Arial" w:eastAsia="Arial" w:hAnsi="Arial"/>
                <w:sz w:val="14"/>
                <w:szCs w:val="14"/>
                <w:b w:val="1"/>
                <w:bCs w:val="1"/>
                <w:color w:val="auto"/>
              </w:rPr>
              <w:t>Two or More Races or Ethnicities</w:t>
            </w:r>
          </w:p>
        </w:tc>
        <w:tc>
          <w:tcPr>
            <w:tcW w:w="980" w:type="dxa"/>
            <w:vAlign w:val="bottom"/>
          </w:tcPr>
          <w:p>
            <w:pPr>
              <w:jc w:val="center"/>
              <w:ind w:right="327"/>
              <w:spacing w:after="0"/>
              <w:rPr>
                <w:sz w:val="20"/>
                <w:szCs w:val="20"/>
                <w:color w:val="auto"/>
              </w:rPr>
            </w:pPr>
            <w:r>
              <w:rPr>
                <w:rFonts w:ascii="Arial" w:cs="Arial" w:eastAsia="Arial" w:hAnsi="Arial"/>
                <w:sz w:val="14"/>
                <w:szCs w:val="14"/>
                <w:color w:val="auto"/>
                <w:w w:val="99"/>
              </w:rPr>
              <w:t>—</w:t>
            </w:r>
          </w:p>
        </w:tc>
        <w:tc>
          <w:tcPr>
            <w:tcW w:w="1260" w:type="dxa"/>
            <w:vAlign w:val="bottom"/>
          </w:tcPr>
          <w:p>
            <w:pPr>
              <w:jc w:val="center"/>
              <w:ind w:left="227"/>
              <w:spacing w:after="0"/>
              <w:rPr>
                <w:sz w:val="20"/>
                <w:szCs w:val="20"/>
                <w:color w:val="auto"/>
              </w:rPr>
            </w:pPr>
            <w:r>
              <w:rPr>
                <w:rFonts w:ascii="Arial" w:cs="Arial" w:eastAsia="Arial" w:hAnsi="Arial"/>
                <w:sz w:val="14"/>
                <w:szCs w:val="14"/>
                <w:color w:val="auto"/>
              </w:rPr>
              <w:t>—</w:t>
            </w:r>
          </w:p>
        </w:tc>
        <w:tc>
          <w:tcPr>
            <w:tcW w:w="1600" w:type="dxa"/>
            <w:vAlign w:val="bottom"/>
          </w:tcPr>
          <w:p>
            <w:pPr>
              <w:jc w:val="center"/>
              <w:ind w:left="303"/>
              <w:spacing w:after="0"/>
              <w:rPr>
                <w:sz w:val="20"/>
                <w:szCs w:val="20"/>
                <w:color w:val="auto"/>
              </w:rPr>
            </w:pPr>
            <w:r>
              <w:rPr>
                <w:rFonts w:ascii="Arial" w:cs="Arial" w:eastAsia="Arial" w:hAnsi="Arial"/>
                <w:sz w:val="14"/>
                <w:szCs w:val="14"/>
                <w:color w:val="auto"/>
                <w:w w:val="99"/>
              </w:rPr>
              <w:t>—</w:t>
            </w:r>
          </w:p>
        </w:tc>
        <w:tc>
          <w:tcPr>
            <w:tcW w:w="1600" w:type="dxa"/>
            <w:vAlign w:val="bottom"/>
          </w:tcPr>
          <w:p>
            <w:pPr>
              <w:jc w:val="center"/>
              <w:ind w:left="67"/>
              <w:spacing w:after="0"/>
              <w:rPr>
                <w:sz w:val="20"/>
                <w:szCs w:val="20"/>
                <w:color w:val="auto"/>
              </w:rPr>
            </w:pPr>
            <w:r>
              <w:rPr>
                <w:rFonts w:ascii="Arial" w:cs="Arial" w:eastAsia="Arial" w:hAnsi="Arial"/>
                <w:sz w:val="14"/>
                <w:szCs w:val="14"/>
                <w:color w:val="auto"/>
                <w:w w:val="99"/>
              </w:rPr>
              <w:t>—</w:t>
            </w:r>
          </w:p>
        </w:tc>
      </w:tr>
      <w:tr>
        <w:trPr>
          <w:trHeight w:val="52"/>
        </w:trPr>
        <w:tc>
          <w:tcPr>
            <w:tcW w:w="58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r>
      <w:tr>
        <w:trPr>
          <w:trHeight w:val="225"/>
        </w:trPr>
        <w:tc>
          <w:tcPr>
            <w:tcW w:w="5800" w:type="dxa"/>
            <w:vAlign w:val="bottom"/>
          </w:tcPr>
          <w:p>
            <w:pPr>
              <w:ind w:left="100"/>
              <w:spacing w:after="0"/>
              <w:rPr>
                <w:sz w:val="20"/>
                <w:szCs w:val="20"/>
                <w:color w:val="auto"/>
              </w:rPr>
            </w:pPr>
            <w:r>
              <w:rPr>
                <w:rFonts w:ascii="Arial" w:cs="Arial" w:eastAsia="Arial" w:hAnsi="Arial"/>
                <w:sz w:val="14"/>
                <w:szCs w:val="14"/>
                <w:b w:val="1"/>
                <w:bCs w:val="1"/>
                <w:color w:val="auto"/>
              </w:rPr>
              <w:t>LGBTQ+</w:t>
            </w:r>
          </w:p>
        </w:tc>
        <w:tc>
          <w:tcPr>
            <w:tcW w:w="980" w:type="dxa"/>
            <w:vAlign w:val="bottom"/>
          </w:tcPr>
          <w:p>
            <w:pPr>
              <w:jc w:val="center"/>
              <w:ind w:right="327"/>
              <w:spacing w:after="0"/>
              <w:rPr>
                <w:sz w:val="20"/>
                <w:szCs w:val="20"/>
                <w:color w:val="auto"/>
              </w:rPr>
            </w:pPr>
            <w:r>
              <w:rPr>
                <w:rFonts w:ascii="Arial" w:cs="Arial" w:eastAsia="Arial" w:hAnsi="Arial"/>
                <w:sz w:val="14"/>
                <w:szCs w:val="14"/>
                <w:color w:val="auto"/>
                <w:w w:val="99"/>
              </w:rPr>
              <w:t>—</w:t>
            </w:r>
          </w:p>
        </w:tc>
        <w:tc>
          <w:tcPr>
            <w:tcW w:w="1260" w:type="dxa"/>
            <w:vAlign w:val="bottom"/>
          </w:tcPr>
          <w:p>
            <w:pPr>
              <w:jc w:val="center"/>
              <w:ind w:left="227"/>
              <w:spacing w:after="0"/>
              <w:rPr>
                <w:sz w:val="20"/>
                <w:szCs w:val="20"/>
                <w:color w:val="auto"/>
              </w:rPr>
            </w:pPr>
            <w:r>
              <w:rPr>
                <w:rFonts w:ascii="Arial" w:cs="Arial" w:eastAsia="Arial" w:hAnsi="Arial"/>
                <w:sz w:val="14"/>
                <w:szCs w:val="14"/>
                <w:color w:val="auto"/>
              </w:rPr>
              <w:t>—</w:t>
            </w:r>
          </w:p>
        </w:tc>
        <w:tc>
          <w:tcPr>
            <w:tcW w:w="1600" w:type="dxa"/>
            <w:vAlign w:val="bottom"/>
          </w:tcPr>
          <w:p>
            <w:pPr>
              <w:jc w:val="center"/>
              <w:ind w:left="303"/>
              <w:spacing w:after="0"/>
              <w:rPr>
                <w:sz w:val="20"/>
                <w:szCs w:val="20"/>
                <w:color w:val="auto"/>
              </w:rPr>
            </w:pPr>
            <w:r>
              <w:rPr>
                <w:rFonts w:ascii="Arial" w:cs="Arial" w:eastAsia="Arial" w:hAnsi="Arial"/>
                <w:sz w:val="14"/>
                <w:szCs w:val="14"/>
                <w:color w:val="auto"/>
                <w:w w:val="99"/>
              </w:rPr>
              <w:t>—</w:t>
            </w:r>
          </w:p>
        </w:tc>
        <w:tc>
          <w:tcPr>
            <w:tcW w:w="1600" w:type="dxa"/>
            <w:vAlign w:val="bottom"/>
          </w:tcPr>
          <w:p>
            <w:pPr>
              <w:jc w:val="center"/>
              <w:ind w:left="67"/>
              <w:spacing w:after="0"/>
              <w:rPr>
                <w:sz w:val="20"/>
                <w:szCs w:val="20"/>
                <w:color w:val="auto"/>
              </w:rPr>
            </w:pPr>
            <w:r>
              <w:rPr>
                <w:rFonts w:ascii="Arial" w:cs="Arial" w:eastAsia="Arial" w:hAnsi="Arial"/>
                <w:sz w:val="14"/>
                <w:szCs w:val="14"/>
                <w:color w:val="auto"/>
                <w:w w:val="99"/>
              </w:rPr>
              <w:t>—</w:t>
            </w:r>
          </w:p>
        </w:tc>
      </w:tr>
      <w:tr>
        <w:trPr>
          <w:trHeight w:val="53"/>
        </w:trPr>
        <w:tc>
          <w:tcPr>
            <w:tcW w:w="58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r>
      <w:tr>
        <w:trPr>
          <w:trHeight w:val="225"/>
        </w:trPr>
        <w:tc>
          <w:tcPr>
            <w:tcW w:w="5800" w:type="dxa"/>
            <w:vAlign w:val="bottom"/>
          </w:tcPr>
          <w:p>
            <w:pPr>
              <w:ind w:left="100"/>
              <w:spacing w:after="0"/>
              <w:rPr>
                <w:sz w:val="20"/>
                <w:szCs w:val="20"/>
                <w:color w:val="auto"/>
              </w:rPr>
            </w:pPr>
            <w:r>
              <w:rPr>
                <w:rFonts w:ascii="Arial" w:cs="Arial" w:eastAsia="Arial" w:hAnsi="Arial"/>
                <w:sz w:val="14"/>
                <w:szCs w:val="14"/>
                <w:b w:val="1"/>
                <w:bCs w:val="1"/>
                <w:color w:val="auto"/>
              </w:rPr>
              <w:t>Not Disclosed</w:t>
            </w:r>
          </w:p>
        </w:tc>
        <w:tc>
          <w:tcPr>
            <w:tcW w:w="980" w:type="dxa"/>
            <w:vAlign w:val="bottom"/>
          </w:tcPr>
          <w:p>
            <w:pPr>
              <w:jc w:val="center"/>
              <w:ind w:right="327"/>
              <w:spacing w:after="0"/>
              <w:rPr>
                <w:sz w:val="20"/>
                <w:szCs w:val="20"/>
                <w:color w:val="auto"/>
              </w:rPr>
            </w:pPr>
            <w:r>
              <w:rPr>
                <w:rFonts w:ascii="Arial" w:cs="Arial" w:eastAsia="Arial" w:hAnsi="Arial"/>
                <w:sz w:val="14"/>
                <w:szCs w:val="14"/>
                <w:color w:val="auto"/>
                <w:w w:val="99"/>
              </w:rPr>
              <w:t>—</w:t>
            </w:r>
          </w:p>
        </w:tc>
        <w:tc>
          <w:tcPr>
            <w:tcW w:w="1260" w:type="dxa"/>
            <w:vAlign w:val="bottom"/>
          </w:tcPr>
          <w:p>
            <w:pPr>
              <w:jc w:val="center"/>
              <w:ind w:left="227"/>
              <w:spacing w:after="0"/>
              <w:rPr>
                <w:sz w:val="20"/>
                <w:szCs w:val="20"/>
                <w:color w:val="auto"/>
              </w:rPr>
            </w:pPr>
            <w:r>
              <w:rPr>
                <w:rFonts w:ascii="Arial" w:cs="Arial" w:eastAsia="Arial" w:hAnsi="Arial"/>
                <w:sz w:val="14"/>
                <w:szCs w:val="14"/>
                <w:color w:val="auto"/>
              </w:rPr>
              <w:t>—</w:t>
            </w:r>
          </w:p>
        </w:tc>
        <w:tc>
          <w:tcPr>
            <w:tcW w:w="1600" w:type="dxa"/>
            <w:vAlign w:val="bottom"/>
          </w:tcPr>
          <w:p>
            <w:pPr>
              <w:jc w:val="center"/>
              <w:ind w:left="303"/>
              <w:spacing w:after="0"/>
              <w:rPr>
                <w:sz w:val="20"/>
                <w:szCs w:val="20"/>
                <w:color w:val="auto"/>
              </w:rPr>
            </w:pPr>
            <w:r>
              <w:rPr>
                <w:rFonts w:ascii="Arial" w:cs="Arial" w:eastAsia="Arial" w:hAnsi="Arial"/>
                <w:sz w:val="14"/>
                <w:szCs w:val="14"/>
                <w:color w:val="auto"/>
                <w:w w:val="99"/>
              </w:rPr>
              <w:t>—</w:t>
            </w:r>
          </w:p>
        </w:tc>
        <w:tc>
          <w:tcPr>
            <w:tcW w:w="1600" w:type="dxa"/>
            <w:vAlign w:val="bottom"/>
          </w:tcPr>
          <w:p>
            <w:pPr>
              <w:jc w:val="center"/>
              <w:ind w:left="67"/>
              <w:spacing w:after="0"/>
              <w:rPr>
                <w:sz w:val="20"/>
                <w:szCs w:val="20"/>
                <w:color w:val="auto"/>
              </w:rPr>
            </w:pPr>
            <w:r>
              <w:rPr>
                <w:rFonts w:ascii="Arial" w:cs="Arial" w:eastAsia="Arial" w:hAnsi="Arial"/>
                <w:sz w:val="14"/>
                <w:szCs w:val="14"/>
                <w:color w:val="auto"/>
                <w:w w:val="99"/>
              </w:rPr>
              <w:t>—</w:t>
            </w:r>
          </w:p>
        </w:tc>
      </w:tr>
      <w:tr>
        <w:trPr>
          <w:trHeight w:val="53"/>
        </w:trPr>
        <w:tc>
          <w:tcPr>
            <w:tcW w:w="58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r>
      <w:tr>
        <w:trPr>
          <w:trHeight w:val="670"/>
        </w:trPr>
        <w:tc>
          <w:tcPr>
            <w:tcW w:w="5800" w:type="dxa"/>
            <w:vAlign w:val="bottom"/>
          </w:tcPr>
          <w:p>
            <w:pPr>
              <w:ind w:left="5540"/>
              <w:spacing w:after="0"/>
              <w:rPr>
                <w:sz w:val="20"/>
                <w:szCs w:val="20"/>
                <w:color w:val="auto"/>
              </w:rPr>
            </w:pPr>
            <w:r>
              <w:rPr>
                <w:rFonts w:ascii="Arial" w:cs="Arial" w:eastAsia="Arial" w:hAnsi="Arial"/>
                <w:sz w:val="14"/>
                <w:szCs w:val="14"/>
                <w:color w:val="auto"/>
              </w:rPr>
              <w:t>18</w:t>
            </w:r>
          </w:p>
        </w:tc>
        <w:tc>
          <w:tcPr>
            <w:tcW w:w="9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00" w:type="dxa"/>
            <w:vAlign w:val="bottom"/>
          </w:tcPr>
          <w:p>
            <w:pPr>
              <w:jc w:val="center"/>
              <w:ind w:left="67"/>
              <w:spacing w:after="0"/>
              <w:rPr>
                <w:sz w:val="20"/>
                <w:szCs w:val="20"/>
                <w:color w:val="auto"/>
              </w:rPr>
            </w:pPr>
            <w:r>
              <w:rPr>
                <w:rFonts w:ascii="Arial" w:cs="Arial" w:eastAsia="Arial" w:hAnsi="Arial"/>
                <w:sz w:val="14"/>
                <w:szCs w:val="14"/>
                <w:color w:val="auto"/>
              </w:rPr>
              <w:t>2021 Proxy Statement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-189230</wp:posOffset>
            </wp:positionV>
            <wp:extent cx="342900" cy="2146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42900" cy="214630"/>
                    </a:xfrm>
                    <a:prstGeom prst="rect">
                      <a:avLst/>
                    </a:prstGeom>
                    <a:noFill/>
                  </pic:spPr>
                </pic:pic>
              </a:graphicData>
            </a:graphic>
          </wp:anchor>
        </w:drawing>
      </w:r>
    </w:p>
    <w:p>
      <w:pPr>
        <w:sectPr>
          <w:pgSz w:w="11900" w:h="16838" w:orient="portrait"/>
          <w:cols w:equalWidth="0" w:num="1">
            <w:col w:w="11240"/>
          </w:cols>
          <w:pgMar w:left="320" w:top="172" w:right="339" w:bottom="1440" w:gutter="0" w:footer="0" w:header="0"/>
          <w:type w:val="continuous"/>
        </w:sectPr>
      </w:pPr>
    </w:p>
    <w:bookmarkStart w:id="22" w:name="page23"/>
    <w:bookmarkEnd w:id="22"/>
    <w:p>
      <w:pPr>
        <w:ind w:left="280"/>
        <w:spacing w:after="0"/>
        <w:rPr>
          <w:sz w:val="20"/>
          <w:szCs w:val="20"/>
          <w:color w:val="auto"/>
        </w:rPr>
      </w:pPr>
      <w:r>
        <w:rPr>
          <w:rFonts w:ascii="Arial" w:cs="Arial" w:eastAsia="Arial" w:hAnsi="Arial"/>
          <w:sz w:val="13"/>
          <w:szCs w:val="13"/>
          <w:b w:val="1"/>
          <w:bCs w:val="1"/>
          <w:color w:val="929292"/>
        </w:rPr>
        <w:t>BOARD OF 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7470" cy="596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7470" cy="59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b w:val="1"/>
          <w:bCs w:val="1"/>
          <w:color w:val="009ADA"/>
        </w:rPr>
        <w:t>Director Independence</w:t>
      </w:r>
    </w:p>
    <w:p>
      <w:pPr>
        <w:spacing w:after="0" w:line="213" w:lineRule="exact"/>
        <w:rPr>
          <w:sz w:val="20"/>
          <w:szCs w:val="20"/>
          <w:color w:val="auto"/>
        </w:rPr>
      </w:pPr>
    </w:p>
    <w:p>
      <w:pPr>
        <w:spacing w:after="0" w:line="339" w:lineRule="auto"/>
        <w:rPr>
          <w:sz w:val="20"/>
          <w:szCs w:val="20"/>
          <w:color w:val="auto"/>
        </w:rPr>
      </w:pPr>
      <w:r>
        <w:rPr>
          <w:rFonts w:ascii="Arial" w:cs="Arial" w:eastAsia="Arial" w:hAnsi="Arial"/>
          <w:sz w:val="16"/>
          <w:szCs w:val="16"/>
          <w:color w:val="auto"/>
        </w:rPr>
        <w:t>Our common stock is listed on the Nasdaq Global Select Market. Under the rules of Nasdaq, independent directors must comprise a majority of a listed company’s board of directors within a specified period after the completion of our initial public offering. In addition, the rules of Nasdaq require that, subject to specified exceptions, each member of a listed company’s audit, compensation and nominating and governance committees be independent. Audit committee members and compensation committee members must also satisfy the independence criteria set forth in Rule 10A-3 and Rule 10C-1, respectively, under the Exchange Act. Under the rules of Nasdaq,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spacing w:after="0" w:line="398" w:lineRule="exact"/>
        <w:rPr>
          <w:sz w:val="20"/>
          <w:szCs w:val="20"/>
          <w:color w:val="auto"/>
        </w:rPr>
      </w:pPr>
    </w:p>
    <w:p>
      <w:pPr>
        <w:ind w:right="100"/>
        <w:spacing w:after="0" w:line="339" w:lineRule="auto"/>
        <w:rPr>
          <w:sz w:val="20"/>
          <w:szCs w:val="20"/>
          <w:color w:val="auto"/>
        </w:rPr>
      </w:pPr>
      <w:r>
        <w:rPr>
          <w:rFonts w:ascii="Arial" w:cs="Arial" w:eastAsia="Arial" w:hAnsi="Arial"/>
          <w:sz w:val="16"/>
          <w:szCs w:val="16"/>
          <w:color w:val="auto"/>
        </w:rPr>
        <w:t>To be considered independent for purposes of Rule 10A-3 and under the rules of Nasdaq, a member of an audit committee of a listed company may not, other than in his or her capacity as a member of our audit committee, our board of directors, or any other board committee: (1) accept, directly or indirectly, any consulting, advisory, or other compensatory fee from the listed company or any of its subsidiaries; or (2) be an affiliated person of the listed company or any of its subsidiaries.</w:t>
      </w:r>
    </w:p>
    <w:p>
      <w:pPr>
        <w:spacing w:after="0" w:line="148" w:lineRule="exact"/>
        <w:rPr>
          <w:sz w:val="20"/>
          <w:szCs w:val="20"/>
          <w:color w:val="auto"/>
        </w:rPr>
      </w:pPr>
    </w:p>
    <w:p>
      <w:pPr>
        <w:ind w:right="20"/>
        <w:spacing w:after="0" w:line="337" w:lineRule="auto"/>
        <w:rPr>
          <w:sz w:val="20"/>
          <w:szCs w:val="20"/>
          <w:color w:val="auto"/>
        </w:rPr>
      </w:pPr>
      <w:r>
        <w:rPr>
          <w:rFonts w:ascii="Arial" w:cs="Arial" w:eastAsia="Arial" w:hAnsi="Arial"/>
          <w:sz w:val="16"/>
          <w:szCs w:val="16"/>
          <w:color w:val="auto"/>
        </w:rPr>
        <w:t>To be considered independent for purposes of Rule 10C-1 and under the rules of Nasdaq, the board of directors must affirmatively determine that the member of the compensation committee is independent, including a consideration of all factors specifically relevant to determining whether the director has a relationship to the company which is material to that director’s ability to be independent from management in connection with the duties of a compensation committee member, including, but not limited to: (i) the source of compensation of such director, including any consulting, advisory or other compensatory fee paid by the company to such director; and (ii) whether such director is affiliated with the company, a subsidiary of the company or an affiliate of a subsidiary of the company.</w:t>
      </w:r>
    </w:p>
    <w:p>
      <w:pPr>
        <w:spacing w:after="0" w:line="151" w:lineRule="exact"/>
        <w:rPr>
          <w:sz w:val="20"/>
          <w:szCs w:val="20"/>
          <w:color w:val="auto"/>
        </w:rPr>
      </w:pPr>
    </w:p>
    <w:p>
      <w:pPr>
        <w:ind w:right="140"/>
        <w:spacing w:after="0" w:line="334" w:lineRule="auto"/>
        <w:rPr>
          <w:sz w:val="20"/>
          <w:szCs w:val="20"/>
          <w:color w:val="auto"/>
        </w:rPr>
      </w:pPr>
      <w:r>
        <w:rPr>
          <w:rFonts w:ascii="Arial" w:cs="Arial" w:eastAsia="Arial" w:hAnsi="Arial"/>
          <w:sz w:val="16"/>
          <w:szCs w:val="16"/>
          <w:color w:val="auto"/>
        </w:rPr>
        <w:t>Our board of directors has undertaken a review of its composition, the composition of its committees and the independence of our directors and considered whether any director has a material relationship with us that could compromise his or her ability to exercise independent judgment in carrying out his or her responsibilities. Based upon information requested from and provided by each director concerning his or her background, employment and affiliations, including family relationships, our board of directors has determined that none of (i) Mmes. Blasing and Naughton and Messrs. Brown, Darling, Giancarlo and Schneider, representing six of our eight directors has a relationship that would interfere with the exercise of independent judgment in carrying out the responsibilities of a director and (ii) that each of these directors is “independent” as that term is defined under the rules of Nasdaq. Mr. Chaudhry and</w:t>
      </w:r>
    </w:p>
    <w:p>
      <w:pPr>
        <w:spacing w:after="0" w:line="3" w:lineRule="exact"/>
        <w:rPr>
          <w:sz w:val="20"/>
          <w:szCs w:val="20"/>
          <w:color w:val="auto"/>
        </w:rPr>
      </w:pPr>
    </w:p>
    <w:p>
      <w:pPr>
        <w:ind w:right="80"/>
        <w:spacing w:after="0" w:line="341" w:lineRule="auto"/>
        <w:rPr>
          <w:sz w:val="20"/>
          <w:szCs w:val="20"/>
          <w:color w:val="auto"/>
        </w:rPr>
      </w:pPr>
      <w:r>
        <w:rPr>
          <w:rFonts w:ascii="Arial" w:cs="Arial" w:eastAsia="Arial" w:hAnsi="Arial"/>
          <w:sz w:val="16"/>
          <w:szCs w:val="16"/>
          <w:color w:val="auto"/>
        </w:rPr>
        <w:t>Dr. Sinha are not independent under Nasdaq’s independence standards. Our board of directors also determined that Ms. Blasing (chair) and Messrs. Brown and Darling, who comprise our audit committee, and Messrs. Brown (chair) and Giancarlo and Ms. Blasing, who comprise our compensation committee, satisfy the independence standards for committee members established by applicable SEC rules and the listing standards of Nasdaq.</w:t>
      </w:r>
    </w:p>
    <w:p>
      <w:pPr>
        <w:spacing w:after="0" w:line="147" w:lineRule="exact"/>
        <w:rPr>
          <w:sz w:val="20"/>
          <w:szCs w:val="20"/>
          <w:color w:val="auto"/>
        </w:rPr>
      </w:pPr>
    </w:p>
    <w:p>
      <w:pPr>
        <w:ind w:right="40"/>
        <w:spacing w:after="0" w:line="341" w:lineRule="auto"/>
        <w:rPr>
          <w:sz w:val="20"/>
          <w:szCs w:val="20"/>
          <w:color w:val="auto"/>
        </w:rPr>
      </w:pPr>
      <w:r>
        <w:rPr>
          <w:rFonts w:ascii="Arial" w:cs="Arial" w:eastAsia="Arial" w:hAnsi="Arial"/>
          <w:sz w:val="16"/>
          <w:szCs w:val="16"/>
          <w:color w:val="auto"/>
        </w:rPr>
        <w:t xml:space="preserve">In making these determinations, our board of directors considered the current and prior relationships that each non-employee director has with the Company and all other facts and circumstances our board of directors deemed relevant in determining their independence, including the beneficial ownership of our capital stock by each non-employee director, and the transactions involving them described in the section titled </w:t>
      </w:r>
      <w:r>
        <w:rPr>
          <w:rFonts w:ascii="Arial" w:cs="Arial" w:eastAsia="Arial" w:hAnsi="Arial"/>
          <w:sz w:val="16"/>
          <w:szCs w:val="16"/>
          <w:i w:val="1"/>
          <w:iCs w:val="1"/>
          <w:color w:val="auto"/>
        </w:rPr>
        <w:t>“</w:t>
      </w:r>
      <w:r>
        <w:rPr>
          <w:rFonts w:ascii="Arial" w:cs="Arial" w:eastAsia="Arial" w:hAnsi="Arial"/>
          <w:sz w:val="16"/>
          <w:szCs w:val="16"/>
          <w:color w:val="auto"/>
        </w:rPr>
        <w:t>Related Person Transactions</w:t>
      </w:r>
      <w:r>
        <w:rPr>
          <w:rFonts w:ascii="Arial" w:cs="Arial" w:eastAsia="Arial" w:hAnsi="Arial"/>
          <w:sz w:val="16"/>
          <w:szCs w:val="16"/>
          <w:i w:val="1"/>
          <w:iCs w:val="1"/>
          <w:color w:val="auto"/>
        </w:rPr>
        <w:t>.”</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There are no family relationships among any of our directors or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310515</wp:posOffset>
            </wp:positionV>
            <wp:extent cx="342900" cy="21463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42900" cy="21463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5540"/>
        <w:spacing w:after="0"/>
        <w:tabs>
          <w:tab w:leader="none" w:pos="9780" w:val="left"/>
        </w:tabs>
        <w:rPr>
          <w:sz w:val="20"/>
          <w:szCs w:val="20"/>
          <w:color w:val="auto"/>
        </w:rPr>
      </w:pPr>
      <w:r>
        <w:rPr>
          <w:rFonts w:ascii="Arial" w:cs="Arial" w:eastAsia="Arial" w:hAnsi="Arial"/>
          <w:sz w:val="29"/>
          <w:szCs w:val="29"/>
          <w:color w:val="auto"/>
          <w:vertAlign w:val="superscript"/>
        </w:rPr>
        <w:t>19</w:t>
      </w:r>
      <w:r>
        <w:rPr>
          <w:sz w:val="20"/>
          <w:szCs w:val="20"/>
          <w:color w:val="auto"/>
        </w:rPr>
        <w:tab/>
      </w:r>
      <w:r>
        <w:rPr>
          <w:rFonts w:ascii="Arial" w:cs="Arial" w:eastAsia="Arial" w:hAnsi="Arial"/>
          <w:sz w:val="14"/>
          <w:szCs w:val="14"/>
          <w:color w:val="auto"/>
        </w:rPr>
        <w:t>2021 Proxy Statement</w:t>
      </w:r>
    </w:p>
    <w:p>
      <w:pPr>
        <w:sectPr>
          <w:pgSz w:w="11900" w:h="16838" w:orient="portrait"/>
          <w:cols w:equalWidth="0" w:num="1">
            <w:col w:w="11240"/>
          </w:cols>
          <w:pgMar w:left="320" w:top="172" w:right="339" w:bottom="1440" w:gutter="0" w:footer="0" w:header="0"/>
        </w:sectPr>
      </w:pPr>
    </w:p>
    <w:bookmarkStart w:id="23" w:name="page24"/>
    <w:bookmarkEnd w:id="23"/>
    <w:p>
      <w:pPr>
        <w:ind w:left="280"/>
        <w:spacing w:after="0"/>
        <w:rPr>
          <w:sz w:val="20"/>
          <w:szCs w:val="20"/>
          <w:color w:val="auto"/>
        </w:rPr>
      </w:pPr>
      <w:r>
        <w:rPr>
          <w:rFonts w:ascii="Arial" w:cs="Arial" w:eastAsia="Arial" w:hAnsi="Arial"/>
          <w:sz w:val="13"/>
          <w:szCs w:val="13"/>
          <w:b w:val="1"/>
          <w:bCs w:val="1"/>
          <w:color w:val="929292"/>
        </w:rPr>
        <w:t>BOARD OF 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7470" cy="596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7470" cy="59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b w:val="1"/>
          <w:bCs w:val="1"/>
          <w:color w:val="009ADA"/>
        </w:rPr>
        <w:t>Board Leadership Structure</w:t>
      </w:r>
    </w:p>
    <w:p>
      <w:pPr>
        <w:spacing w:after="0" w:line="213" w:lineRule="exact"/>
        <w:rPr>
          <w:sz w:val="20"/>
          <w:szCs w:val="20"/>
          <w:color w:val="auto"/>
        </w:rPr>
      </w:pPr>
    </w:p>
    <w:p>
      <w:pPr>
        <w:spacing w:after="0" w:line="336" w:lineRule="auto"/>
        <w:rPr>
          <w:sz w:val="20"/>
          <w:szCs w:val="20"/>
          <w:color w:val="auto"/>
        </w:rPr>
      </w:pPr>
      <w:r>
        <w:rPr>
          <w:rFonts w:ascii="Arial" w:cs="Arial" w:eastAsia="Arial" w:hAnsi="Arial"/>
          <w:sz w:val="16"/>
          <w:szCs w:val="16"/>
          <w:color w:val="auto"/>
        </w:rPr>
        <w:t>Mr. Chaudhry currently serves as our President, Chief Executive Officers and Chairman of the Board. Our board of directors believes that the current board leadership structure, coupled with a strong emphasis on board independence, provides effective independent oversight of management while allowing the board and management to benefit from Mr. Chaudhry’s leadership, Company-specific experience and years of experience as an executive in the network security industry. Serving on our board of directors and as Chief Executive Officer since our founding in 2007, Mr. Chaudhry is best positioned to identify strategic priorities, lead critical discussion and execute our strategy and business plans. Mr. Chaudhry possesses detailed in-depth knowledge of the issues, opportunities and challenges facing us. The board of directors believes that Mr. Chaudhry’s combined role enables strong leadership, creates clear accountability and enhances our ability to communicate our message and strategy clearly and consistently to stockholders. The board of directors has not appointed a “lead independent director.” We believe that our board leadership structure is appropriate for our company, particularly where we have a majority of independent directors who are all actively involved in board meetings.</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b w:val="1"/>
          <w:bCs w:val="1"/>
          <w:color w:val="009ADA"/>
        </w:rPr>
        <w:t>Executive Sessions of Non-Employee Directors</w:t>
      </w:r>
    </w:p>
    <w:p>
      <w:pPr>
        <w:spacing w:after="0" w:line="213" w:lineRule="exact"/>
        <w:rPr>
          <w:sz w:val="20"/>
          <w:szCs w:val="20"/>
          <w:color w:val="auto"/>
        </w:rPr>
      </w:pPr>
    </w:p>
    <w:p>
      <w:pPr>
        <w:jc w:val="both"/>
        <w:ind w:right="280"/>
        <w:spacing w:after="0" w:line="341" w:lineRule="auto"/>
        <w:rPr>
          <w:sz w:val="20"/>
          <w:szCs w:val="20"/>
          <w:color w:val="auto"/>
        </w:rPr>
      </w:pPr>
      <w:r>
        <w:rPr>
          <w:rFonts w:ascii="Arial" w:cs="Arial" w:eastAsia="Arial" w:hAnsi="Arial"/>
          <w:sz w:val="16"/>
          <w:szCs w:val="16"/>
          <w:color w:val="auto"/>
        </w:rPr>
        <w:t>In order to encourage and enhance communication among non-employee directors, and as required under the applicable rules of Nasdaq, our corporate governance guidelines provide that the non-employee directors of our board of directors will meet in executive sessions without management directors or Company management present on a periodic basis, but no less than twice a year.</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color w:val="009ADA"/>
        </w:rPr>
        <w:t>Board Meetings and Committees</w:t>
      </w:r>
    </w:p>
    <w:p>
      <w:pPr>
        <w:spacing w:after="0" w:line="213" w:lineRule="exact"/>
        <w:rPr>
          <w:sz w:val="20"/>
          <w:szCs w:val="20"/>
          <w:color w:val="auto"/>
        </w:rPr>
      </w:pPr>
    </w:p>
    <w:p>
      <w:pPr>
        <w:ind w:right="40"/>
        <w:spacing w:after="0" w:line="339" w:lineRule="auto"/>
        <w:rPr>
          <w:sz w:val="20"/>
          <w:szCs w:val="20"/>
          <w:color w:val="auto"/>
        </w:rPr>
      </w:pPr>
      <w:r>
        <w:rPr>
          <w:rFonts w:ascii="Arial" w:cs="Arial" w:eastAsia="Arial" w:hAnsi="Arial"/>
          <w:sz w:val="16"/>
          <w:szCs w:val="16"/>
          <w:color w:val="auto"/>
        </w:rPr>
        <w:t>During the fiscal year ended July 31, 2021, our board of directors held eight meetings (including regularly scheduled and special meetings), and each director attended at least 75% of the aggregate of (i) the total number of meetings of our board of directors held during the period for which he or she served as a director and (ii) the total number of meetings held by all committees of our board of directors on which he or she served during the periods that he or she served.</w:t>
      </w:r>
    </w:p>
    <w:p>
      <w:pPr>
        <w:spacing w:after="0" w:line="148" w:lineRule="exact"/>
        <w:rPr>
          <w:sz w:val="20"/>
          <w:szCs w:val="20"/>
          <w:color w:val="auto"/>
        </w:rPr>
      </w:pPr>
    </w:p>
    <w:p>
      <w:pPr>
        <w:ind w:right="100"/>
        <w:spacing w:after="0" w:line="348" w:lineRule="auto"/>
        <w:rPr>
          <w:sz w:val="20"/>
          <w:szCs w:val="20"/>
          <w:color w:val="auto"/>
        </w:rPr>
      </w:pPr>
      <w:r>
        <w:rPr>
          <w:rFonts w:ascii="Arial" w:cs="Arial" w:eastAsia="Arial" w:hAnsi="Arial"/>
          <w:sz w:val="16"/>
          <w:szCs w:val="16"/>
          <w:color w:val="auto"/>
        </w:rPr>
        <w:t>Although we do not have a formal policy regarding attendance by members of our board of directors at annual meetings of stockholders, we encourage, but do not require, our directors to attend. All of our then current serving directors attended our last year's annual meeting of stockholders.</w:t>
      </w:r>
    </w:p>
    <w:p>
      <w:pPr>
        <w:spacing w:after="0" w:line="141" w:lineRule="exact"/>
        <w:rPr>
          <w:sz w:val="20"/>
          <w:szCs w:val="20"/>
          <w:color w:val="auto"/>
        </w:rPr>
      </w:pPr>
    </w:p>
    <w:p>
      <w:pPr>
        <w:jc w:val="both"/>
        <w:ind w:right="360"/>
        <w:spacing w:after="0" w:line="341" w:lineRule="auto"/>
        <w:rPr>
          <w:sz w:val="20"/>
          <w:szCs w:val="20"/>
          <w:color w:val="auto"/>
        </w:rPr>
      </w:pPr>
      <w:r>
        <w:rPr>
          <w:rFonts w:ascii="Arial" w:cs="Arial" w:eastAsia="Arial" w:hAnsi="Arial"/>
          <w:sz w:val="16"/>
          <w:szCs w:val="16"/>
          <w:color w:val="auto"/>
        </w:rPr>
        <w:t>We have established an audit committee, a compensation committee and a nominating and corporate governance committee with the composition and responsibilities described below. We believe that the composition and the operation of these committees comply with the requirements of the Sarbanes-Oxley Act of 2002, the rules of Nasdaq and SEC rules and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255270</wp:posOffset>
            </wp:positionV>
            <wp:extent cx="342900" cy="21463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42900" cy="214630"/>
                    </a:xfrm>
                    <a:prstGeom prst="rect">
                      <a:avLst/>
                    </a:prstGeom>
                    <a:noFill/>
                  </pic:spPr>
                </pic:pic>
              </a:graphicData>
            </a:graphic>
          </wp:anchor>
        </w:drawing>
      </w:r>
    </w:p>
    <w:p>
      <w:pPr>
        <w:spacing w:after="0" w:line="320" w:lineRule="exact"/>
        <w:rPr>
          <w:sz w:val="20"/>
          <w:szCs w:val="20"/>
          <w:color w:val="auto"/>
        </w:rPr>
      </w:pPr>
    </w:p>
    <w:p>
      <w:pPr>
        <w:jc w:val="both"/>
        <w:ind w:left="5540"/>
        <w:spacing w:after="0"/>
        <w:tabs>
          <w:tab w:leader="none" w:pos="9780" w:val="left"/>
        </w:tabs>
        <w:rPr>
          <w:sz w:val="20"/>
          <w:szCs w:val="20"/>
          <w:color w:val="auto"/>
        </w:rPr>
      </w:pPr>
      <w:r>
        <w:rPr>
          <w:rFonts w:ascii="Arial" w:cs="Arial" w:eastAsia="Arial" w:hAnsi="Arial"/>
          <w:sz w:val="29"/>
          <w:szCs w:val="29"/>
          <w:color w:val="auto"/>
          <w:vertAlign w:val="superscript"/>
        </w:rPr>
        <w:t>20</w:t>
      </w:r>
      <w:r>
        <w:rPr>
          <w:sz w:val="20"/>
          <w:szCs w:val="20"/>
          <w:color w:val="auto"/>
        </w:rPr>
        <w:tab/>
      </w:r>
      <w:r>
        <w:rPr>
          <w:rFonts w:ascii="Arial" w:cs="Arial" w:eastAsia="Arial" w:hAnsi="Arial"/>
          <w:sz w:val="14"/>
          <w:szCs w:val="14"/>
          <w:color w:val="auto"/>
        </w:rPr>
        <w:t>2021 Proxy Statement</w:t>
      </w:r>
    </w:p>
    <w:p>
      <w:pPr>
        <w:sectPr>
          <w:pgSz w:w="11900" w:h="16838" w:orient="portrait"/>
          <w:cols w:equalWidth="0" w:num="1">
            <w:col w:w="11220"/>
          </w:cols>
          <w:pgMar w:left="320" w:top="172" w:right="359" w:bottom="1440" w:gutter="0" w:footer="0" w:header="0"/>
        </w:sectPr>
      </w:pPr>
    </w:p>
    <w:bookmarkStart w:id="24" w:name="page25"/>
    <w:bookmarkEnd w:id="24"/>
    <w:p>
      <w:pPr>
        <w:ind w:left="280"/>
        <w:spacing w:after="0"/>
        <w:rPr>
          <w:sz w:val="20"/>
          <w:szCs w:val="20"/>
          <w:color w:val="auto"/>
        </w:rPr>
      </w:pPr>
      <w:r>
        <w:rPr>
          <w:rFonts w:ascii="Arial" w:cs="Arial" w:eastAsia="Arial" w:hAnsi="Arial"/>
          <w:sz w:val="12"/>
          <w:szCs w:val="12"/>
          <w:b w:val="1"/>
          <w:bCs w:val="1"/>
          <w:color w:val="929292"/>
        </w:rPr>
        <w:t>BOARD OF 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7470" cy="596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7470" cy="59690"/>
                    </a:xfrm>
                    <a:prstGeom prst="rect">
                      <a:avLst/>
                    </a:prstGeom>
                    <a:noFill/>
                  </pic:spPr>
                </pic:pic>
              </a:graphicData>
            </a:graphic>
          </wp:anchor>
        </w:drawing>
      </w:r>
    </w:p>
    <w:p>
      <w:pPr>
        <w:sectPr>
          <w:pgSz w:w="11900" w:h="16838" w:orient="portrait"/>
          <w:cols w:equalWidth="0" w:num="1">
            <w:col w:w="11220"/>
          </w:cols>
          <w:pgMar w:left="320" w:top="17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22"/>
          <w:szCs w:val="22"/>
          <w:b w:val="1"/>
          <w:bCs w:val="1"/>
          <w:color w:val="009ADA"/>
        </w:rPr>
        <w:t>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2417445" cy="23177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417445" cy="231775"/>
                    </a:xfrm>
                    <a:prstGeom prst="rect">
                      <a:avLst/>
                    </a:prstGeom>
                    <a:noFill/>
                  </pic:spPr>
                </pic:pic>
              </a:graphicData>
            </a:graphic>
          </wp:anchor>
        </w:drawing>
      </w:r>
    </w:p>
    <w:p>
      <w:pPr>
        <w:spacing w:after="0" w:line="200"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FFFFFF"/>
        </w:rPr>
        <w:t>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2425700" cy="77978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425700" cy="779780"/>
                    </a:xfrm>
                    <a:prstGeom prst="rect">
                      <a:avLst/>
                    </a:prstGeom>
                    <a:noFill/>
                  </pic:spPr>
                </pic:pic>
              </a:graphicData>
            </a:graphic>
          </wp:anchor>
        </w:drawing>
      </w:r>
    </w:p>
    <w:p>
      <w:pPr>
        <w:spacing w:after="0" w:line="294" w:lineRule="exact"/>
        <w:rPr>
          <w:sz w:val="20"/>
          <w:szCs w:val="20"/>
          <w:color w:val="auto"/>
        </w:rPr>
      </w:pPr>
    </w:p>
    <w:p>
      <w:pPr>
        <w:ind w:left="100" w:right="1500"/>
        <w:spacing w:after="0" w:line="258" w:lineRule="auto"/>
        <w:rPr>
          <w:sz w:val="20"/>
          <w:szCs w:val="20"/>
          <w:color w:val="auto"/>
        </w:rPr>
      </w:pPr>
      <w:r>
        <w:rPr>
          <w:rFonts w:ascii="Arial" w:cs="Arial" w:eastAsia="Arial" w:hAnsi="Arial"/>
          <w:sz w:val="22"/>
          <w:szCs w:val="22"/>
          <w:b w:val="1"/>
          <w:bCs w:val="1"/>
          <w:color w:val="FFFFFF"/>
        </w:rPr>
        <w:t>Ms. Blasing (Chair) Mr. Brown Mr. Darling</w:t>
      </w:r>
    </w:p>
    <w:p>
      <w:pPr>
        <w:spacing w:after="0" w:line="387" w:lineRule="exact"/>
        <w:rPr>
          <w:sz w:val="20"/>
          <w:szCs w:val="20"/>
          <w:color w:val="auto"/>
        </w:rPr>
      </w:pPr>
    </w:p>
    <w:p>
      <w:pPr>
        <w:ind w:left="100"/>
        <w:spacing w:after="0" w:line="338" w:lineRule="auto"/>
        <w:rPr>
          <w:sz w:val="20"/>
          <w:szCs w:val="20"/>
          <w:color w:val="auto"/>
        </w:rPr>
      </w:pPr>
      <w:r>
        <w:rPr>
          <w:rFonts w:ascii="Arial" w:cs="Arial" w:eastAsia="Arial" w:hAnsi="Arial"/>
          <w:sz w:val="16"/>
          <w:szCs w:val="16"/>
          <w:b w:val="1"/>
          <w:bCs w:val="1"/>
          <w:color w:val="auto"/>
        </w:rPr>
        <w:t>Our board of directors has determined that all members of our audit committee meet the requirements for independence and financial literacy of audit committee members under current Nasdaq listing standards and SEC rules and regulations. Our audit committee chairperson, Ms. Blasing, is our audit committee financial expert, as that term is defined under the SEC rules implementing Section 407 of the Sarbanes-Oxley Act of 2002, and possesses financial sophistication, as defined under Nasdaq listing standards.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sz w:val="1"/>
          <w:szCs w:val="1"/>
          <w:color w:val="auto"/>
        </w:rPr>
        <w:drawing>
          <wp:inline distT="0" distB="0" distL="0" distR="0">
            <wp:extent cx="145415" cy="240030"/>
            <wp:effectExtent l="0" t="0" r="0" b="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45415" cy="240030"/>
                    </a:xfrm>
                    <a:prstGeom prst="rect">
                      <a:avLst/>
                    </a:prstGeom>
                    <a:noFill/>
                    <a:ln>
                      <a:noFill/>
                    </a:ln>
                  </pic:spPr>
                </pic:pic>
              </a:graphicData>
            </a:graphic>
          </wp:inline>
        </w:drawing>
      </w:r>
      <w:r>
        <w:rPr>
          <w:rFonts w:ascii="Arial" w:cs="Arial" w:eastAsia="Arial" w:hAnsi="Arial"/>
          <w:sz w:val="22"/>
          <w:szCs w:val="22"/>
          <w:b w:val="1"/>
          <w:bCs w:val="1"/>
          <w:color w:val="FFFFFF"/>
        </w:rPr>
        <w:t>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-239395</wp:posOffset>
            </wp:positionV>
            <wp:extent cx="4714875" cy="23177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714875" cy="231775"/>
                    </a:xfrm>
                    <a:prstGeom prst="rect">
                      <a:avLst/>
                    </a:prstGeom>
                    <a:noFill/>
                  </pic:spPr>
                </pic:pic>
              </a:graphicData>
            </a:graphic>
          </wp:anchor>
        </w:drawing>
      </w:r>
    </w:p>
    <w:p>
      <w:pPr>
        <w:spacing w:after="0" w:line="171" w:lineRule="exact"/>
        <w:rPr>
          <w:sz w:val="20"/>
          <w:szCs w:val="20"/>
          <w:color w:val="auto"/>
        </w:rPr>
      </w:pPr>
    </w:p>
    <w:p>
      <w:pPr>
        <w:ind w:left="360" w:hanging="118"/>
        <w:spacing w:after="0"/>
        <w:tabs>
          <w:tab w:leader="none" w:pos="3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selecting and hiring our registered public accounting firm;</w:t>
      </w:r>
    </w:p>
    <w:p>
      <w:pPr>
        <w:spacing w:after="0" w:line="234" w:lineRule="exact"/>
        <w:rPr>
          <w:rFonts w:ascii="Arial" w:cs="Arial" w:eastAsia="Arial" w:hAnsi="Arial"/>
          <w:sz w:val="16"/>
          <w:szCs w:val="16"/>
          <w:color w:val="auto"/>
        </w:rPr>
      </w:pPr>
    </w:p>
    <w:p>
      <w:pPr>
        <w:ind w:left="360" w:hanging="118"/>
        <w:spacing w:after="0"/>
        <w:tabs>
          <w:tab w:leader="none" w:pos="3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evaluating the performance and independence of our registered public accounting firm;</w:t>
      </w:r>
    </w:p>
    <w:p>
      <w:pPr>
        <w:spacing w:after="0" w:line="234" w:lineRule="exact"/>
        <w:rPr>
          <w:rFonts w:ascii="Arial" w:cs="Arial" w:eastAsia="Arial" w:hAnsi="Arial"/>
          <w:sz w:val="16"/>
          <w:szCs w:val="16"/>
          <w:color w:val="auto"/>
        </w:rPr>
      </w:pPr>
    </w:p>
    <w:p>
      <w:pPr>
        <w:ind w:left="400" w:right="180" w:hanging="158"/>
        <w:spacing w:after="0" w:line="348" w:lineRule="auto"/>
        <w:tabs>
          <w:tab w:leader="none" w:pos="362" w:val="left"/>
        </w:tabs>
        <w:numPr>
          <w:ilvl w:val="0"/>
          <w:numId w:val="26"/>
        </w:numPr>
        <w:rPr>
          <w:rFonts w:ascii="Arial" w:cs="Arial" w:eastAsia="Arial" w:hAnsi="Arial"/>
          <w:sz w:val="16"/>
          <w:szCs w:val="16"/>
          <w:color w:val="auto"/>
        </w:rPr>
      </w:pPr>
      <w:r>
        <w:rPr>
          <w:rFonts w:ascii="Arial" w:cs="Arial" w:eastAsia="Arial" w:hAnsi="Arial"/>
          <w:sz w:val="16"/>
          <w:szCs w:val="16"/>
          <w:color w:val="auto"/>
        </w:rPr>
        <w:t>approving the audit and pre-approving any non-audit services to be performed by our registered public accounting firm;</w:t>
      </w:r>
    </w:p>
    <w:p>
      <w:pPr>
        <w:spacing w:after="0" w:line="141" w:lineRule="exact"/>
        <w:rPr>
          <w:rFonts w:ascii="Arial" w:cs="Arial" w:eastAsia="Arial" w:hAnsi="Arial"/>
          <w:sz w:val="16"/>
          <w:szCs w:val="16"/>
          <w:color w:val="auto"/>
        </w:rPr>
      </w:pPr>
    </w:p>
    <w:p>
      <w:pPr>
        <w:ind w:left="400" w:right="220" w:hanging="158"/>
        <w:spacing w:after="0" w:line="348" w:lineRule="auto"/>
        <w:tabs>
          <w:tab w:leader="none" w:pos="362"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reviewing our financial statements and related disclosures and reviewing our critical accounting policies and practices;</w:t>
      </w:r>
    </w:p>
    <w:p>
      <w:pPr>
        <w:spacing w:after="0" w:line="141" w:lineRule="exact"/>
        <w:rPr>
          <w:rFonts w:ascii="Arial" w:cs="Arial" w:eastAsia="Arial" w:hAnsi="Arial"/>
          <w:sz w:val="16"/>
          <w:szCs w:val="16"/>
          <w:color w:val="auto"/>
        </w:rPr>
      </w:pPr>
    </w:p>
    <w:p>
      <w:pPr>
        <w:ind w:left="400" w:right="120" w:hanging="158"/>
        <w:spacing w:after="0" w:line="348" w:lineRule="auto"/>
        <w:tabs>
          <w:tab w:leader="none" w:pos="362"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reviewing the adequacy and effectiveness of our internal control policies and procedures and our disclosure controls and procedures;</w:t>
      </w:r>
    </w:p>
    <w:p>
      <w:pPr>
        <w:spacing w:after="0" w:line="141" w:lineRule="exact"/>
        <w:rPr>
          <w:rFonts w:ascii="Arial" w:cs="Arial" w:eastAsia="Arial" w:hAnsi="Arial"/>
          <w:sz w:val="16"/>
          <w:szCs w:val="16"/>
          <w:color w:val="auto"/>
        </w:rPr>
      </w:pPr>
    </w:p>
    <w:p>
      <w:pPr>
        <w:ind w:left="400" w:right="40" w:hanging="158"/>
        <w:spacing w:after="0" w:line="348" w:lineRule="auto"/>
        <w:tabs>
          <w:tab w:leader="none" w:pos="362" w:val="left"/>
        </w:tabs>
        <w:numPr>
          <w:ilvl w:val="0"/>
          <w:numId w:val="26"/>
        </w:numPr>
        <w:rPr>
          <w:rFonts w:ascii="Arial" w:cs="Arial" w:eastAsia="Arial" w:hAnsi="Arial"/>
          <w:sz w:val="16"/>
          <w:szCs w:val="16"/>
          <w:color w:val="auto"/>
        </w:rPr>
      </w:pPr>
      <w:r>
        <w:rPr>
          <w:rFonts w:ascii="Arial" w:cs="Arial" w:eastAsia="Arial" w:hAnsi="Arial"/>
          <w:sz w:val="16"/>
          <w:szCs w:val="16"/>
          <w:color w:val="auto"/>
        </w:rPr>
        <w:t>overseeing procedures for the treatment of complaints on accounting, internal accounting controls or audit matters;</w:t>
      </w:r>
    </w:p>
    <w:p>
      <w:pPr>
        <w:spacing w:after="0" w:line="141" w:lineRule="exact"/>
        <w:rPr>
          <w:rFonts w:ascii="Arial" w:cs="Arial" w:eastAsia="Arial" w:hAnsi="Arial"/>
          <w:sz w:val="16"/>
          <w:szCs w:val="16"/>
          <w:color w:val="auto"/>
        </w:rPr>
      </w:pPr>
    </w:p>
    <w:p>
      <w:pPr>
        <w:ind w:left="400" w:right="20" w:hanging="158"/>
        <w:spacing w:after="0" w:line="348" w:lineRule="auto"/>
        <w:tabs>
          <w:tab w:leader="none" w:pos="362"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reviewing and discussing with management and the independent registered public accounting firm the results of our annual audit, our quarterly financial statements and our publicly filed reports;</w:t>
      </w:r>
    </w:p>
    <w:p>
      <w:pPr>
        <w:spacing w:after="0" w:line="141" w:lineRule="exact"/>
        <w:rPr>
          <w:rFonts w:ascii="Arial" w:cs="Arial" w:eastAsia="Arial" w:hAnsi="Arial"/>
          <w:sz w:val="16"/>
          <w:szCs w:val="16"/>
          <w:color w:val="auto"/>
        </w:rPr>
      </w:pPr>
    </w:p>
    <w:p>
      <w:pPr>
        <w:ind w:left="360" w:hanging="118"/>
        <w:spacing w:after="0"/>
        <w:tabs>
          <w:tab w:leader="none" w:pos="3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risk assessment and management, including privacy and cybersecurity risk;</w:t>
      </w:r>
    </w:p>
    <w:p>
      <w:pPr>
        <w:spacing w:after="0" w:line="234" w:lineRule="exact"/>
        <w:rPr>
          <w:rFonts w:ascii="Arial" w:cs="Arial" w:eastAsia="Arial" w:hAnsi="Arial"/>
          <w:sz w:val="16"/>
          <w:szCs w:val="16"/>
          <w:color w:val="auto"/>
        </w:rPr>
      </w:pPr>
    </w:p>
    <w:p>
      <w:pPr>
        <w:ind w:left="360" w:hanging="118"/>
        <w:spacing w:after="0"/>
        <w:tabs>
          <w:tab w:leader="none" w:pos="3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reviewing and approving in advance any proposed related-person transactions; and</w:t>
      </w:r>
    </w:p>
    <w:p>
      <w:pPr>
        <w:spacing w:after="0" w:line="234" w:lineRule="exact"/>
        <w:rPr>
          <w:rFonts w:ascii="Arial" w:cs="Arial" w:eastAsia="Arial" w:hAnsi="Arial"/>
          <w:sz w:val="16"/>
          <w:szCs w:val="16"/>
          <w:color w:val="auto"/>
        </w:rPr>
      </w:pPr>
    </w:p>
    <w:p>
      <w:pPr>
        <w:ind w:left="360" w:hanging="118"/>
        <w:spacing w:after="0"/>
        <w:tabs>
          <w:tab w:leader="none" w:pos="3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preparing the audit committee report that the SEC will require in our annual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-2672080</wp:posOffset>
            </wp:positionV>
            <wp:extent cx="8255" cy="32404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255" cy="32404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560" w:space="260"/>
            <w:col w:w="7400"/>
          </w:cols>
          <w:pgMar w:left="320" w:top="172"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both"/>
        <w:ind w:right="20"/>
        <w:spacing w:after="0" w:line="341" w:lineRule="auto"/>
        <w:rPr>
          <w:sz w:val="20"/>
          <w:szCs w:val="20"/>
          <w:color w:val="auto"/>
        </w:rPr>
      </w:pPr>
      <w:r>
        <w:rPr>
          <w:rFonts w:ascii="Arial" w:cs="Arial" w:eastAsia="Arial" w:hAnsi="Arial"/>
          <w:sz w:val="16"/>
          <w:szCs w:val="16"/>
          <w:color w:val="auto"/>
        </w:rPr>
        <w:t xml:space="preserve">Our audit committee operates under a written charter that satisfies the applicable rules and regulations of the SEC and the listing requirements of Nasdaq. A copy of the charter of our audit committee is available on our website at </w:t>
      </w:r>
      <w:r>
        <w:rPr>
          <w:rFonts w:ascii="Arial" w:cs="Arial" w:eastAsia="Arial" w:hAnsi="Arial"/>
          <w:sz w:val="16"/>
          <w:szCs w:val="16"/>
          <w:b w:val="1"/>
          <w:bCs w:val="1"/>
          <w:color w:val="auto"/>
        </w:rPr>
        <w:t>http://ir.zscaler.com</w:t>
      </w:r>
      <w:r>
        <w:rPr>
          <w:rFonts w:ascii="Arial" w:cs="Arial" w:eastAsia="Arial" w:hAnsi="Arial"/>
          <w:sz w:val="16"/>
          <w:szCs w:val="16"/>
          <w:color w:val="auto"/>
        </w:rPr>
        <w:t xml:space="preserve"> in the Governance section of our Investor Relations webpage. During the fiscal year ended July 31, 2021, our audit committee held five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255270</wp:posOffset>
            </wp:positionV>
            <wp:extent cx="342900" cy="21463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42900" cy="214630"/>
                    </a:xfrm>
                    <a:prstGeom prst="rect">
                      <a:avLst/>
                    </a:prstGeom>
                    <a:noFill/>
                  </pic:spPr>
                </pic:pic>
              </a:graphicData>
            </a:graphic>
          </wp:anchor>
        </w:drawing>
      </w:r>
    </w:p>
    <w:p>
      <w:pPr>
        <w:spacing w:after="0" w:line="320" w:lineRule="exact"/>
        <w:rPr>
          <w:sz w:val="20"/>
          <w:szCs w:val="20"/>
          <w:color w:val="auto"/>
        </w:rPr>
      </w:pPr>
    </w:p>
    <w:p>
      <w:pPr>
        <w:jc w:val="both"/>
        <w:ind w:left="5540"/>
        <w:spacing w:after="0"/>
        <w:tabs>
          <w:tab w:leader="none" w:pos="9780" w:val="left"/>
        </w:tabs>
        <w:rPr>
          <w:sz w:val="20"/>
          <w:szCs w:val="20"/>
          <w:color w:val="auto"/>
        </w:rPr>
      </w:pPr>
      <w:r>
        <w:rPr>
          <w:rFonts w:ascii="Arial" w:cs="Arial" w:eastAsia="Arial" w:hAnsi="Arial"/>
          <w:sz w:val="29"/>
          <w:szCs w:val="29"/>
          <w:color w:val="auto"/>
          <w:vertAlign w:val="superscript"/>
        </w:rPr>
        <w:t>21</w:t>
      </w:r>
      <w:r>
        <w:rPr>
          <w:sz w:val="20"/>
          <w:szCs w:val="20"/>
          <w:color w:val="auto"/>
        </w:rPr>
        <w:tab/>
      </w:r>
      <w:r>
        <w:rPr>
          <w:rFonts w:ascii="Arial" w:cs="Arial" w:eastAsia="Arial" w:hAnsi="Arial"/>
          <w:sz w:val="14"/>
          <w:szCs w:val="14"/>
          <w:color w:val="auto"/>
        </w:rPr>
        <w:t>2021 Proxy Statement</w:t>
      </w:r>
    </w:p>
    <w:p>
      <w:pPr>
        <w:sectPr>
          <w:pgSz w:w="11900" w:h="16838" w:orient="portrait"/>
          <w:cols w:equalWidth="0" w:num="1">
            <w:col w:w="11220"/>
          </w:cols>
          <w:pgMar w:left="320" w:top="172" w:right="359" w:bottom="1440" w:gutter="0" w:footer="0" w:header="0"/>
          <w:type w:val="continuous"/>
        </w:sectPr>
      </w:pPr>
    </w:p>
    <w:bookmarkStart w:id="25" w:name="page26"/>
    <w:bookmarkEnd w:id="25"/>
    <w:p>
      <w:pPr>
        <w:ind w:left="280"/>
        <w:spacing w:after="0"/>
        <w:rPr>
          <w:sz w:val="20"/>
          <w:szCs w:val="20"/>
          <w:color w:val="auto"/>
        </w:rPr>
      </w:pPr>
      <w:r>
        <w:rPr>
          <w:rFonts w:ascii="Arial" w:cs="Arial" w:eastAsia="Arial" w:hAnsi="Arial"/>
          <w:sz w:val="12"/>
          <w:szCs w:val="12"/>
          <w:b w:val="1"/>
          <w:bCs w:val="1"/>
          <w:color w:val="929292"/>
        </w:rPr>
        <w:t>BOARD OF 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7470" cy="596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7470" cy="59690"/>
                    </a:xfrm>
                    <a:prstGeom prst="rect">
                      <a:avLst/>
                    </a:prstGeom>
                    <a:noFill/>
                  </pic:spPr>
                </pic:pic>
              </a:graphicData>
            </a:graphic>
          </wp:anchor>
        </w:drawing>
      </w:r>
    </w:p>
    <w:p>
      <w:pPr>
        <w:sectPr>
          <w:pgSz w:w="11900" w:h="16838" w:orient="portrait"/>
          <w:cols w:equalWidth="0" w:num="1">
            <w:col w:w="11220"/>
          </w:cols>
          <w:pgMar w:left="320" w:top="17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22"/>
          <w:szCs w:val="22"/>
          <w:b w:val="1"/>
          <w:bCs w:val="1"/>
          <w:color w:val="009ADA"/>
        </w:rPr>
        <w:t>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2417445" cy="2311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417445" cy="231140"/>
                    </a:xfrm>
                    <a:prstGeom prst="rect">
                      <a:avLst/>
                    </a:prstGeom>
                    <a:noFill/>
                  </pic:spPr>
                </pic:pic>
              </a:graphicData>
            </a:graphic>
          </wp:anchor>
        </w:drawing>
      </w:r>
    </w:p>
    <w:p>
      <w:pPr>
        <w:spacing w:after="0" w:line="200"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FFFFFF"/>
        </w:rPr>
        <w:t>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2425700" cy="77978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425700" cy="779780"/>
                    </a:xfrm>
                    <a:prstGeom prst="rect">
                      <a:avLst/>
                    </a:prstGeom>
                    <a:noFill/>
                  </pic:spPr>
                </pic:pic>
              </a:graphicData>
            </a:graphic>
          </wp:anchor>
        </w:drawing>
      </w:r>
    </w:p>
    <w:p>
      <w:pPr>
        <w:spacing w:after="0" w:line="294"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FFFFFF"/>
        </w:rPr>
        <w:t>Mr. Brown (Chair)</w:t>
      </w:r>
    </w:p>
    <w:p>
      <w:pPr>
        <w:spacing w:after="0" w:line="30"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FFFFFF"/>
        </w:rPr>
        <w:t>Ms. Blasing</w:t>
      </w:r>
    </w:p>
    <w:p>
      <w:pPr>
        <w:spacing w:after="0" w:line="4"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FFFFFF"/>
        </w:rPr>
        <w:t>Mr. Giancarlo</w:t>
      </w:r>
    </w:p>
    <w:p>
      <w:pPr>
        <w:spacing w:after="0" w:line="200" w:lineRule="exact"/>
        <w:rPr>
          <w:sz w:val="20"/>
          <w:szCs w:val="20"/>
          <w:color w:val="auto"/>
        </w:rPr>
      </w:pPr>
    </w:p>
    <w:p>
      <w:pPr>
        <w:spacing w:after="0" w:line="210" w:lineRule="exact"/>
        <w:rPr>
          <w:sz w:val="20"/>
          <w:szCs w:val="20"/>
          <w:color w:val="auto"/>
        </w:rPr>
      </w:pPr>
    </w:p>
    <w:p>
      <w:pPr>
        <w:ind w:left="100"/>
        <w:spacing w:after="0" w:line="339" w:lineRule="auto"/>
        <w:rPr>
          <w:sz w:val="20"/>
          <w:szCs w:val="20"/>
          <w:color w:val="auto"/>
        </w:rPr>
      </w:pPr>
      <w:r>
        <w:rPr>
          <w:rFonts w:ascii="Arial" w:cs="Arial" w:eastAsia="Arial" w:hAnsi="Arial"/>
          <w:sz w:val="16"/>
          <w:szCs w:val="16"/>
          <w:b w:val="1"/>
          <w:bCs w:val="1"/>
          <w:color w:val="auto"/>
        </w:rPr>
        <w:t>Our board of directors has determined that each member of our compensation committee meets the requirements for independence under the rules of Nasdaq and the SEC and is a “non-employee director” within the meaning of Rule 16b-3 under the Exchange Act. The compensation committee is responsible for, among other things: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sz w:val="1"/>
          <w:szCs w:val="1"/>
          <w:color w:val="auto"/>
        </w:rPr>
        <w:drawing>
          <wp:inline distT="0" distB="0" distL="0" distR="0">
            <wp:extent cx="145415" cy="240030"/>
            <wp:effectExtent l="0" t="0" r="0" b="0"/>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45415" cy="240030"/>
                    </a:xfrm>
                    <a:prstGeom prst="rect">
                      <a:avLst/>
                    </a:prstGeom>
                    <a:noFill/>
                    <a:ln>
                      <a:noFill/>
                    </a:ln>
                  </pic:spPr>
                </pic:pic>
              </a:graphicData>
            </a:graphic>
          </wp:inline>
        </w:drawing>
      </w:r>
      <w:r>
        <w:rPr>
          <w:rFonts w:ascii="Arial" w:cs="Arial" w:eastAsia="Arial" w:hAnsi="Arial"/>
          <w:sz w:val="22"/>
          <w:szCs w:val="22"/>
          <w:b w:val="1"/>
          <w:bCs w:val="1"/>
          <w:color w:val="FFFFFF"/>
        </w:rPr>
        <w:t>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-239395</wp:posOffset>
            </wp:positionV>
            <wp:extent cx="4714875" cy="2311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4714875" cy="231140"/>
                    </a:xfrm>
                    <a:prstGeom prst="rect">
                      <a:avLst/>
                    </a:prstGeom>
                    <a:noFill/>
                  </pic:spPr>
                </pic:pic>
              </a:graphicData>
            </a:graphic>
          </wp:anchor>
        </w:drawing>
      </w:r>
    </w:p>
    <w:p>
      <w:pPr>
        <w:spacing w:after="0" w:line="171" w:lineRule="exact"/>
        <w:rPr>
          <w:sz w:val="20"/>
          <w:szCs w:val="20"/>
          <w:color w:val="auto"/>
        </w:rPr>
      </w:pPr>
    </w:p>
    <w:p>
      <w:pPr>
        <w:ind w:left="400" w:right="300" w:hanging="158"/>
        <w:spacing w:after="0" w:line="339" w:lineRule="auto"/>
        <w:tabs>
          <w:tab w:leader="none" w:pos="362" w:val="left"/>
        </w:tabs>
        <w:numPr>
          <w:ilvl w:val="0"/>
          <w:numId w:val="27"/>
        </w:numPr>
        <w:rPr>
          <w:rFonts w:ascii="Arial" w:cs="Arial" w:eastAsia="Arial" w:hAnsi="Arial"/>
          <w:sz w:val="16"/>
          <w:szCs w:val="16"/>
          <w:color w:val="auto"/>
        </w:rPr>
      </w:pPr>
      <w:r>
        <w:rPr>
          <w:rFonts w:ascii="Arial" w:cs="Arial" w:eastAsia="Arial" w:hAnsi="Arial"/>
          <w:sz w:val="16"/>
          <w:szCs w:val="16"/>
          <w:color w:val="auto"/>
        </w:rPr>
        <w:t>reviewing and approving our chief executive officer’s and other executive officers’ annual base salaries, incentive compensation plans, including the specific goals and amounts, equity compensation, employment agreements, severance arrangements and change in control agreements and any other benefits, compensation or arrangements;</w:t>
      </w:r>
    </w:p>
    <w:p>
      <w:pPr>
        <w:spacing w:after="0" w:line="148" w:lineRule="exact"/>
        <w:rPr>
          <w:rFonts w:ascii="Arial" w:cs="Arial" w:eastAsia="Arial" w:hAnsi="Arial"/>
          <w:sz w:val="16"/>
          <w:szCs w:val="16"/>
          <w:color w:val="auto"/>
        </w:rPr>
      </w:pPr>
    </w:p>
    <w:p>
      <w:pPr>
        <w:ind w:left="360" w:hanging="118"/>
        <w:spacing w:after="0"/>
        <w:tabs>
          <w:tab w:leader="none" w:pos="3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administering our equity compensation plans;</w:t>
      </w:r>
    </w:p>
    <w:p>
      <w:pPr>
        <w:spacing w:after="0" w:line="234" w:lineRule="exact"/>
        <w:rPr>
          <w:rFonts w:ascii="Arial" w:cs="Arial" w:eastAsia="Arial" w:hAnsi="Arial"/>
          <w:sz w:val="16"/>
          <w:szCs w:val="16"/>
          <w:color w:val="auto"/>
        </w:rPr>
      </w:pPr>
    </w:p>
    <w:p>
      <w:pPr>
        <w:ind w:left="360" w:hanging="118"/>
        <w:spacing w:after="0"/>
        <w:tabs>
          <w:tab w:leader="none" w:pos="3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overseeing our overall compensation philosophy, compensation plans and benefits programs; and</w:t>
      </w:r>
    </w:p>
    <w:p>
      <w:pPr>
        <w:spacing w:after="0" w:line="234" w:lineRule="exact"/>
        <w:rPr>
          <w:rFonts w:ascii="Arial" w:cs="Arial" w:eastAsia="Arial" w:hAnsi="Arial"/>
          <w:sz w:val="16"/>
          <w:szCs w:val="16"/>
          <w:color w:val="auto"/>
        </w:rPr>
      </w:pPr>
    </w:p>
    <w:p>
      <w:pPr>
        <w:ind w:left="360" w:hanging="118"/>
        <w:spacing w:after="0"/>
        <w:tabs>
          <w:tab w:leader="none" w:pos="3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preparing the compensation committee report t in our annual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-751840</wp:posOffset>
            </wp:positionV>
            <wp:extent cx="8255" cy="16027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255" cy="1602740"/>
                    </a:xfrm>
                    <a:prstGeom prst="rect">
                      <a:avLst/>
                    </a:prstGeom>
                    <a:noFill/>
                  </pic:spPr>
                </pic:pic>
              </a:graphicData>
            </a:graphic>
          </wp:anchor>
        </w:drawing>
      </w:r>
    </w:p>
    <w:p>
      <w:pPr>
        <w:spacing w:after="0" w:line="1538" w:lineRule="exact"/>
        <w:rPr>
          <w:sz w:val="20"/>
          <w:szCs w:val="20"/>
          <w:color w:val="auto"/>
        </w:rPr>
      </w:pPr>
    </w:p>
    <w:p>
      <w:pPr>
        <w:sectPr>
          <w:pgSz w:w="11900" w:h="16838" w:orient="portrait"/>
          <w:cols w:equalWidth="0" w:num="2">
            <w:col w:w="3480" w:space="340"/>
            <w:col w:w="7400"/>
          </w:cols>
          <w:pgMar w:left="320" w:top="172" w:right="359" w:bottom="1440" w:gutter="0" w:footer="0" w:header="0"/>
          <w:type w:val="continuous"/>
        </w:sectPr>
      </w:pPr>
    </w:p>
    <w:p>
      <w:pPr>
        <w:spacing w:after="0" w:line="33" w:lineRule="exact"/>
        <w:rPr>
          <w:sz w:val="20"/>
          <w:szCs w:val="20"/>
          <w:color w:val="auto"/>
        </w:rPr>
      </w:pPr>
    </w:p>
    <w:p>
      <w:pPr>
        <w:ind w:right="240"/>
        <w:spacing w:after="0" w:line="341" w:lineRule="auto"/>
        <w:rPr>
          <w:sz w:val="20"/>
          <w:szCs w:val="20"/>
          <w:color w:val="auto"/>
        </w:rPr>
      </w:pPr>
      <w:r>
        <w:rPr>
          <w:rFonts w:ascii="Arial" w:cs="Arial" w:eastAsia="Arial" w:hAnsi="Arial"/>
          <w:sz w:val="16"/>
          <w:szCs w:val="16"/>
          <w:color w:val="auto"/>
        </w:rPr>
        <w:t xml:space="preserve">Our compensation committee operates under a written charter that satisfies the listing standards of Nasdaq. A copy of the charter of our compensation committee is available on our website at </w:t>
      </w:r>
      <w:r>
        <w:rPr>
          <w:rFonts w:ascii="Arial" w:cs="Arial" w:eastAsia="Arial" w:hAnsi="Arial"/>
          <w:sz w:val="16"/>
          <w:szCs w:val="16"/>
          <w:b w:val="1"/>
          <w:bCs w:val="1"/>
          <w:color w:val="auto"/>
        </w:rPr>
        <w:t>http://ir.zscaler.com</w:t>
      </w:r>
      <w:r>
        <w:rPr>
          <w:rFonts w:ascii="Arial" w:cs="Arial" w:eastAsia="Arial" w:hAnsi="Arial"/>
          <w:sz w:val="16"/>
          <w:szCs w:val="16"/>
          <w:color w:val="auto"/>
        </w:rPr>
        <w:t xml:space="preserve"> in the Governance section of our Investor Relations webpage. During the fiscal year ended July 31, 2021, our compensation committee held five meetings.</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color w:val="009ADA"/>
        </w:rPr>
        <w:t>Nominating and Corporate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23177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231775"/>
                    </a:xfrm>
                    <a:prstGeom prst="rect">
                      <a:avLst/>
                    </a:prstGeom>
                    <a:noFill/>
                  </pic:spPr>
                </pic:pic>
              </a:graphicData>
            </a:graphic>
          </wp:anchor>
        </w:drawing>
      </w:r>
    </w:p>
    <w:p>
      <w:pPr>
        <w:sectPr>
          <w:pgSz w:w="11900" w:h="16838" w:orient="portrait"/>
          <w:cols w:equalWidth="0" w:num="1">
            <w:col w:w="11220"/>
          </w:cols>
          <w:pgMar w:left="320" w:top="172" w:right="359" w:bottom="1440" w:gutter="0" w:footer="0" w:header="0"/>
          <w:type w:val="continuous"/>
        </w:sectPr>
      </w:pPr>
    </w:p>
    <w:p>
      <w:pPr>
        <w:spacing w:after="0" w:line="220"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FFFFFF"/>
        </w:rPr>
        <w:t>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2425700" cy="77978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425700" cy="779780"/>
                    </a:xfrm>
                    <a:prstGeom prst="rect">
                      <a:avLst/>
                    </a:prstGeom>
                    <a:noFill/>
                  </pic:spPr>
                </pic:pic>
              </a:graphicData>
            </a:graphic>
          </wp:anchor>
        </w:drawing>
      </w:r>
    </w:p>
    <w:p>
      <w:pPr>
        <w:spacing w:after="0" w:line="294" w:lineRule="exact"/>
        <w:rPr>
          <w:sz w:val="20"/>
          <w:szCs w:val="20"/>
          <w:color w:val="auto"/>
        </w:rPr>
      </w:pPr>
    </w:p>
    <w:p>
      <w:pPr>
        <w:ind w:left="100" w:right="1180"/>
        <w:spacing w:after="0" w:line="258" w:lineRule="auto"/>
        <w:rPr>
          <w:sz w:val="20"/>
          <w:szCs w:val="20"/>
          <w:color w:val="auto"/>
        </w:rPr>
      </w:pPr>
      <w:r>
        <w:rPr>
          <w:rFonts w:ascii="Arial" w:cs="Arial" w:eastAsia="Arial" w:hAnsi="Arial"/>
          <w:sz w:val="22"/>
          <w:szCs w:val="22"/>
          <w:b w:val="1"/>
          <w:bCs w:val="1"/>
          <w:color w:val="FFFFFF"/>
        </w:rPr>
        <w:t>Mr. Giancarlo (Chair) Mr. Darling Mr. Schneider</w:t>
      </w:r>
    </w:p>
    <w:p>
      <w:pPr>
        <w:spacing w:after="0" w:line="387" w:lineRule="exact"/>
        <w:rPr>
          <w:sz w:val="20"/>
          <w:szCs w:val="20"/>
          <w:color w:val="auto"/>
        </w:rPr>
      </w:pPr>
    </w:p>
    <w:p>
      <w:pPr>
        <w:ind w:left="100"/>
        <w:spacing w:after="0" w:line="341" w:lineRule="auto"/>
        <w:rPr>
          <w:sz w:val="20"/>
          <w:szCs w:val="20"/>
          <w:color w:val="auto"/>
        </w:rPr>
      </w:pPr>
      <w:r>
        <w:rPr>
          <w:rFonts w:ascii="Arial" w:cs="Arial" w:eastAsia="Arial" w:hAnsi="Arial"/>
          <w:sz w:val="16"/>
          <w:szCs w:val="16"/>
          <w:b w:val="1"/>
          <w:bCs w:val="1"/>
          <w:color w:val="auto"/>
        </w:rPr>
        <w:t>Our board of directors has determined that all members of our nominating and corporate governance committee meet the requirements for independence under the rules of Nasdaq. The nominating and corporate governance committee is responsible for, among other things:</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sz w:val="1"/>
          <w:szCs w:val="1"/>
          <w:color w:val="auto"/>
        </w:rPr>
        <w:drawing>
          <wp:inline distT="0" distB="0" distL="0" distR="0">
            <wp:extent cx="145415" cy="240030"/>
            <wp:effectExtent l="0" t="0" r="0" b="0"/>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45415" cy="240030"/>
                    </a:xfrm>
                    <a:prstGeom prst="rect">
                      <a:avLst/>
                    </a:prstGeom>
                    <a:noFill/>
                    <a:ln>
                      <a:noFill/>
                    </a:ln>
                  </pic:spPr>
                </pic:pic>
              </a:graphicData>
            </a:graphic>
          </wp:inline>
        </w:drawing>
      </w:r>
      <w:r>
        <w:rPr>
          <w:rFonts w:ascii="Arial" w:cs="Arial" w:eastAsia="Arial" w:hAnsi="Arial"/>
          <w:sz w:val="22"/>
          <w:szCs w:val="22"/>
          <w:b w:val="1"/>
          <w:bCs w:val="1"/>
          <w:color w:val="FFFFFF"/>
        </w:rPr>
        <w:t>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-42545</wp:posOffset>
            </wp:positionV>
            <wp:extent cx="4568825" cy="342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568825" cy="34290"/>
                    </a:xfrm>
                    <a:prstGeom prst="rect">
                      <a:avLst/>
                    </a:prstGeom>
                    <a:noFill/>
                  </pic:spPr>
                </pic:pic>
              </a:graphicData>
            </a:graphic>
          </wp:anchor>
        </w:drawing>
      </w:r>
    </w:p>
    <w:p>
      <w:pPr>
        <w:spacing w:after="0" w:line="171" w:lineRule="exact"/>
        <w:rPr>
          <w:sz w:val="20"/>
          <w:szCs w:val="20"/>
          <w:color w:val="auto"/>
        </w:rPr>
      </w:pPr>
    </w:p>
    <w:p>
      <w:pPr>
        <w:ind w:left="400" w:right="880" w:hanging="158"/>
        <w:spacing w:after="0" w:line="348" w:lineRule="auto"/>
        <w:tabs>
          <w:tab w:leader="none" w:pos="362" w:val="left"/>
        </w:tabs>
        <w:numPr>
          <w:ilvl w:val="0"/>
          <w:numId w:val="28"/>
        </w:numPr>
        <w:rPr>
          <w:rFonts w:ascii="Arial" w:cs="Arial" w:eastAsia="Arial" w:hAnsi="Arial"/>
          <w:sz w:val="16"/>
          <w:szCs w:val="16"/>
          <w:color w:val="auto"/>
        </w:rPr>
      </w:pPr>
      <w:r>
        <w:rPr>
          <w:rFonts w:ascii="Arial" w:cs="Arial" w:eastAsia="Arial" w:hAnsi="Arial"/>
          <w:sz w:val="16"/>
          <w:szCs w:val="16"/>
          <w:color w:val="auto"/>
        </w:rPr>
        <w:t>evaluating and making recommendations regarding the composition, organization and governance of our board of directors and its committees;</w:t>
      </w:r>
    </w:p>
    <w:p>
      <w:pPr>
        <w:spacing w:after="0" w:line="141" w:lineRule="exact"/>
        <w:rPr>
          <w:rFonts w:ascii="Arial" w:cs="Arial" w:eastAsia="Arial" w:hAnsi="Arial"/>
          <w:sz w:val="16"/>
          <w:szCs w:val="16"/>
          <w:color w:val="auto"/>
        </w:rPr>
      </w:pPr>
    </w:p>
    <w:p>
      <w:pPr>
        <w:ind w:left="400" w:right="200" w:hanging="158"/>
        <w:spacing w:after="0" w:line="348" w:lineRule="auto"/>
        <w:tabs>
          <w:tab w:leader="none" w:pos="362" w:val="left"/>
        </w:tabs>
        <w:numPr>
          <w:ilvl w:val="0"/>
          <w:numId w:val="28"/>
        </w:numPr>
        <w:rPr>
          <w:rFonts w:ascii="Arial" w:cs="Arial" w:eastAsia="Arial" w:hAnsi="Arial"/>
          <w:sz w:val="16"/>
          <w:szCs w:val="16"/>
          <w:color w:val="auto"/>
        </w:rPr>
      </w:pPr>
      <w:r>
        <w:rPr>
          <w:rFonts w:ascii="Arial" w:cs="Arial" w:eastAsia="Arial" w:hAnsi="Arial"/>
          <w:sz w:val="16"/>
          <w:szCs w:val="16"/>
          <w:color w:val="auto"/>
        </w:rPr>
        <w:t>evaluating and making recommendations regarding the creation of additional committees or the change in mandate or dissolution of committees;</w:t>
      </w:r>
    </w:p>
    <w:p>
      <w:pPr>
        <w:spacing w:after="0" w:line="141" w:lineRule="exact"/>
        <w:rPr>
          <w:rFonts w:ascii="Arial" w:cs="Arial" w:eastAsia="Arial" w:hAnsi="Arial"/>
          <w:sz w:val="16"/>
          <w:szCs w:val="16"/>
          <w:color w:val="auto"/>
        </w:rPr>
      </w:pPr>
    </w:p>
    <w:p>
      <w:pPr>
        <w:ind w:left="400" w:right="20" w:hanging="158"/>
        <w:spacing w:after="0" w:line="348" w:lineRule="auto"/>
        <w:tabs>
          <w:tab w:leader="none" w:pos="362"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reviewing and making recommendations with regard to our Corporate Governance Guidelines and compliance with laws and regulations, including ESG issues and disclosures; and</w:t>
      </w:r>
    </w:p>
    <w:p>
      <w:pPr>
        <w:spacing w:after="0" w:line="141" w:lineRule="exact"/>
        <w:rPr>
          <w:rFonts w:ascii="Arial" w:cs="Arial" w:eastAsia="Arial" w:hAnsi="Arial"/>
          <w:sz w:val="16"/>
          <w:szCs w:val="16"/>
          <w:color w:val="auto"/>
        </w:rPr>
      </w:pPr>
    </w:p>
    <w:p>
      <w:pPr>
        <w:ind w:left="400" w:right="340" w:hanging="158"/>
        <w:spacing w:after="0" w:line="348" w:lineRule="auto"/>
        <w:tabs>
          <w:tab w:leader="none" w:pos="362"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reviewing and approving conflicts of interest of our directors and corporate officers, other than related person transactions reviewed by the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-973455</wp:posOffset>
            </wp:positionV>
            <wp:extent cx="8255" cy="14312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255" cy="1431290"/>
                    </a:xfrm>
                    <a:prstGeom prst="rect">
                      <a:avLst/>
                    </a:prstGeom>
                    <a:noFill/>
                  </pic:spPr>
                </pic:pic>
              </a:graphicData>
            </a:graphic>
          </wp:anchor>
        </w:drawing>
      </w:r>
    </w:p>
    <w:p>
      <w:pPr>
        <w:spacing w:after="0" w:line="679" w:lineRule="exact"/>
        <w:rPr>
          <w:sz w:val="20"/>
          <w:szCs w:val="20"/>
          <w:color w:val="auto"/>
        </w:rPr>
      </w:pPr>
    </w:p>
    <w:p>
      <w:pPr>
        <w:sectPr>
          <w:pgSz w:w="11900" w:h="16838" w:orient="portrait"/>
          <w:cols w:equalWidth="0" w:num="2">
            <w:col w:w="3420" w:space="400"/>
            <w:col w:w="7400"/>
          </w:cols>
          <w:pgMar w:left="320" w:top="172" w:right="359" w:bottom="1440" w:gutter="0" w:footer="0" w:header="0"/>
          <w:type w:val="continuous"/>
        </w:sectPr>
      </w:pPr>
    </w:p>
    <w:p>
      <w:pPr>
        <w:spacing w:after="0" w:line="258" w:lineRule="exact"/>
        <w:rPr>
          <w:sz w:val="20"/>
          <w:szCs w:val="20"/>
          <w:color w:val="auto"/>
        </w:rPr>
      </w:pPr>
    </w:p>
    <w:p>
      <w:pPr>
        <w:jc w:val="both"/>
        <w:spacing w:after="0" w:line="341" w:lineRule="auto"/>
        <w:rPr>
          <w:sz w:val="20"/>
          <w:szCs w:val="20"/>
          <w:color w:val="auto"/>
        </w:rPr>
      </w:pPr>
      <w:r>
        <w:rPr>
          <w:rFonts w:ascii="Arial" w:cs="Arial" w:eastAsia="Arial" w:hAnsi="Arial"/>
          <w:sz w:val="16"/>
          <w:szCs w:val="16"/>
          <w:color w:val="auto"/>
        </w:rPr>
        <w:t xml:space="preserve">Our nominating and corporate governance committee operates under a written charter that satisfies the listing standards of Nasdaq. A copy of the charter of our nominating and corporate governance committee is available on our website at </w:t>
      </w:r>
      <w:r>
        <w:rPr>
          <w:rFonts w:ascii="Arial" w:cs="Arial" w:eastAsia="Arial" w:hAnsi="Arial"/>
          <w:sz w:val="16"/>
          <w:szCs w:val="16"/>
          <w:b w:val="1"/>
          <w:bCs w:val="1"/>
          <w:color w:val="auto"/>
        </w:rPr>
        <w:t>http://ir.zscaler.com</w:t>
      </w:r>
      <w:r>
        <w:rPr>
          <w:rFonts w:ascii="Arial" w:cs="Arial" w:eastAsia="Arial" w:hAnsi="Arial"/>
          <w:sz w:val="16"/>
          <w:szCs w:val="16"/>
          <w:color w:val="auto"/>
        </w:rPr>
        <w:t xml:space="preserve"> in the Governance section of our Investor Relations webpage. During the fiscal year ended July 31, 2021, our nominating and corporate governance committee held three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263525</wp:posOffset>
            </wp:positionV>
            <wp:extent cx="342900" cy="21463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42900" cy="214630"/>
                    </a:xfrm>
                    <a:prstGeom prst="rect">
                      <a:avLst/>
                    </a:prstGeom>
                    <a:noFill/>
                  </pic:spPr>
                </pic:pic>
              </a:graphicData>
            </a:graphic>
          </wp:anchor>
        </w:drawing>
      </w:r>
    </w:p>
    <w:p>
      <w:pPr>
        <w:spacing w:after="0" w:line="333" w:lineRule="exact"/>
        <w:rPr>
          <w:sz w:val="20"/>
          <w:szCs w:val="20"/>
          <w:color w:val="auto"/>
        </w:rPr>
      </w:pPr>
    </w:p>
    <w:p>
      <w:pPr>
        <w:jc w:val="both"/>
        <w:ind w:left="5540"/>
        <w:spacing w:after="0"/>
        <w:tabs>
          <w:tab w:leader="none" w:pos="9780" w:val="left"/>
        </w:tabs>
        <w:rPr>
          <w:sz w:val="20"/>
          <w:szCs w:val="20"/>
          <w:color w:val="auto"/>
        </w:rPr>
      </w:pPr>
      <w:r>
        <w:rPr>
          <w:rFonts w:ascii="Arial" w:cs="Arial" w:eastAsia="Arial" w:hAnsi="Arial"/>
          <w:sz w:val="29"/>
          <w:szCs w:val="29"/>
          <w:color w:val="auto"/>
          <w:vertAlign w:val="superscript"/>
        </w:rPr>
        <w:t>22</w:t>
      </w:r>
      <w:r>
        <w:rPr>
          <w:sz w:val="20"/>
          <w:szCs w:val="20"/>
          <w:color w:val="auto"/>
        </w:rPr>
        <w:tab/>
      </w:r>
      <w:r>
        <w:rPr>
          <w:rFonts w:ascii="Arial" w:cs="Arial" w:eastAsia="Arial" w:hAnsi="Arial"/>
          <w:sz w:val="14"/>
          <w:szCs w:val="14"/>
          <w:color w:val="auto"/>
        </w:rPr>
        <w:t>2021 Proxy Statement</w:t>
      </w:r>
    </w:p>
    <w:p>
      <w:pPr>
        <w:sectPr>
          <w:pgSz w:w="11900" w:h="16838" w:orient="portrait"/>
          <w:cols w:equalWidth="0" w:num="1">
            <w:col w:w="11220"/>
          </w:cols>
          <w:pgMar w:left="320" w:top="172" w:right="359" w:bottom="1440" w:gutter="0" w:footer="0" w:header="0"/>
          <w:type w:val="continuous"/>
        </w:sectPr>
      </w:pPr>
    </w:p>
    <w:bookmarkStart w:id="26" w:name="page27"/>
    <w:bookmarkEnd w:id="26"/>
    <w:p>
      <w:pPr>
        <w:ind w:left="280"/>
        <w:spacing w:after="0"/>
        <w:rPr>
          <w:sz w:val="20"/>
          <w:szCs w:val="20"/>
          <w:color w:val="auto"/>
        </w:rPr>
      </w:pPr>
      <w:r>
        <w:rPr>
          <w:rFonts w:ascii="Arial" w:cs="Arial" w:eastAsia="Arial" w:hAnsi="Arial"/>
          <w:sz w:val="13"/>
          <w:szCs w:val="13"/>
          <w:b w:val="1"/>
          <w:bCs w:val="1"/>
          <w:color w:val="929292"/>
        </w:rPr>
        <w:t>BOARD OF 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7470" cy="596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7470" cy="59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b w:val="1"/>
          <w:bCs w:val="1"/>
          <w:color w:val="009ADA"/>
        </w:rPr>
        <w:t>Compensation Committee Interlocks and Insider Participation</w:t>
      </w:r>
    </w:p>
    <w:p>
      <w:pPr>
        <w:spacing w:after="0" w:line="213" w:lineRule="exact"/>
        <w:rPr>
          <w:sz w:val="20"/>
          <w:szCs w:val="20"/>
          <w:color w:val="auto"/>
        </w:rPr>
      </w:pPr>
    </w:p>
    <w:p>
      <w:pPr>
        <w:spacing w:after="0" w:line="339" w:lineRule="auto"/>
        <w:rPr>
          <w:sz w:val="20"/>
          <w:szCs w:val="20"/>
          <w:color w:val="auto"/>
        </w:rPr>
      </w:pPr>
      <w:r>
        <w:rPr>
          <w:rFonts w:ascii="Arial" w:cs="Arial" w:eastAsia="Arial" w:hAnsi="Arial"/>
          <w:sz w:val="16"/>
          <w:szCs w:val="16"/>
          <w:color w:val="auto"/>
        </w:rPr>
        <w:t>None of the members of our compensation committee is or has been an officer or employee of the Company. None of our executive officers currently serves, or in the past year has served, as a member of the compensation committee or director (or other board committee performing equivalent functions or, in the absence of any such committee, the entire board of directors) of any entity that has one or more executive officers serving on our compensation committee or our board of directors.</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009ADA"/>
        </w:rPr>
        <w:t>Considerations in Evaluating Director Nominees</w:t>
      </w:r>
    </w:p>
    <w:p>
      <w:pPr>
        <w:spacing w:after="0" w:line="213" w:lineRule="exact"/>
        <w:rPr>
          <w:sz w:val="20"/>
          <w:szCs w:val="20"/>
          <w:color w:val="auto"/>
        </w:rPr>
      </w:pPr>
    </w:p>
    <w:p>
      <w:pPr>
        <w:ind w:right="120"/>
        <w:spacing w:after="0" w:line="341" w:lineRule="auto"/>
        <w:rPr>
          <w:sz w:val="20"/>
          <w:szCs w:val="20"/>
          <w:color w:val="auto"/>
        </w:rPr>
      </w:pPr>
      <w:r>
        <w:rPr>
          <w:rFonts w:ascii="Arial" w:cs="Arial" w:eastAsia="Arial" w:hAnsi="Arial"/>
          <w:sz w:val="16"/>
          <w:szCs w:val="16"/>
          <w:color w:val="auto"/>
        </w:rPr>
        <w:t>It is the policy of the nominating and corporate governance committee of our board of directors to consider recommendations for candidates to our board of directors from stockholders holding no less than one percent (1%) of the outstanding shares of the Company’s common stock continuously for at least 12 months prior to the date of the submission of the recommendation or nomination.</w:t>
      </w:r>
    </w:p>
    <w:p>
      <w:pPr>
        <w:spacing w:after="0" w:line="147" w:lineRule="exact"/>
        <w:rPr>
          <w:sz w:val="20"/>
          <w:szCs w:val="20"/>
          <w:color w:val="auto"/>
        </w:rPr>
      </w:pPr>
    </w:p>
    <w:p>
      <w:pPr>
        <w:ind w:right="200"/>
        <w:spacing w:after="0" w:line="348" w:lineRule="auto"/>
        <w:rPr>
          <w:sz w:val="20"/>
          <w:szCs w:val="20"/>
          <w:color w:val="auto"/>
        </w:rPr>
      </w:pPr>
      <w:r>
        <w:rPr>
          <w:rFonts w:ascii="Arial" w:cs="Arial" w:eastAsia="Arial" w:hAnsi="Arial"/>
          <w:sz w:val="16"/>
          <w:szCs w:val="16"/>
          <w:color w:val="auto"/>
        </w:rPr>
        <w:t>The nominating and corporate governance committee will use the following procedures to identify and evaluate any individual recommended or offered for nomination to our board of directors:</w:t>
      </w:r>
    </w:p>
    <w:p>
      <w:pPr>
        <w:spacing w:after="0" w:line="141" w:lineRule="exact"/>
        <w:rPr>
          <w:sz w:val="20"/>
          <w:szCs w:val="20"/>
          <w:color w:val="auto"/>
        </w:rPr>
      </w:pPr>
    </w:p>
    <w:p>
      <w:pPr>
        <w:ind w:left="500" w:right="400" w:hanging="168"/>
        <w:spacing w:after="0" w:line="348" w:lineRule="auto"/>
        <w:tabs>
          <w:tab w:leader="none" w:pos="462"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nominating and corporate governance committee will consider candidates recommended by stockholders in the same manner as candidates recommended to the nominating and corporate governance committee from other sources.</w:t>
      </w:r>
    </w:p>
    <w:p>
      <w:pPr>
        <w:spacing w:after="0" w:line="141" w:lineRule="exact"/>
        <w:rPr>
          <w:rFonts w:ascii="Arial" w:cs="Arial" w:eastAsia="Arial" w:hAnsi="Arial"/>
          <w:sz w:val="16"/>
          <w:szCs w:val="16"/>
          <w:color w:val="auto"/>
        </w:rPr>
      </w:pPr>
    </w:p>
    <w:p>
      <w:pPr>
        <w:ind w:left="500" w:right="780" w:hanging="168"/>
        <w:spacing w:after="0" w:line="348" w:lineRule="auto"/>
        <w:tabs>
          <w:tab w:leader="none" w:pos="462"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 its evaluation of director candidates, including the members of our board of directors eligible for re-election, the nominating and corporate governance committee will consider factors such as:</w:t>
      </w:r>
    </w:p>
    <w:p>
      <w:pPr>
        <w:spacing w:after="0" w:line="141" w:lineRule="exact"/>
        <w:rPr>
          <w:rFonts w:ascii="Arial" w:cs="Arial" w:eastAsia="Arial" w:hAnsi="Arial"/>
          <w:sz w:val="16"/>
          <w:szCs w:val="16"/>
          <w:color w:val="auto"/>
        </w:rPr>
      </w:pPr>
    </w:p>
    <w:p>
      <w:pPr>
        <w:ind w:left="800" w:hanging="144"/>
        <w:spacing w:after="0"/>
        <w:tabs>
          <w:tab w:leader="none" w:pos="800" w:val="left"/>
        </w:tabs>
        <w:numPr>
          <w:ilvl w:val="1"/>
          <w:numId w:val="29"/>
        </w:numPr>
        <w:rPr>
          <w:rFonts w:ascii="Arial" w:cs="Arial" w:eastAsia="Arial" w:hAnsi="Arial"/>
          <w:sz w:val="16"/>
          <w:szCs w:val="16"/>
          <w:color w:val="auto"/>
        </w:rPr>
      </w:pPr>
      <w:r>
        <w:rPr>
          <w:rFonts w:ascii="Arial" w:cs="Arial" w:eastAsia="Arial" w:hAnsi="Arial"/>
          <w:sz w:val="16"/>
          <w:szCs w:val="16"/>
          <w:color w:val="auto"/>
        </w:rPr>
        <w:t>business expertise;</w:t>
      </w:r>
    </w:p>
    <w:p>
      <w:pPr>
        <w:spacing w:after="0" w:line="234" w:lineRule="exact"/>
        <w:rPr>
          <w:rFonts w:ascii="Arial" w:cs="Arial" w:eastAsia="Arial" w:hAnsi="Arial"/>
          <w:sz w:val="16"/>
          <w:szCs w:val="16"/>
          <w:color w:val="auto"/>
        </w:rPr>
      </w:pPr>
    </w:p>
    <w:p>
      <w:pPr>
        <w:ind w:left="820" w:hanging="164"/>
        <w:spacing w:after="0" w:line="348" w:lineRule="auto"/>
        <w:tabs>
          <w:tab w:leader="none" w:pos="810" w:val="left"/>
        </w:tabs>
        <w:numPr>
          <w:ilvl w:val="1"/>
          <w:numId w:val="29"/>
        </w:numPr>
        <w:rPr>
          <w:rFonts w:ascii="Arial" w:cs="Arial" w:eastAsia="Arial" w:hAnsi="Arial"/>
          <w:sz w:val="16"/>
          <w:szCs w:val="16"/>
          <w:color w:val="auto"/>
        </w:rPr>
      </w:pPr>
      <w:r>
        <w:rPr>
          <w:rFonts w:ascii="Arial" w:cs="Arial" w:eastAsia="Arial" w:hAnsi="Arial"/>
          <w:sz w:val="16"/>
          <w:szCs w:val="16"/>
          <w:color w:val="auto"/>
        </w:rPr>
        <w:t>diversity, including differences in professional background, gender, race, ethnicity, education, skill, and other individual qualities and attributes that contribute to the total mix of viewpoints and experience represented on the board of directors;</w:t>
      </w:r>
    </w:p>
    <w:p>
      <w:pPr>
        <w:spacing w:after="0" w:line="141" w:lineRule="exact"/>
        <w:rPr>
          <w:rFonts w:ascii="Arial" w:cs="Arial" w:eastAsia="Arial" w:hAnsi="Arial"/>
          <w:sz w:val="16"/>
          <w:szCs w:val="16"/>
          <w:color w:val="auto"/>
        </w:rPr>
      </w:pPr>
    </w:p>
    <w:p>
      <w:pPr>
        <w:ind w:left="800" w:hanging="144"/>
        <w:spacing w:after="0"/>
        <w:tabs>
          <w:tab w:leader="none" w:pos="800" w:val="left"/>
        </w:tabs>
        <w:numPr>
          <w:ilvl w:val="1"/>
          <w:numId w:val="29"/>
        </w:numPr>
        <w:rPr>
          <w:rFonts w:ascii="Arial" w:cs="Arial" w:eastAsia="Arial" w:hAnsi="Arial"/>
          <w:sz w:val="16"/>
          <w:szCs w:val="16"/>
          <w:color w:val="auto"/>
        </w:rPr>
      </w:pPr>
      <w:r>
        <w:rPr>
          <w:rFonts w:ascii="Arial" w:cs="Arial" w:eastAsia="Arial" w:hAnsi="Arial"/>
          <w:sz w:val="16"/>
          <w:szCs w:val="16"/>
          <w:color w:val="auto"/>
        </w:rPr>
        <w:t>past attendance at meetings, and participation in and contributions to the activities of our board of directors; and</w:t>
      </w:r>
    </w:p>
    <w:p>
      <w:pPr>
        <w:spacing w:after="0" w:line="234" w:lineRule="exact"/>
        <w:rPr>
          <w:rFonts w:ascii="Arial" w:cs="Arial" w:eastAsia="Arial" w:hAnsi="Arial"/>
          <w:sz w:val="16"/>
          <w:szCs w:val="16"/>
          <w:color w:val="auto"/>
        </w:rPr>
      </w:pPr>
    </w:p>
    <w:p>
      <w:pPr>
        <w:ind w:left="800" w:hanging="144"/>
        <w:spacing w:after="0"/>
        <w:tabs>
          <w:tab w:leader="none" w:pos="800" w:val="left"/>
        </w:tabs>
        <w:numPr>
          <w:ilvl w:val="1"/>
          <w:numId w:val="29"/>
        </w:numPr>
        <w:rPr>
          <w:rFonts w:ascii="Arial" w:cs="Arial" w:eastAsia="Arial" w:hAnsi="Arial"/>
          <w:sz w:val="16"/>
          <w:szCs w:val="16"/>
          <w:color w:val="auto"/>
        </w:rPr>
      </w:pPr>
      <w:r>
        <w:rPr>
          <w:rFonts w:ascii="Arial" w:cs="Arial" w:eastAsia="Arial" w:hAnsi="Arial"/>
          <w:sz w:val="16"/>
          <w:szCs w:val="16"/>
          <w:color w:val="auto"/>
        </w:rPr>
        <w:t>other factors that the nominating and corporate governance committee deems appropriate.</w:t>
      </w:r>
    </w:p>
    <w:p>
      <w:pPr>
        <w:spacing w:after="0" w:line="234" w:lineRule="exact"/>
        <w:rPr>
          <w:rFonts w:ascii="Arial" w:cs="Arial" w:eastAsia="Arial" w:hAnsi="Arial"/>
          <w:sz w:val="16"/>
          <w:szCs w:val="16"/>
          <w:color w:val="auto"/>
        </w:rPr>
      </w:pPr>
    </w:p>
    <w:p>
      <w:pPr>
        <w:ind w:left="500" w:right="220" w:hanging="168"/>
        <w:spacing w:after="0" w:line="348" w:lineRule="auto"/>
        <w:tabs>
          <w:tab w:leader="none" w:pos="462"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nominating and corporate governance committee requires the following minimum qualifications to be satisfied by any nominee for a position on our board of directors:</w:t>
      </w:r>
    </w:p>
    <w:p>
      <w:pPr>
        <w:spacing w:after="0" w:line="141" w:lineRule="exact"/>
        <w:rPr>
          <w:rFonts w:ascii="Arial" w:cs="Arial" w:eastAsia="Arial" w:hAnsi="Arial"/>
          <w:sz w:val="16"/>
          <w:szCs w:val="16"/>
          <w:color w:val="auto"/>
        </w:rPr>
      </w:pPr>
    </w:p>
    <w:p>
      <w:pPr>
        <w:ind w:left="800" w:hanging="144"/>
        <w:spacing w:after="0"/>
        <w:tabs>
          <w:tab w:leader="none" w:pos="800" w:val="left"/>
        </w:tabs>
        <w:numPr>
          <w:ilvl w:val="1"/>
          <w:numId w:val="29"/>
        </w:numPr>
        <w:rPr>
          <w:rFonts w:ascii="Arial" w:cs="Arial" w:eastAsia="Arial" w:hAnsi="Arial"/>
          <w:sz w:val="16"/>
          <w:szCs w:val="16"/>
          <w:color w:val="auto"/>
        </w:rPr>
      </w:pPr>
      <w:r>
        <w:rPr>
          <w:rFonts w:ascii="Arial" w:cs="Arial" w:eastAsia="Arial" w:hAnsi="Arial"/>
          <w:sz w:val="16"/>
          <w:szCs w:val="16"/>
          <w:color w:val="auto"/>
        </w:rPr>
        <w:t>the highest personal and professional ethics and integrity;</w:t>
      </w:r>
    </w:p>
    <w:p>
      <w:pPr>
        <w:spacing w:after="0" w:line="234" w:lineRule="exact"/>
        <w:rPr>
          <w:rFonts w:ascii="Arial" w:cs="Arial" w:eastAsia="Arial" w:hAnsi="Arial"/>
          <w:sz w:val="16"/>
          <w:szCs w:val="16"/>
          <w:color w:val="auto"/>
        </w:rPr>
      </w:pPr>
    </w:p>
    <w:p>
      <w:pPr>
        <w:ind w:left="800" w:hanging="144"/>
        <w:spacing w:after="0"/>
        <w:tabs>
          <w:tab w:leader="none" w:pos="800" w:val="left"/>
        </w:tabs>
        <w:numPr>
          <w:ilvl w:val="1"/>
          <w:numId w:val="29"/>
        </w:numPr>
        <w:rPr>
          <w:rFonts w:ascii="Arial" w:cs="Arial" w:eastAsia="Arial" w:hAnsi="Arial"/>
          <w:sz w:val="16"/>
          <w:szCs w:val="16"/>
          <w:color w:val="auto"/>
        </w:rPr>
      </w:pPr>
      <w:r>
        <w:rPr>
          <w:rFonts w:ascii="Arial" w:cs="Arial" w:eastAsia="Arial" w:hAnsi="Arial"/>
          <w:sz w:val="16"/>
          <w:szCs w:val="16"/>
          <w:color w:val="auto"/>
        </w:rPr>
        <w:t>proven achievement and competence in the nominee’s field and the ability to exercise sound business judgment;</w:t>
      </w:r>
    </w:p>
    <w:p>
      <w:pPr>
        <w:spacing w:after="0" w:line="234" w:lineRule="exact"/>
        <w:rPr>
          <w:rFonts w:ascii="Arial" w:cs="Arial" w:eastAsia="Arial" w:hAnsi="Arial"/>
          <w:sz w:val="16"/>
          <w:szCs w:val="16"/>
          <w:color w:val="auto"/>
        </w:rPr>
      </w:pPr>
    </w:p>
    <w:p>
      <w:pPr>
        <w:ind w:left="800" w:hanging="144"/>
        <w:spacing w:after="0"/>
        <w:tabs>
          <w:tab w:leader="none" w:pos="800" w:val="left"/>
        </w:tabs>
        <w:numPr>
          <w:ilvl w:val="1"/>
          <w:numId w:val="29"/>
        </w:numPr>
        <w:rPr>
          <w:rFonts w:ascii="Arial" w:cs="Arial" w:eastAsia="Arial" w:hAnsi="Arial"/>
          <w:sz w:val="16"/>
          <w:szCs w:val="16"/>
          <w:color w:val="auto"/>
        </w:rPr>
      </w:pPr>
      <w:r>
        <w:rPr>
          <w:rFonts w:ascii="Arial" w:cs="Arial" w:eastAsia="Arial" w:hAnsi="Arial"/>
          <w:sz w:val="16"/>
          <w:szCs w:val="16"/>
          <w:color w:val="auto"/>
        </w:rPr>
        <w:t>skills that are complementary to those of the existing board of directors;</w:t>
      </w:r>
    </w:p>
    <w:p>
      <w:pPr>
        <w:spacing w:after="0" w:line="234" w:lineRule="exact"/>
        <w:rPr>
          <w:rFonts w:ascii="Arial" w:cs="Arial" w:eastAsia="Arial" w:hAnsi="Arial"/>
          <w:sz w:val="16"/>
          <w:szCs w:val="16"/>
          <w:color w:val="auto"/>
        </w:rPr>
      </w:pPr>
    </w:p>
    <w:p>
      <w:pPr>
        <w:ind w:left="800" w:hanging="144"/>
        <w:spacing w:after="0"/>
        <w:tabs>
          <w:tab w:leader="none" w:pos="800" w:val="left"/>
        </w:tabs>
        <w:numPr>
          <w:ilvl w:val="1"/>
          <w:numId w:val="29"/>
        </w:numPr>
        <w:rPr>
          <w:rFonts w:ascii="Arial" w:cs="Arial" w:eastAsia="Arial" w:hAnsi="Arial"/>
          <w:sz w:val="16"/>
          <w:szCs w:val="16"/>
          <w:color w:val="auto"/>
        </w:rPr>
      </w:pPr>
      <w:r>
        <w:rPr>
          <w:rFonts w:ascii="Arial" w:cs="Arial" w:eastAsia="Arial" w:hAnsi="Arial"/>
          <w:sz w:val="16"/>
          <w:szCs w:val="16"/>
          <w:color w:val="auto"/>
        </w:rPr>
        <w:t>the ability to assist and support management and make significant contributions to the Company’s success; and</w:t>
      </w:r>
    </w:p>
    <w:p>
      <w:pPr>
        <w:spacing w:after="0" w:line="234" w:lineRule="exact"/>
        <w:rPr>
          <w:rFonts w:ascii="Arial" w:cs="Arial" w:eastAsia="Arial" w:hAnsi="Arial"/>
          <w:sz w:val="16"/>
          <w:szCs w:val="16"/>
          <w:color w:val="auto"/>
        </w:rPr>
      </w:pPr>
    </w:p>
    <w:p>
      <w:pPr>
        <w:ind w:left="820" w:right="220" w:hanging="164"/>
        <w:spacing w:after="0" w:line="348" w:lineRule="auto"/>
        <w:tabs>
          <w:tab w:leader="none" w:pos="810" w:val="left"/>
        </w:tabs>
        <w:numPr>
          <w:ilvl w:val="1"/>
          <w:numId w:val="29"/>
        </w:numPr>
        <w:rPr>
          <w:rFonts w:ascii="Arial" w:cs="Arial" w:eastAsia="Arial" w:hAnsi="Arial"/>
          <w:sz w:val="16"/>
          <w:szCs w:val="16"/>
          <w:color w:val="auto"/>
        </w:rPr>
      </w:pPr>
      <w:r>
        <w:rPr>
          <w:rFonts w:ascii="Arial" w:cs="Arial" w:eastAsia="Arial" w:hAnsi="Arial"/>
          <w:sz w:val="16"/>
          <w:szCs w:val="16"/>
          <w:color w:val="auto"/>
        </w:rPr>
        <w:t>an understanding of the fiduciary responsibilities that is required of a member of our board of directors and the commitment of time and energy necessary to diligently carry out those responsibilities.</w:t>
      </w:r>
    </w:p>
    <w:p>
      <w:pPr>
        <w:spacing w:after="0" w:line="141" w:lineRule="exact"/>
        <w:rPr>
          <w:sz w:val="20"/>
          <w:szCs w:val="20"/>
          <w:color w:val="auto"/>
        </w:rPr>
      </w:pPr>
    </w:p>
    <w:p>
      <w:pPr>
        <w:ind w:right="240"/>
        <w:spacing w:after="0" w:line="339" w:lineRule="auto"/>
        <w:rPr>
          <w:sz w:val="20"/>
          <w:szCs w:val="20"/>
          <w:color w:val="auto"/>
        </w:rPr>
      </w:pPr>
      <w:r>
        <w:rPr>
          <w:rFonts w:ascii="Arial" w:cs="Arial" w:eastAsia="Arial" w:hAnsi="Arial"/>
          <w:sz w:val="16"/>
          <w:szCs w:val="16"/>
          <w:color w:val="auto"/>
        </w:rPr>
        <w:t>If the nominating and corporate governance committee determines that an additional or replacement director is required, the nominating and corporate governance committee may take such measures that it considers appropriate in connection with its evaluation of a director candidate, including candidate interviews, inquiry of the person or persons making the recommendation or nomination, engagement of an outside search firm to gather additional information, or reliance on the knowledge of the members of the nominating and corporate governance committee, our board directors or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255905</wp:posOffset>
            </wp:positionV>
            <wp:extent cx="342900" cy="21463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42900" cy="214630"/>
                    </a:xfrm>
                    <a:prstGeom prst="rect">
                      <a:avLst/>
                    </a:prstGeom>
                    <a:noFill/>
                  </pic:spPr>
                </pic:pic>
              </a:graphicData>
            </a:graphic>
          </wp:anchor>
        </w:drawing>
      </w:r>
    </w:p>
    <w:p>
      <w:pPr>
        <w:spacing w:after="0" w:line="321" w:lineRule="exact"/>
        <w:rPr>
          <w:sz w:val="20"/>
          <w:szCs w:val="20"/>
          <w:color w:val="auto"/>
        </w:rPr>
      </w:pPr>
    </w:p>
    <w:p>
      <w:pPr>
        <w:ind w:left="5540"/>
        <w:spacing w:after="0"/>
        <w:tabs>
          <w:tab w:leader="none" w:pos="9780" w:val="left"/>
        </w:tabs>
        <w:rPr>
          <w:sz w:val="20"/>
          <w:szCs w:val="20"/>
          <w:color w:val="auto"/>
        </w:rPr>
      </w:pPr>
      <w:r>
        <w:rPr>
          <w:rFonts w:ascii="Arial" w:cs="Arial" w:eastAsia="Arial" w:hAnsi="Arial"/>
          <w:sz w:val="29"/>
          <w:szCs w:val="29"/>
          <w:color w:val="auto"/>
          <w:vertAlign w:val="superscript"/>
        </w:rPr>
        <w:t>23</w:t>
      </w:r>
      <w:r>
        <w:rPr>
          <w:sz w:val="20"/>
          <w:szCs w:val="20"/>
          <w:color w:val="auto"/>
        </w:rPr>
        <w:tab/>
      </w:r>
      <w:r>
        <w:rPr>
          <w:rFonts w:ascii="Arial" w:cs="Arial" w:eastAsia="Arial" w:hAnsi="Arial"/>
          <w:sz w:val="14"/>
          <w:szCs w:val="14"/>
          <w:color w:val="auto"/>
        </w:rPr>
        <w:t>2021 Proxy Statement</w:t>
      </w:r>
    </w:p>
    <w:p>
      <w:pPr>
        <w:sectPr>
          <w:pgSz w:w="11900" w:h="16838" w:orient="portrait"/>
          <w:cols w:equalWidth="0" w:num="1">
            <w:col w:w="11220"/>
          </w:cols>
          <w:pgMar w:left="320" w:top="172" w:right="359" w:bottom="1440" w:gutter="0" w:footer="0" w:header="0"/>
        </w:sectPr>
      </w:pPr>
    </w:p>
    <w:bookmarkStart w:id="27" w:name="page28"/>
    <w:bookmarkEnd w:id="27"/>
    <w:p>
      <w:pPr>
        <w:ind w:left="280"/>
        <w:spacing w:after="0"/>
        <w:rPr>
          <w:sz w:val="20"/>
          <w:szCs w:val="20"/>
          <w:color w:val="auto"/>
        </w:rPr>
      </w:pPr>
      <w:r>
        <w:rPr>
          <w:rFonts w:ascii="Arial" w:cs="Arial" w:eastAsia="Arial" w:hAnsi="Arial"/>
          <w:sz w:val="13"/>
          <w:szCs w:val="13"/>
          <w:b w:val="1"/>
          <w:bCs w:val="1"/>
          <w:color w:val="929292"/>
        </w:rPr>
        <w:t>BOARD OF 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7470" cy="6032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7470" cy="60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160"/>
        <w:spacing w:after="0" w:line="341" w:lineRule="auto"/>
        <w:rPr>
          <w:sz w:val="20"/>
          <w:szCs w:val="20"/>
          <w:color w:val="auto"/>
        </w:rPr>
      </w:pPr>
      <w:r>
        <w:rPr>
          <w:rFonts w:ascii="Arial" w:cs="Arial" w:eastAsia="Arial" w:hAnsi="Arial"/>
          <w:sz w:val="16"/>
          <w:szCs w:val="16"/>
          <w:color w:val="auto"/>
        </w:rPr>
        <w:t>The nominating and corporate governance committee may propose to our board of directors a candidate recommended or offered for nomination by a stockholder as a nominee for election to our board of directors. The nominating and corporate governance committee has in the past and may in the future pay fees to third parties to assist in identifying or evaluating director candidates.</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color w:val="009ADA"/>
        </w:rPr>
        <w:t>Stockholder Recommendations for Nominations to the Board of Directors</w:t>
      </w:r>
    </w:p>
    <w:p>
      <w:pPr>
        <w:spacing w:after="0" w:line="213" w:lineRule="exact"/>
        <w:rPr>
          <w:sz w:val="20"/>
          <w:szCs w:val="20"/>
          <w:color w:val="auto"/>
        </w:rPr>
      </w:pPr>
    </w:p>
    <w:p>
      <w:pPr>
        <w:ind w:right="20"/>
        <w:spacing w:after="0" w:line="336" w:lineRule="auto"/>
        <w:rPr>
          <w:sz w:val="20"/>
          <w:szCs w:val="20"/>
          <w:color w:val="auto"/>
        </w:rPr>
      </w:pPr>
      <w:r>
        <w:rPr>
          <w:rFonts w:ascii="Arial" w:cs="Arial" w:eastAsia="Arial" w:hAnsi="Arial"/>
          <w:sz w:val="16"/>
          <w:szCs w:val="16"/>
          <w:color w:val="auto"/>
        </w:rPr>
        <w:t>A stockholder that wants to recommend a candidate for election to our board of directors should direct the recommendation in writing by letter to the Company, attention of the Secretary, at Zscaler, Inc., 120 Holger Way, San Jose, California 95134. The recommendation must include the candidate’s name, home and business contact information, detailed biographical data, relevant qualifications, a signed letter from the candidate confirming willingness to serve, information regarding any relationships between the candidate and the Company and evidence of the recommending stockholder’s ownership of Company stock. Such recommendations must also include a statement from the recommending stockholder in support of the candidate, particularly within the context of the criteria for board membership, including issues of character, integrity, judgment, diversity of experience, independence, area of expertise, corporate experience, length of service, potential conflicts of interest, other commitments and the like and personal references.</w:t>
      </w:r>
    </w:p>
    <w:p>
      <w:pPr>
        <w:spacing w:after="0" w:line="154" w:lineRule="exact"/>
        <w:rPr>
          <w:sz w:val="20"/>
          <w:szCs w:val="20"/>
          <w:color w:val="auto"/>
        </w:rPr>
      </w:pPr>
    </w:p>
    <w:p>
      <w:pPr>
        <w:ind w:right="20"/>
        <w:spacing w:after="0" w:line="335" w:lineRule="auto"/>
        <w:rPr>
          <w:sz w:val="20"/>
          <w:szCs w:val="20"/>
          <w:color w:val="auto"/>
        </w:rPr>
      </w:pPr>
      <w:r>
        <w:rPr>
          <w:rFonts w:ascii="Arial" w:cs="Arial" w:eastAsia="Arial" w:hAnsi="Arial"/>
          <w:sz w:val="16"/>
          <w:szCs w:val="16"/>
          <w:color w:val="auto"/>
        </w:rPr>
        <w:t>A stockholder that instead desires to nominate a person directly for election to our board of directors at an annual meeting of the stockholders must meet the deadlines and other requirements set forth in Section 2.4 of the Company’s bylaws and the rules and regulations of the Securities and Exchange Commission. Section 2.4 of the Company’s bylaws requires that a stockholder who seeks to nominate a candidate for director must provide a written notice to the Secretary of the Company not later than the 45th day nor earlier than the 75th day before the one-year anniversary of the date on which the corporation first mailed its proxy materials or a notice of availability of proxy materials (whichever is earlier) for the preceding year’s annual meeting; provided, however, that in the event that no annual meeting was held in the previous year or if the date of the annual meeting is advanced by more than 30 days prior to or delayed by more than 60 days after the one-year anniversary of the date of the previous year’s annual meeting, then, for notice by the stockholder to be timely, it must be so received by the secretary not earlier than the close of business on the 120th day prior to such annual meeting and not later than the close of business on the later of (i) the 90th day prior to such annual meeting, or (ii) the 10th day following the day on which Public Announcement (as defined below) of the date of such annual meeting is first made. In no event shall any adjournment or postponement of an annual meeting or the announcement thereof commence a new time period for the giving of a stockholder’s notice. “Public Announcement” shall mean disclosure in a press release reported by the Dow Jones News Service, Associated Press or a comparable national news service or in a document publicly filed by the corporation with the Securities and Exchange Commission pursuant to Section 13, 14 or 15(d) of the Exchange Act, or any successor thereto.</w:t>
      </w:r>
    </w:p>
    <w:p>
      <w:pPr>
        <w:spacing w:after="0" w:line="110" w:lineRule="exact"/>
        <w:rPr>
          <w:sz w:val="20"/>
          <w:szCs w:val="20"/>
          <w:color w:val="auto"/>
        </w:rPr>
      </w:pPr>
    </w:p>
    <w:p>
      <w:pPr>
        <w:spacing w:after="0"/>
        <w:rPr>
          <w:sz w:val="20"/>
          <w:szCs w:val="20"/>
          <w:color w:val="auto"/>
        </w:rPr>
      </w:pPr>
      <w:r>
        <w:rPr>
          <w:rFonts w:ascii="Arial" w:cs="Arial" w:eastAsia="Arial" w:hAnsi="Arial"/>
          <w:sz w:val="22"/>
          <w:szCs w:val="22"/>
          <w:b w:val="1"/>
          <w:bCs w:val="1"/>
          <w:color w:val="009ADA"/>
        </w:rPr>
        <w:t>Communications with the Board of Directors</w:t>
      </w:r>
    </w:p>
    <w:p>
      <w:pPr>
        <w:spacing w:after="0" w:line="213" w:lineRule="exact"/>
        <w:rPr>
          <w:sz w:val="20"/>
          <w:szCs w:val="20"/>
          <w:color w:val="auto"/>
        </w:rPr>
      </w:pPr>
    </w:p>
    <w:p>
      <w:pPr>
        <w:ind w:right="480"/>
        <w:spacing w:after="0" w:line="341" w:lineRule="auto"/>
        <w:rPr>
          <w:sz w:val="20"/>
          <w:szCs w:val="20"/>
          <w:color w:val="auto"/>
        </w:rPr>
      </w:pPr>
      <w:r>
        <w:rPr>
          <w:rFonts w:ascii="Arial" w:cs="Arial" w:eastAsia="Arial" w:hAnsi="Arial"/>
          <w:sz w:val="16"/>
          <w:szCs w:val="16"/>
          <w:color w:val="auto"/>
        </w:rPr>
        <w:t>Our board of directors believes that management speaks for Zscaler, Inc. Individual board members may, from time to time, communicate with various constituencies that are involved with the Company, but it is expected that board members would do this with knowledge of management and, in most instances, only at the request of management.</w:t>
      </w:r>
    </w:p>
    <w:p>
      <w:pPr>
        <w:spacing w:after="0" w:line="147" w:lineRule="exact"/>
        <w:rPr>
          <w:sz w:val="20"/>
          <w:szCs w:val="20"/>
          <w:color w:val="auto"/>
        </w:rPr>
      </w:pPr>
    </w:p>
    <w:p>
      <w:pPr>
        <w:ind w:right="20"/>
        <w:spacing w:after="0" w:line="337" w:lineRule="auto"/>
        <w:rPr>
          <w:sz w:val="20"/>
          <w:szCs w:val="20"/>
          <w:color w:val="auto"/>
        </w:rPr>
      </w:pPr>
      <w:r>
        <w:rPr>
          <w:rFonts w:ascii="Arial" w:cs="Arial" w:eastAsia="Arial" w:hAnsi="Arial"/>
          <w:sz w:val="16"/>
          <w:szCs w:val="16"/>
          <w:color w:val="auto"/>
        </w:rPr>
        <w:t>In cases where stockholders and other interested parties wish to communicate directly with our non-management directors, messages can be sent to our Secretary, at Zscaler, Inc., 120 Holger Way, San Jose, California 95134. Our Secretary monitors these communications and will provide a summary of all received messages to the board of directors at each regularly scheduled meeting of the board of directors. Our board of directors generally meets on a quarterly basis. Where the nature of a communication warrants, our Secretary may determine, in his or her judgment, to obtain the more immediate attention of the appropriate committee of the board of directors or non-management director, of independent advisors or of Company management, as our Secretary considers appropriate.</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Our Secretary may decide in the exercise of his or her judgment whether a response to any stockholder or interested party communication is necessary.</w:t>
      </w:r>
    </w:p>
    <w:p>
      <w:pPr>
        <w:spacing w:after="0" w:line="235" w:lineRule="exact"/>
        <w:rPr>
          <w:sz w:val="20"/>
          <w:szCs w:val="20"/>
          <w:color w:val="auto"/>
        </w:rPr>
      </w:pPr>
    </w:p>
    <w:p>
      <w:pPr>
        <w:ind w:right="20"/>
        <w:spacing w:after="0" w:line="348" w:lineRule="auto"/>
        <w:rPr>
          <w:sz w:val="20"/>
          <w:szCs w:val="20"/>
          <w:color w:val="auto"/>
        </w:rPr>
      </w:pPr>
      <w:r>
        <w:rPr>
          <w:rFonts w:ascii="Arial" w:cs="Arial" w:eastAsia="Arial" w:hAnsi="Arial"/>
          <w:sz w:val="16"/>
          <w:szCs w:val="16"/>
          <w:color w:val="auto"/>
        </w:rPr>
        <w:t>This procedure for stockholder and other interested party communications with the non-management directors is administered by the Company’s nominating and corporate governance committee. This procedure does not apply to (a) communications to non-management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251460</wp:posOffset>
            </wp:positionV>
            <wp:extent cx="342900" cy="21399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42900" cy="213995"/>
                    </a:xfrm>
                    <a:prstGeom prst="rect">
                      <a:avLst/>
                    </a:prstGeom>
                    <a:noFill/>
                  </pic:spPr>
                </pic:pic>
              </a:graphicData>
            </a:graphic>
          </wp:anchor>
        </w:drawing>
      </w:r>
    </w:p>
    <w:p>
      <w:pPr>
        <w:spacing w:after="0" w:line="314" w:lineRule="exact"/>
        <w:rPr>
          <w:sz w:val="20"/>
          <w:szCs w:val="20"/>
          <w:color w:val="auto"/>
        </w:rPr>
      </w:pPr>
    </w:p>
    <w:p>
      <w:pPr>
        <w:jc w:val="both"/>
        <w:ind w:left="5540"/>
        <w:spacing w:after="0"/>
        <w:tabs>
          <w:tab w:leader="none" w:pos="9780" w:val="left"/>
        </w:tabs>
        <w:rPr>
          <w:sz w:val="20"/>
          <w:szCs w:val="20"/>
          <w:color w:val="auto"/>
        </w:rPr>
      </w:pPr>
      <w:r>
        <w:rPr>
          <w:rFonts w:ascii="Arial" w:cs="Arial" w:eastAsia="Arial" w:hAnsi="Arial"/>
          <w:sz w:val="29"/>
          <w:szCs w:val="29"/>
          <w:color w:val="auto"/>
          <w:vertAlign w:val="superscript"/>
        </w:rPr>
        <w:t>24</w:t>
      </w:r>
      <w:r>
        <w:rPr>
          <w:sz w:val="20"/>
          <w:szCs w:val="20"/>
          <w:color w:val="auto"/>
        </w:rPr>
        <w:tab/>
      </w:r>
      <w:r>
        <w:rPr>
          <w:rFonts w:ascii="Arial" w:cs="Arial" w:eastAsia="Arial" w:hAnsi="Arial"/>
          <w:sz w:val="14"/>
          <w:szCs w:val="14"/>
          <w:color w:val="auto"/>
        </w:rPr>
        <w:t>2021 Proxy Statement</w:t>
      </w:r>
    </w:p>
    <w:p>
      <w:pPr>
        <w:sectPr>
          <w:pgSz w:w="11900" w:h="16838" w:orient="portrait"/>
          <w:cols w:equalWidth="0" w:num="1">
            <w:col w:w="11220"/>
          </w:cols>
          <w:pgMar w:left="320" w:top="172" w:right="359" w:bottom="1440" w:gutter="0" w:footer="0" w:header="0"/>
        </w:sectPr>
      </w:pPr>
    </w:p>
    <w:bookmarkStart w:id="28" w:name="page29"/>
    <w:bookmarkEnd w:id="28"/>
    <w:p>
      <w:pPr>
        <w:ind w:left="280"/>
        <w:spacing w:after="0"/>
        <w:rPr>
          <w:sz w:val="20"/>
          <w:szCs w:val="20"/>
          <w:color w:val="auto"/>
        </w:rPr>
      </w:pPr>
      <w:r>
        <w:rPr>
          <w:rFonts w:ascii="Arial" w:cs="Arial" w:eastAsia="Arial" w:hAnsi="Arial"/>
          <w:sz w:val="13"/>
          <w:szCs w:val="13"/>
          <w:b w:val="1"/>
          <w:bCs w:val="1"/>
          <w:color w:val="929292"/>
        </w:rPr>
        <w:t>BOARD OF 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7470" cy="6032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7470" cy="60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200"/>
        <w:spacing w:after="0" w:line="348" w:lineRule="auto"/>
        <w:rPr>
          <w:sz w:val="20"/>
          <w:szCs w:val="20"/>
          <w:color w:val="auto"/>
        </w:rPr>
      </w:pPr>
      <w:r>
        <w:rPr>
          <w:rFonts w:ascii="Arial" w:cs="Arial" w:eastAsia="Arial" w:hAnsi="Arial"/>
          <w:sz w:val="16"/>
          <w:szCs w:val="16"/>
          <w:color w:val="auto"/>
        </w:rPr>
        <w:t>directors from officers or directors of the Company who are stockholders, (b) stockholder proposals submitted pursuant to Rule 14a-8 under the Exchange Act or (c) communications to the audit committee pursuant to the Complaint Procedures for Accounting and Auditing Matters.</w:t>
      </w:r>
    </w:p>
    <w:p>
      <w:pPr>
        <w:spacing w:after="0" w:line="94" w:lineRule="exact"/>
        <w:rPr>
          <w:sz w:val="20"/>
          <w:szCs w:val="20"/>
          <w:color w:val="auto"/>
        </w:rPr>
      </w:pPr>
    </w:p>
    <w:p>
      <w:pPr>
        <w:spacing w:after="0"/>
        <w:rPr>
          <w:sz w:val="20"/>
          <w:szCs w:val="20"/>
          <w:color w:val="auto"/>
        </w:rPr>
      </w:pPr>
      <w:r>
        <w:rPr>
          <w:rFonts w:ascii="Arial" w:cs="Arial" w:eastAsia="Arial" w:hAnsi="Arial"/>
          <w:sz w:val="22"/>
          <w:szCs w:val="22"/>
          <w:b w:val="1"/>
          <w:bCs w:val="1"/>
          <w:color w:val="009ADA"/>
        </w:rPr>
        <w:t>Corporate Governance Guidelines and Code of Conduct</w:t>
      </w:r>
    </w:p>
    <w:p>
      <w:pPr>
        <w:spacing w:after="0" w:line="213" w:lineRule="exact"/>
        <w:rPr>
          <w:sz w:val="20"/>
          <w:szCs w:val="20"/>
          <w:color w:val="auto"/>
        </w:rPr>
      </w:pPr>
    </w:p>
    <w:p>
      <w:pPr>
        <w:ind w:right="100"/>
        <w:spacing w:after="0" w:line="337" w:lineRule="auto"/>
        <w:rPr>
          <w:sz w:val="20"/>
          <w:szCs w:val="20"/>
          <w:color w:val="auto"/>
        </w:rPr>
      </w:pPr>
      <w:r>
        <w:rPr>
          <w:rFonts w:ascii="Arial" w:cs="Arial" w:eastAsia="Arial" w:hAnsi="Arial"/>
          <w:sz w:val="16"/>
          <w:szCs w:val="16"/>
          <w:color w:val="auto"/>
        </w:rPr>
        <w:t xml:space="preserve">Our board of directors has adopted Corporate Governance Guidelines. These guidelines address items such as the qualifications and responsibilities of our directors and director candidates and corporate governance policies and standards applicable to us in general. In addition, our board of directors has adopted a Code of Conduct that applies to all of our employees, officers and directors, including our chief executive officer, chief financial officer, and other executive and senior financial officers. The full text of our Corporate Governance Guidelines and our Code of Conduct is posted on our website at </w:t>
      </w:r>
      <w:r>
        <w:rPr>
          <w:rFonts w:ascii="Arial" w:cs="Arial" w:eastAsia="Arial" w:hAnsi="Arial"/>
          <w:sz w:val="16"/>
          <w:szCs w:val="16"/>
          <w:b w:val="1"/>
          <w:bCs w:val="1"/>
          <w:color w:val="auto"/>
        </w:rPr>
        <w:t xml:space="preserve">http://ir.zscaler.com </w:t>
      </w:r>
      <w:r>
        <w:rPr>
          <w:rFonts w:ascii="Arial" w:cs="Arial" w:eastAsia="Arial" w:hAnsi="Arial"/>
          <w:sz w:val="16"/>
          <w:szCs w:val="16"/>
          <w:color w:val="auto"/>
        </w:rPr>
        <w:t>in the Governance section of our Investor Relations webpage. We intend to post any amendments to our Code of Conduct, and any</w:t>
      </w:r>
      <w:r>
        <w:rPr>
          <w:rFonts w:ascii="Arial" w:cs="Arial" w:eastAsia="Arial" w:hAnsi="Arial"/>
          <w:sz w:val="16"/>
          <w:szCs w:val="16"/>
          <w:b w:val="1"/>
          <w:bCs w:val="1"/>
          <w:color w:val="auto"/>
        </w:rPr>
        <w:t xml:space="preserve"> </w:t>
      </w:r>
      <w:r>
        <w:rPr>
          <w:rFonts w:ascii="Arial" w:cs="Arial" w:eastAsia="Arial" w:hAnsi="Arial"/>
          <w:sz w:val="16"/>
          <w:szCs w:val="16"/>
          <w:color w:val="auto"/>
        </w:rPr>
        <w:t>waivers of our Code of Conduct for directors and executive officers, on the same website.</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009ADA"/>
        </w:rPr>
        <w:t>Role of the Board of Directors in Risk Oversight</w:t>
      </w:r>
    </w:p>
    <w:p>
      <w:pPr>
        <w:spacing w:after="0" w:line="213" w:lineRule="exact"/>
        <w:rPr>
          <w:sz w:val="20"/>
          <w:szCs w:val="20"/>
          <w:color w:val="auto"/>
        </w:rPr>
      </w:pPr>
    </w:p>
    <w:p>
      <w:pPr>
        <w:spacing w:after="0" w:line="336" w:lineRule="auto"/>
        <w:rPr>
          <w:sz w:val="20"/>
          <w:szCs w:val="20"/>
          <w:color w:val="auto"/>
        </w:rPr>
      </w:pPr>
      <w:r>
        <w:rPr>
          <w:rFonts w:ascii="Arial" w:cs="Arial" w:eastAsia="Arial" w:hAnsi="Arial"/>
          <w:sz w:val="16"/>
          <w:szCs w:val="16"/>
          <w:color w:val="auto"/>
        </w:rPr>
        <w:t>One of the key functions of our board of directors is informed oversight of our risk management process which risks include, among others, strategic, financial, business and operational, cybersecurity, legal and regulatory compliance, and reputational risks. Our board of directors does not have a standing risk management committee, but rather administers this oversight function directly through the board of directors as a whole, as well as through its standing committees that address risks inherent in their respective areas of oversight. In particular, our board of directors is responsible for monitoring and assessing strategic risk exposure. Our audit committee is responsible for reviewing and discussing our major financial risk exposures and the steps our management has taken to monitor and control these exposures, including guidelines and policies with respect to risk assessment and risk management, including oversight of the performance of our internal audit function. In addition to oversight of the performance of our external and internal audit functions, our audit committee also monitors compliance with legal and regulatory requirements and reviews related party transactions. Our audit committee responsibilities also include oversight of cybersecurity risk management, and, to that end, members of the audit committee meet frequently with management and company leadership responsible for cybersecurity risk management and receives periodic reports from management, as well as incremental reports as matters arise. Our nominating and corporate governance committee monitors the effectiveness of our corporate governance guidelines and oversees our ESG programs. Our compensation committee assesses and monitors whether any of our compensation policies and programs has the potential to encourage excessive risk-taking.</w:t>
      </w:r>
    </w:p>
    <w:p>
      <w:pPr>
        <w:spacing w:after="0" w:line="358" w:lineRule="exact"/>
        <w:rPr>
          <w:sz w:val="20"/>
          <w:szCs w:val="20"/>
          <w:color w:val="auto"/>
        </w:rPr>
      </w:pPr>
    </w:p>
    <w:p>
      <w:pPr>
        <w:spacing w:after="0"/>
        <w:rPr>
          <w:sz w:val="20"/>
          <w:szCs w:val="20"/>
          <w:color w:val="auto"/>
        </w:rPr>
      </w:pPr>
      <w:r>
        <w:rPr>
          <w:rFonts w:ascii="Arial" w:cs="Arial" w:eastAsia="Arial" w:hAnsi="Arial"/>
          <w:sz w:val="22"/>
          <w:szCs w:val="22"/>
          <w:b w:val="1"/>
          <w:bCs w:val="1"/>
          <w:color w:val="009ADA"/>
        </w:rPr>
        <w:t>Director Compensation</w:t>
      </w:r>
    </w:p>
    <w:p>
      <w:pPr>
        <w:spacing w:after="0" w:line="213" w:lineRule="exact"/>
        <w:rPr>
          <w:sz w:val="20"/>
          <w:szCs w:val="20"/>
          <w:color w:val="auto"/>
        </w:rPr>
      </w:pPr>
    </w:p>
    <w:p>
      <w:pPr>
        <w:ind w:right="20"/>
        <w:spacing w:after="0" w:line="338" w:lineRule="auto"/>
        <w:rPr>
          <w:sz w:val="20"/>
          <w:szCs w:val="20"/>
          <w:color w:val="auto"/>
        </w:rPr>
      </w:pPr>
      <w:r>
        <w:rPr>
          <w:rFonts w:ascii="Arial" w:cs="Arial" w:eastAsia="Arial" w:hAnsi="Arial"/>
          <w:sz w:val="16"/>
          <w:szCs w:val="16"/>
          <w:color w:val="auto"/>
        </w:rPr>
        <w:t>Each non-employee director is eligible to receive compensation for his or her service consisting of annual cash retainers and equity awards under our outside director compensation policy. Our outside director compensation policy was crafted in consultation with Compensia, Inc. ("Compensia"), an independent compensation consulting firm engaged by our compensation committee. Compensia provided us with competitive data, analysis and recommendations regarding non-employee director compensation, which includes a mix of cash and equity-based compensation. After careful consideration of this information and the scope of the duties and responsibilities of our non-employee directors, our board of directors approved our outside director compensation policy. We believe this policy provides reasonable compensation to our non-employee directors that is commensurate with their contributions and appropriately aligned with our peers. We also reimburse our directors for expenses associated with attending meetings of our board of directors and board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415925</wp:posOffset>
            </wp:positionV>
            <wp:extent cx="342900" cy="21463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42900" cy="214630"/>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ind w:left="5540"/>
        <w:spacing w:after="0"/>
        <w:tabs>
          <w:tab w:leader="none" w:pos="9780" w:val="left"/>
        </w:tabs>
        <w:rPr>
          <w:sz w:val="20"/>
          <w:szCs w:val="20"/>
          <w:color w:val="auto"/>
        </w:rPr>
      </w:pPr>
      <w:r>
        <w:rPr>
          <w:rFonts w:ascii="Arial" w:cs="Arial" w:eastAsia="Arial" w:hAnsi="Arial"/>
          <w:sz w:val="29"/>
          <w:szCs w:val="29"/>
          <w:color w:val="auto"/>
          <w:vertAlign w:val="superscript"/>
        </w:rPr>
        <w:t>25</w:t>
      </w:r>
      <w:r>
        <w:rPr>
          <w:sz w:val="20"/>
          <w:szCs w:val="20"/>
          <w:color w:val="auto"/>
        </w:rPr>
        <w:tab/>
      </w:r>
      <w:r>
        <w:rPr>
          <w:rFonts w:ascii="Arial" w:cs="Arial" w:eastAsia="Arial" w:hAnsi="Arial"/>
          <w:sz w:val="14"/>
          <w:szCs w:val="14"/>
          <w:color w:val="auto"/>
        </w:rPr>
        <w:t>2021 Proxy Statement</w:t>
      </w:r>
    </w:p>
    <w:p>
      <w:pPr>
        <w:sectPr>
          <w:pgSz w:w="11900" w:h="16838" w:orient="portrait"/>
          <w:cols w:equalWidth="0" w:num="1">
            <w:col w:w="11220"/>
          </w:cols>
          <w:pgMar w:left="320" w:top="172" w:right="359" w:bottom="1440" w:gutter="0" w:footer="0" w:header="0"/>
        </w:sectPr>
      </w:pPr>
    </w:p>
    <w:bookmarkStart w:id="29" w:name="page30"/>
    <w:bookmarkEnd w:id="29"/>
    <w:p>
      <w:pPr>
        <w:ind w:left="280"/>
        <w:spacing w:after="0"/>
        <w:rPr>
          <w:sz w:val="20"/>
          <w:szCs w:val="20"/>
          <w:color w:val="auto"/>
        </w:rPr>
      </w:pPr>
      <w:r>
        <w:rPr>
          <w:rFonts w:ascii="Arial" w:cs="Arial" w:eastAsia="Arial" w:hAnsi="Arial"/>
          <w:sz w:val="13"/>
          <w:szCs w:val="13"/>
          <w:b w:val="1"/>
          <w:bCs w:val="1"/>
          <w:color w:val="929292"/>
        </w:rPr>
        <w:t>BOARD OF 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7470" cy="6032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7470" cy="60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6"/>
          <w:szCs w:val="16"/>
          <w:color w:val="auto"/>
        </w:rPr>
        <w:t>For fiscal 2021, non-employee directors were entitled to receive the following cash compensation for service in the following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5756910</wp:posOffset>
            </wp:positionH>
            <wp:positionV relativeFrom="paragraph">
              <wp:posOffset>147955</wp:posOffset>
            </wp:positionV>
            <wp:extent cx="8255" cy="18859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255" cy="188595"/>
                    </a:xfrm>
                    <a:prstGeom prst="rect">
                      <a:avLst/>
                    </a:prstGeom>
                    <a:noFill/>
                  </pic:spPr>
                </pic:pic>
              </a:graphicData>
            </a:graphic>
          </wp:anchor>
        </w:drawing>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9060" w:type="dxa"/>
            <w:vAlign w:val="bottom"/>
            <w:shd w:val="clear" w:color="auto" w:fill="000000"/>
          </w:tcPr>
          <w:p>
            <w:pPr>
              <w:ind w:left="100"/>
              <w:spacing w:after="0"/>
              <w:rPr>
                <w:sz w:val="20"/>
                <w:szCs w:val="20"/>
                <w:color w:val="auto"/>
              </w:rPr>
            </w:pPr>
            <w:r>
              <w:rPr>
                <w:rFonts w:ascii="Arial" w:cs="Arial" w:eastAsia="Arial" w:hAnsi="Arial"/>
                <w:sz w:val="16"/>
                <w:szCs w:val="16"/>
                <w:b w:val="1"/>
                <w:bCs w:val="1"/>
                <w:color w:val="FFFFFF"/>
              </w:rPr>
              <w:t>Position</w:t>
            </w:r>
          </w:p>
        </w:tc>
        <w:tc>
          <w:tcPr>
            <w:tcW w:w="2180" w:type="dxa"/>
            <w:vAlign w:val="bottom"/>
            <w:shd w:val="clear" w:color="auto" w:fill="2B338D"/>
          </w:tcPr>
          <w:p>
            <w:pPr>
              <w:jc w:val="right"/>
              <w:ind w:right="67"/>
              <w:spacing w:after="0"/>
              <w:rPr>
                <w:sz w:val="20"/>
                <w:szCs w:val="20"/>
                <w:color w:val="auto"/>
              </w:rPr>
            </w:pPr>
            <w:r>
              <w:rPr>
                <w:rFonts w:ascii="Arial" w:cs="Arial" w:eastAsia="Arial" w:hAnsi="Arial"/>
                <w:sz w:val="16"/>
                <w:szCs w:val="16"/>
                <w:b w:val="1"/>
                <w:bCs w:val="1"/>
                <w:color w:val="FFFFFF"/>
              </w:rPr>
              <w:t>Annual Retainer ($)</w:t>
            </w:r>
          </w:p>
        </w:tc>
      </w:tr>
      <w:tr>
        <w:trPr>
          <w:trHeight w:val="62"/>
        </w:trPr>
        <w:tc>
          <w:tcPr>
            <w:tcW w:w="9060" w:type="dxa"/>
            <w:vAlign w:val="bottom"/>
            <w:shd w:val="clear" w:color="auto" w:fill="000000"/>
          </w:tcPr>
          <w:p>
            <w:pPr>
              <w:spacing w:after="0"/>
              <w:rPr>
                <w:sz w:val="5"/>
                <w:szCs w:val="5"/>
                <w:color w:val="auto"/>
              </w:rPr>
            </w:pPr>
          </w:p>
        </w:tc>
        <w:tc>
          <w:tcPr>
            <w:tcW w:w="2180" w:type="dxa"/>
            <w:vAlign w:val="bottom"/>
            <w:shd w:val="clear" w:color="auto" w:fill="2B338D"/>
          </w:tcPr>
          <w:p>
            <w:pPr>
              <w:spacing w:after="0"/>
              <w:rPr>
                <w:sz w:val="5"/>
                <w:szCs w:val="5"/>
                <w:color w:val="auto"/>
              </w:rPr>
            </w:pPr>
          </w:p>
        </w:tc>
      </w:tr>
      <w:tr>
        <w:trPr>
          <w:trHeight w:val="231"/>
        </w:trPr>
        <w:tc>
          <w:tcPr>
            <w:tcW w:w="9060" w:type="dxa"/>
            <w:vAlign w:val="bottom"/>
          </w:tcPr>
          <w:p>
            <w:pPr>
              <w:ind w:left="100"/>
              <w:spacing w:after="0"/>
              <w:rPr>
                <w:sz w:val="20"/>
                <w:szCs w:val="20"/>
                <w:color w:val="auto"/>
              </w:rPr>
            </w:pPr>
            <w:r>
              <w:rPr>
                <w:rFonts w:ascii="Arial" w:cs="Arial" w:eastAsia="Arial" w:hAnsi="Arial"/>
                <w:sz w:val="14"/>
                <w:szCs w:val="14"/>
                <w:b w:val="1"/>
                <w:bCs w:val="1"/>
                <w:color w:val="auto"/>
              </w:rPr>
              <w:t>Board member</w:t>
            </w:r>
          </w:p>
        </w:tc>
        <w:tc>
          <w:tcPr>
            <w:tcW w:w="2180" w:type="dxa"/>
            <w:vAlign w:val="bottom"/>
          </w:tcPr>
          <w:p>
            <w:pPr>
              <w:jc w:val="right"/>
              <w:ind w:right="67"/>
              <w:spacing w:after="0"/>
              <w:rPr>
                <w:sz w:val="20"/>
                <w:szCs w:val="20"/>
                <w:color w:val="auto"/>
              </w:rPr>
            </w:pPr>
            <w:r>
              <w:rPr>
                <w:rFonts w:ascii="Arial" w:cs="Arial" w:eastAsia="Arial" w:hAnsi="Arial"/>
                <w:sz w:val="14"/>
                <w:szCs w:val="14"/>
                <w:color w:val="auto"/>
              </w:rPr>
              <w:t>30,000</w:t>
            </w:r>
          </w:p>
        </w:tc>
      </w:tr>
      <w:tr>
        <w:trPr>
          <w:trHeight w:val="53"/>
        </w:trPr>
        <w:tc>
          <w:tcPr>
            <w:tcW w:w="9060" w:type="dxa"/>
            <w:vAlign w:val="bottom"/>
            <w:tcBorders>
              <w:bottom w:val="single" w:sz="8" w:color="auto"/>
            </w:tcBorders>
          </w:tcPr>
          <w:p>
            <w:pPr>
              <w:spacing w:after="0"/>
              <w:rPr>
                <w:sz w:val="4"/>
                <w:szCs w:val="4"/>
                <w:color w:val="auto"/>
              </w:rPr>
            </w:pPr>
          </w:p>
        </w:tc>
        <w:tc>
          <w:tcPr>
            <w:tcW w:w="2180" w:type="dxa"/>
            <w:vAlign w:val="bottom"/>
            <w:tcBorders>
              <w:bottom w:val="single" w:sz="8" w:color="auto"/>
            </w:tcBorders>
          </w:tcPr>
          <w:p>
            <w:pPr>
              <w:spacing w:after="0"/>
              <w:rPr>
                <w:sz w:val="4"/>
                <w:szCs w:val="4"/>
                <w:color w:val="auto"/>
              </w:rPr>
            </w:pPr>
          </w:p>
        </w:tc>
      </w:tr>
      <w:tr>
        <w:trPr>
          <w:trHeight w:val="224"/>
        </w:trPr>
        <w:tc>
          <w:tcPr>
            <w:tcW w:w="9060" w:type="dxa"/>
            <w:vAlign w:val="bottom"/>
          </w:tcPr>
          <w:p>
            <w:pPr>
              <w:ind w:left="100"/>
              <w:spacing w:after="0"/>
              <w:rPr>
                <w:sz w:val="20"/>
                <w:szCs w:val="20"/>
                <w:color w:val="auto"/>
              </w:rPr>
            </w:pPr>
            <w:r>
              <w:rPr>
                <w:rFonts w:ascii="Arial" w:cs="Arial" w:eastAsia="Arial" w:hAnsi="Arial"/>
                <w:sz w:val="14"/>
                <w:szCs w:val="14"/>
                <w:b w:val="1"/>
                <w:bCs w:val="1"/>
                <w:color w:val="auto"/>
              </w:rPr>
              <w:t>Audit committee chair</w:t>
            </w:r>
          </w:p>
        </w:tc>
        <w:tc>
          <w:tcPr>
            <w:tcW w:w="2180" w:type="dxa"/>
            <w:vAlign w:val="bottom"/>
          </w:tcPr>
          <w:p>
            <w:pPr>
              <w:jc w:val="right"/>
              <w:ind w:right="67"/>
              <w:spacing w:after="0"/>
              <w:rPr>
                <w:sz w:val="20"/>
                <w:szCs w:val="20"/>
                <w:color w:val="auto"/>
              </w:rPr>
            </w:pPr>
            <w:r>
              <w:rPr>
                <w:rFonts w:ascii="Arial" w:cs="Arial" w:eastAsia="Arial" w:hAnsi="Arial"/>
                <w:sz w:val="14"/>
                <w:szCs w:val="14"/>
                <w:color w:val="auto"/>
              </w:rPr>
              <w:t>20,000</w:t>
            </w:r>
          </w:p>
        </w:tc>
      </w:tr>
      <w:tr>
        <w:trPr>
          <w:trHeight w:val="53"/>
        </w:trPr>
        <w:tc>
          <w:tcPr>
            <w:tcW w:w="9060" w:type="dxa"/>
            <w:vAlign w:val="bottom"/>
            <w:tcBorders>
              <w:bottom w:val="single" w:sz="8" w:color="auto"/>
            </w:tcBorders>
          </w:tcPr>
          <w:p>
            <w:pPr>
              <w:spacing w:after="0"/>
              <w:rPr>
                <w:sz w:val="4"/>
                <w:szCs w:val="4"/>
                <w:color w:val="auto"/>
              </w:rPr>
            </w:pPr>
          </w:p>
        </w:tc>
        <w:tc>
          <w:tcPr>
            <w:tcW w:w="2180" w:type="dxa"/>
            <w:vAlign w:val="bottom"/>
            <w:tcBorders>
              <w:bottom w:val="single" w:sz="8" w:color="auto"/>
            </w:tcBorders>
          </w:tcPr>
          <w:p>
            <w:pPr>
              <w:spacing w:after="0"/>
              <w:rPr>
                <w:sz w:val="4"/>
                <w:szCs w:val="4"/>
                <w:color w:val="auto"/>
              </w:rPr>
            </w:pPr>
          </w:p>
        </w:tc>
      </w:tr>
      <w:tr>
        <w:trPr>
          <w:trHeight w:val="224"/>
        </w:trPr>
        <w:tc>
          <w:tcPr>
            <w:tcW w:w="9060" w:type="dxa"/>
            <w:vAlign w:val="bottom"/>
          </w:tcPr>
          <w:p>
            <w:pPr>
              <w:ind w:left="100"/>
              <w:spacing w:after="0"/>
              <w:rPr>
                <w:sz w:val="20"/>
                <w:szCs w:val="20"/>
                <w:color w:val="auto"/>
              </w:rPr>
            </w:pPr>
            <w:r>
              <w:rPr>
                <w:rFonts w:ascii="Arial" w:cs="Arial" w:eastAsia="Arial" w:hAnsi="Arial"/>
                <w:sz w:val="14"/>
                <w:szCs w:val="14"/>
                <w:b w:val="1"/>
                <w:bCs w:val="1"/>
                <w:color w:val="auto"/>
              </w:rPr>
              <w:t>Audit committee member</w:t>
            </w:r>
          </w:p>
        </w:tc>
        <w:tc>
          <w:tcPr>
            <w:tcW w:w="2180" w:type="dxa"/>
            <w:vAlign w:val="bottom"/>
          </w:tcPr>
          <w:p>
            <w:pPr>
              <w:jc w:val="right"/>
              <w:ind w:right="67"/>
              <w:spacing w:after="0"/>
              <w:rPr>
                <w:sz w:val="20"/>
                <w:szCs w:val="20"/>
                <w:color w:val="auto"/>
              </w:rPr>
            </w:pPr>
            <w:r>
              <w:rPr>
                <w:rFonts w:ascii="Arial" w:cs="Arial" w:eastAsia="Arial" w:hAnsi="Arial"/>
                <w:sz w:val="14"/>
                <w:szCs w:val="14"/>
                <w:color w:val="auto"/>
              </w:rPr>
              <w:t>8,000</w:t>
            </w:r>
          </w:p>
        </w:tc>
      </w:tr>
      <w:tr>
        <w:trPr>
          <w:trHeight w:val="53"/>
        </w:trPr>
        <w:tc>
          <w:tcPr>
            <w:tcW w:w="9060" w:type="dxa"/>
            <w:vAlign w:val="bottom"/>
            <w:tcBorders>
              <w:bottom w:val="single" w:sz="8" w:color="auto"/>
            </w:tcBorders>
          </w:tcPr>
          <w:p>
            <w:pPr>
              <w:spacing w:after="0"/>
              <w:rPr>
                <w:sz w:val="4"/>
                <w:szCs w:val="4"/>
                <w:color w:val="auto"/>
              </w:rPr>
            </w:pPr>
          </w:p>
        </w:tc>
        <w:tc>
          <w:tcPr>
            <w:tcW w:w="2180" w:type="dxa"/>
            <w:vAlign w:val="bottom"/>
            <w:tcBorders>
              <w:bottom w:val="single" w:sz="8" w:color="auto"/>
            </w:tcBorders>
          </w:tcPr>
          <w:p>
            <w:pPr>
              <w:spacing w:after="0"/>
              <w:rPr>
                <w:sz w:val="4"/>
                <w:szCs w:val="4"/>
                <w:color w:val="auto"/>
              </w:rPr>
            </w:pPr>
          </w:p>
        </w:tc>
      </w:tr>
      <w:tr>
        <w:trPr>
          <w:trHeight w:val="224"/>
        </w:trPr>
        <w:tc>
          <w:tcPr>
            <w:tcW w:w="9060" w:type="dxa"/>
            <w:vAlign w:val="bottom"/>
          </w:tcPr>
          <w:p>
            <w:pPr>
              <w:ind w:left="100"/>
              <w:spacing w:after="0"/>
              <w:rPr>
                <w:sz w:val="20"/>
                <w:szCs w:val="20"/>
                <w:color w:val="auto"/>
              </w:rPr>
            </w:pPr>
            <w:r>
              <w:rPr>
                <w:rFonts w:ascii="Arial" w:cs="Arial" w:eastAsia="Arial" w:hAnsi="Arial"/>
                <w:sz w:val="14"/>
                <w:szCs w:val="14"/>
                <w:b w:val="1"/>
                <w:bCs w:val="1"/>
                <w:color w:val="auto"/>
              </w:rPr>
              <w:t>Compensation committee chair</w:t>
            </w:r>
          </w:p>
        </w:tc>
        <w:tc>
          <w:tcPr>
            <w:tcW w:w="2180" w:type="dxa"/>
            <w:vAlign w:val="bottom"/>
          </w:tcPr>
          <w:p>
            <w:pPr>
              <w:jc w:val="right"/>
              <w:ind w:right="67"/>
              <w:spacing w:after="0"/>
              <w:rPr>
                <w:sz w:val="20"/>
                <w:szCs w:val="20"/>
                <w:color w:val="auto"/>
              </w:rPr>
            </w:pPr>
            <w:r>
              <w:rPr>
                <w:rFonts w:ascii="Arial" w:cs="Arial" w:eastAsia="Arial" w:hAnsi="Arial"/>
                <w:sz w:val="14"/>
                <w:szCs w:val="14"/>
                <w:color w:val="auto"/>
              </w:rPr>
              <w:t>12,000</w:t>
            </w:r>
          </w:p>
        </w:tc>
      </w:tr>
      <w:tr>
        <w:trPr>
          <w:trHeight w:val="53"/>
        </w:trPr>
        <w:tc>
          <w:tcPr>
            <w:tcW w:w="9060" w:type="dxa"/>
            <w:vAlign w:val="bottom"/>
            <w:tcBorders>
              <w:bottom w:val="single" w:sz="8" w:color="auto"/>
            </w:tcBorders>
          </w:tcPr>
          <w:p>
            <w:pPr>
              <w:spacing w:after="0"/>
              <w:rPr>
                <w:sz w:val="4"/>
                <w:szCs w:val="4"/>
                <w:color w:val="auto"/>
              </w:rPr>
            </w:pPr>
          </w:p>
        </w:tc>
        <w:tc>
          <w:tcPr>
            <w:tcW w:w="2180" w:type="dxa"/>
            <w:vAlign w:val="bottom"/>
            <w:tcBorders>
              <w:bottom w:val="single" w:sz="8" w:color="auto"/>
            </w:tcBorders>
          </w:tcPr>
          <w:p>
            <w:pPr>
              <w:spacing w:after="0"/>
              <w:rPr>
                <w:sz w:val="4"/>
                <w:szCs w:val="4"/>
                <w:color w:val="auto"/>
              </w:rPr>
            </w:pPr>
          </w:p>
        </w:tc>
      </w:tr>
      <w:tr>
        <w:trPr>
          <w:trHeight w:val="224"/>
        </w:trPr>
        <w:tc>
          <w:tcPr>
            <w:tcW w:w="9060" w:type="dxa"/>
            <w:vAlign w:val="bottom"/>
          </w:tcPr>
          <w:p>
            <w:pPr>
              <w:ind w:left="100"/>
              <w:spacing w:after="0"/>
              <w:rPr>
                <w:sz w:val="20"/>
                <w:szCs w:val="20"/>
                <w:color w:val="auto"/>
              </w:rPr>
            </w:pPr>
            <w:r>
              <w:rPr>
                <w:rFonts w:ascii="Arial" w:cs="Arial" w:eastAsia="Arial" w:hAnsi="Arial"/>
                <w:sz w:val="14"/>
                <w:szCs w:val="14"/>
                <w:b w:val="1"/>
                <w:bCs w:val="1"/>
                <w:color w:val="auto"/>
              </w:rPr>
              <w:t>Compensation committee member</w:t>
            </w:r>
          </w:p>
        </w:tc>
        <w:tc>
          <w:tcPr>
            <w:tcW w:w="2180" w:type="dxa"/>
            <w:vAlign w:val="bottom"/>
          </w:tcPr>
          <w:p>
            <w:pPr>
              <w:jc w:val="right"/>
              <w:ind w:right="67"/>
              <w:spacing w:after="0"/>
              <w:rPr>
                <w:sz w:val="20"/>
                <w:szCs w:val="20"/>
                <w:color w:val="auto"/>
              </w:rPr>
            </w:pPr>
            <w:r>
              <w:rPr>
                <w:rFonts w:ascii="Arial" w:cs="Arial" w:eastAsia="Arial" w:hAnsi="Arial"/>
                <w:sz w:val="14"/>
                <w:szCs w:val="14"/>
                <w:color w:val="auto"/>
              </w:rPr>
              <w:t>5,000</w:t>
            </w:r>
          </w:p>
        </w:tc>
      </w:tr>
      <w:tr>
        <w:trPr>
          <w:trHeight w:val="53"/>
        </w:trPr>
        <w:tc>
          <w:tcPr>
            <w:tcW w:w="9060" w:type="dxa"/>
            <w:vAlign w:val="bottom"/>
            <w:tcBorders>
              <w:bottom w:val="single" w:sz="8" w:color="auto"/>
            </w:tcBorders>
          </w:tcPr>
          <w:p>
            <w:pPr>
              <w:spacing w:after="0"/>
              <w:rPr>
                <w:sz w:val="4"/>
                <w:szCs w:val="4"/>
                <w:color w:val="auto"/>
              </w:rPr>
            </w:pPr>
          </w:p>
        </w:tc>
        <w:tc>
          <w:tcPr>
            <w:tcW w:w="2180" w:type="dxa"/>
            <w:vAlign w:val="bottom"/>
            <w:tcBorders>
              <w:bottom w:val="single" w:sz="8" w:color="auto"/>
            </w:tcBorders>
          </w:tcPr>
          <w:p>
            <w:pPr>
              <w:spacing w:after="0"/>
              <w:rPr>
                <w:sz w:val="4"/>
                <w:szCs w:val="4"/>
                <w:color w:val="auto"/>
              </w:rPr>
            </w:pPr>
          </w:p>
        </w:tc>
      </w:tr>
      <w:tr>
        <w:trPr>
          <w:trHeight w:val="224"/>
        </w:trPr>
        <w:tc>
          <w:tcPr>
            <w:tcW w:w="9060" w:type="dxa"/>
            <w:vAlign w:val="bottom"/>
          </w:tcPr>
          <w:p>
            <w:pPr>
              <w:ind w:left="100"/>
              <w:spacing w:after="0"/>
              <w:rPr>
                <w:sz w:val="20"/>
                <w:szCs w:val="20"/>
                <w:color w:val="auto"/>
              </w:rPr>
            </w:pPr>
            <w:r>
              <w:rPr>
                <w:rFonts w:ascii="Arial" w:cs="Arial" w:eastAsia="Arial" w:hAnsi="Arial"/>
                <w:sz w:val="14"/>
                <w:szCs w:val="14"/>
                <w:b w:val="1"/>
                <w:bCs w:val="1"/>
                <w:color w:val="auto"/>
              </w:rPr>
              <w:t>Nominating and corporate governance committee chair</w:t>
            </w:r>
          </w:p>
        </w:tc>
        <w:tc>
          <w:tcPr>
            <w:tcW w:w="2180" w:type="dxa"/>
            <w:vAlign w:val="bottom"/>
          </w:tcPr>
          <w:p>
            <w:pPr>
              <w:jc w:val="right"/>
              <w:ind w:right="67"/>
              <w:spacing w:after="0"/>
              <w:rPr>
                <w:sz w:val="20"/>
                <w:szCs w:val="20"/>
                <w:color w:val="auto"/>
              </w:rPr>
            </w:pPr>
            <w:r>
              <w:rPr>
                <w:rFonts w:ascii="Arial" w:cs="Arial" w:eastAsia="Arial" w:hAnsi="Arial"/>
                <w:sz w:val="14"/>
                <w:szCs w:val="14"/>
                <w:color w:val="auto"/>
              </w:rPr>
              <w:t>7,500</w:t>
            </w:r>
          </w:p>
        </w:tc>
      </w:tr>
      <w:tr>
        <w:trPr>
          <w:trHeight w:val="53"/>
        </w:trPr>
        <w:tc>
          <w:tcPr>
            <w:tcW w:w="9060" w:type="dxa"/>
            <w:vAlign w:val="bottom"/>
            <w:tcBorders>
              <w:bottom w:val="single" w:sz="8" w:color="auto"/>
            </w:tcBorders>
          </w:tcPr>
          <w:p>
            <w:pPr>
              <w:spacing w:after="0"/>
              <w:rPr>
                <w:sz w:val="4"/>
                <w:szCs w:val="4"/>
                <w:color w:val="auto"/>
              </w:rPr>
            </w:pPr>
          </w:p>
        </w:tc>
        <w:tc>
          <w:tcPr>
            <w:tcW w:w="2180" w:type="dxa"/>
            <w:vAlign w:val="bottom"/>
            <w:tcBorders>
              <w:bottom w:val="single" w:sz="8" w:color="auto"/>
            </w:tcBorders>
          </w:tcPr>
          <w:p>
            <w:pPr>
              <w:spacing w:after="0"/>
              <w:rPr>
                <w:sz w:val="4"/>
                <w:szCs w:val="4"/>
                <w:color w:val="auto"/>
              </w:rPr>
            </w:pPr>
          </w:p>
        </w:tc>
      </w:tr>
      <w:tr>
        <w:trPr>
          <w:trHeight w:val="224"/>
        </w:trPr>
        <w:tc>
          <w:tcPr>
            <w:tcW w:w="9060" w:type="dxa"/>
            <w:vAlign w:val="bottom"/>
          </w:tcPr>
          <w:p>
            <w:pPr>
              <w:ind w:left="100"/>
              <w:spacing w:after="0"/>
              <w:rPr>
                <w:sz w:val="20"/>
                <w:szCs w:val="20"/>
                <w:color w:val="auto"/>
              </w:rPr>
            </w:pPr>
            <w:r>
              <w:rPr>
                <w:rFonts w:ascii="Arial" w:cs="Arial" w:eastAsia="Arial" w:hAnsi="Arial"/>
                <w:sz w:val="14"/>
                <w:szCs w:val="14"/>
                <w:b w:val="1"/>
                <w:bCs w:val="1"/>
                <w:color w:val="auto"/>
              </w:rPr>
              <w:t>Nominating and corporate governance committee member</w:t>
            </w:r>
          </w:p>
        </w:tc>
        <w:tc>
          <w:tcPr>
            <w:tcW w:w="2180" w:type="dxa"/>
            <w:vAlign w:val="bottom"/>
          </w:tcPr>
          <w:p>
            <w:pPr>
              <w:jc w:val="right"/>
              <w:ind w:right="67"/>
              <w:spacing w:after="0"/>
              <w:rPr>
                <w:sz w:val="20"/>
                <w:szCs w:val="20"/>
                <w:color w:val="auto"/>
              </w:rPr>
            </w:pPr>
            <w:r>
              <w:rPr>
                <w:rFonts w:ascii="Arial" w:cs="Arial" w:eastAsia="Arial" w:hAnsi="Arial"/>
                <w:sz w:val="14"/>
                <w:szCs w:val="14"/>
                <w:color w:val="auto"/>
              </w:rPr>
              <w:t>4,000</w:t>
            </w:r>
          </w:p>
        </w:tc>
      </w:tr>
      <w:tr>
        <w:trPr>
          <w:trHeight w:val="53"/>
        </w:trPr>
        <w:tc>
          <w:tcPr>
            <w:tcW w:w="9060" w:type="dxa"/>
            <w:vAlign w:val="bottom"/>
            <w:tcBorders>
              <w:bottom w:val="single" w:sz="8" w:color="auto"/>
            </w:tcBorders>
          </w:tcPr>
          <w:p>
            <w:pPr>
              <w:spacing w:after="0"/>
              <w:rPr>
                <w:sz w:val="4"/>
                <w:szCs w:val="4"/>
                <w:color w:val="auto"/>
              </w:rPr>
            </w:pPr>
          </w:p>
        </w:tc>
        <w:tc>
          <w:tcPr>
            <w:tcW w:w="2180" w:type="dxa"/>
            <w:vAlign w:val="bottom"/>
            <w:tcBorders>
              <w:bottom w:val="single" w:sz="8" w:color="auto"/>
            </w:tcBorders>
          </w:tcPr>
          <w:p>
            <w:pPr>
              <w:spacing w:after="0"/>
              <w:rPr>
                <w:sz w:val="4"/>
                <w:szCs w:val="4"/>
                <w:color w:val="auto"/>
              </w:rPr>
            </w:pPr>
          </w:p>
        </w:tc>
      </w:tr>
    </w:tbl>
    <w:p>
      <w:pPr>
        <w:spacing w:after="0" w:line="393" w:lineRule="exact"/>
        <w:rPr>
          <w:sz w:val="20"/>
          <w:szCs w:val="20"/>
          <w:color w:val="auto"/>
        </w:rPr>
      </w:pPr>
    </w:p>
    <w:p>
      <w:pPr>
        <w:spacing w:after="0"/>
        <w:rPr>
          <w:sz w:val="20"/>
          <w:szCs w:val="20"/>
          <w:color w:val="auto"/>
        </w:rPr>
      </w:pPr>
      <w:r>
        <w:rPr>
          <w:rFonts w:ascii="Arial" w:cs="Arial" w:eastAsia="Arial" w:hAnsi="Arial"/>
          <w:sz w:val="16"/>
          <w:szCs w:val="16"/>
          <w:color w:val="auto"/>
        </w:rPr>
        <w:t>In addition, non-employee directors were eligible to receive the following equity awards for board service:</w:t>
      </w:r>
    </w:p>
    <w:p>
      <w:pPr>
        <w:spacing w:after="0" w:line="235" w:lineRule="exact"/>
        <w:rPr>
          <w:sz w:val="20"/>
          <w:szCs w:val="20"/>
          <w:color w:val="auto"/>
        </w:rPr>
      </w:pPr>
    </w:p>
    <w:p>
      <w:pPr>
        <w:ind w:left="580" w:right="420" w:hanging="248"/>
        <w:spacing w:after="0" w:line="348" w:lineRule="auto"/>
        <w:tabs>
          <w:tab w:leader="none" w:pos="575" w:val="left"/>
        </w:tabs>
        <w:numPr>
          <w:ilvl w:val="0"/>
          <w:numId w:val="30"/>
        </w:numPr>
        <w:rPr>
          <w:rFonts w:ascii="Arial" w:cs="Arial" w:eastAsia="Arial" w:hAnsi="Arial"/>
          <w:sz w:val="16"/>
          <w:szCs w:val="16"/>
          <w:color w:val="auto"/>
        </w:rPr>
      </w:pPr>
      <w:r>
        <w:rPr>
          <w:rFonts w:ascii="Arial" w:cs="Arial" w:eastAsia="Arial" w:hAnsi="Arial"/>
          <w:sz w:val="16"/>
          <w:szCs w:val="16"/>
          <w:color w:val="auto"/>
        </w:rPr>
        <w:t>Annual restricted stock unit ("RSU") grant with target value of $200,000 (automatically granted at the Annual Meeting). These RSUs vest in four equal quarterly installments over a one-year period; and</w:t>
      </w:r>
    </w:p>
    <w:p>
      <w:pPr>
        <w:spacing w:after="0" w:line="141" w:lineRule="exact"/>
        <w:rPr>
          <w:rFonts w:ascii="Arial" w:cs="Arial" w:eastAsia="Arial" w:hAnsi="Arial"/>
          <w:sz w:val="16"/>
          <w:szCs w:val="16"/>
          <w:color w:val="auto"/>
        </w:rPr>
      </w:pPr>
    </w:p>
    <w:p>
      <w:pPr>
        <w:ind w:left="580" w:right="60" w:hanging="248"/>
        <w:spacing w:after="0" w:line="341" w:lineRule="auto"/>
        <w:tabs>
          <w:tab w:leader="none" w:pos="6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Initial RSU grant with a target value equal to two-and one-half times the value of the then effective annual RSU grant, pursuant to which one-third of the RSUs will vest on the one-year anniversary of the effective date of appointment and the remaining RSUs will vest in eight equal quarterly installments thereafter. Any director elected at the Annual Meeting for a given year will receive both the initial RSU grant and the annual RSU grant.</w:t>
      </w:r>
    </w:p>
    <w:p>
      <w:pPr>
        <w:spacing w:after="0" w:line="147" w:lineRule="exact"/>
        <w:rPr>
          <w:sz w:val="20"/>
          <w:szCs w:val="20"/>
          <w:color w:val="auto"/>
        </w:rPr>
      </w:pPr>
    </w:p>
    <w:p>
      <w:pPr>
        <w:ind w:right="80"/>
        <w:spacing w:after="0" w:line="341" w:lineRule="auto"/>
        <w:rPr>
          <w:sz w:val="20"/>
          <w:szCs w:val="20"/>
          <w:color w:val="auto"/>
        </w:rPr>
      </w:pPr>
      <w:r>
        <w:rPr>
          <w:rFonts w:ascii="Arial" w:cs="Arial" w:eastAsia="Arial" w:hAnsi="Arial"/>
          <w:sz w:val="16"/>
          <w:szCs w:val="16"/>
          <w:color w:val="auto"/>
        </w:rPr>
        <w:t>The number of RSUs for each of the initial and annual RSU grant will be determined by dividing the annual equity value by the average closing price of Zscaler common stock on the Nasdaq Global Select Market for the 30 trading days ending on the date that is five days prior to the grant date, rounded up to the nearest share.</w:t>
      </w:r>
    </w:p>
    <w:p>
      <w:pPr>
        <w:spacing w:after="0" w:line="147" w:lineRule="exact"/>
        <w:rPr>
          <w:sz w:val="20"/>
          <w:szCs w:val="20"/>
          <w:color w:val="auto"/>
        </w:rPr>
      </w:pPr>
    </w:p>
    <w:p>
      <w:pPr>
        <w:ind w:right="80"/>
        <w:spacing w:after="0" w:line="341" w:lineRule="auto"/>
        <w:rPr>
          <w:sz w:val="20"/>
          <w:szCs w:val="20"/>
          <w:color w:val="auto"/>
        </w:rPr>
      </w:pPr>
      <w:r>
        <w:rPr>
          <w:rFonts w:ascii="Arial" w:cs="Arial" w:eastAsia="Arial" w:hAnsi="Arial"/>
          <w:sz w:val="16"/>
          <w:szCs w:val="16"/>
          <w:color w:val="auto"/>
        </w:rPr>
        <w:t>All cash payments to non-employee directors who served in the relevant capacity at any point during the immediately preceding prior fiscal quarter will be paid quarterly in arrears on a prorated basis. A non-employee director who served in the relevant capacity during only a portion of the prior fiscal quarter will receive a pro-rated payment of the quarterly payment of the applicable cash retainer.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255270</wp:posOffset>
            </wp:positionV>
            <wp:extent cx="342900" cy="21463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42900" cy="214630"/>
                    </a:xfrm>
                    <a:prstGeom prst="rect">
                      <a:avLst/>
                    </a:prstGeom>
                    <a:noFill/>
                  </pic:spPr>
                </pic:pic>
              </a:graphicData>
            </a:graphic>
          </wp:anchor>
        </w:drawing>
      </w:r>
    </w:p>
    <w:p>
      <w:pPr>
        <w:spacing w:after="0" w:line="320" w:lineRule="exact"/>
        <w:rPr>
          <w:sz w:val="20"/>
          <w:szCs w:val="20"/>
          <w:color w:val="auto"/>
        </w:rPr>
      </w:pPr>
    </w:p>
    <w:p>
      <w:pPr>
        <w:ind w:left="5540"/>
        <w:spacing w:after="0"/>
        <w:tabs>
          <w:tab w:leader="none" w:pos="9780" w:val="left"/>
        </w:tabs>
        <w:rPr>
          <w:sz w:val="20"/>
          <w:szCs w:val="20"/>
          <w:color w:val="auto"/>
        </w:rPr>
      </w:pPr>
      <w:r>
        <w:rPr>
          <w:rFonts w:ascii="Arial" w:cs="Arial" w:eastAsia="Arial" w:hAnsi="Arial"/>
          <w:sz w:val="29"/>
          <w:szCs w:val="29"/>
          <w:color w:val="auto"/>
          <w:vertAlign w:val="superscript"/>
        </w:rPr>
        <w:t>26</w:t>
      </w:r>
      <w:r>
        <w:rPr>
          <w:sz w:val="20"/>
          <w:szCs w:val="20"/>
          <w:color w:val="auto"/>
        </w:rPr>
        <w:tab/>
      </w:r>
      <w:r>
        <w:rPr>
          <w:rFonts w:ascii="Arial" w:cs="Arial" w:eastAsia="Arial" w:hAnsi="Arial"/>
          <w:sz w:val="14"/>
          <w:szCs w:val="14"/>
          <w:color w:val="auto"/>
        </w:rPr>
        <w:t>2021 Proxy Statement</w:t>
      </w:r>
    </w:p>
    <w:p>
      <w:pPr>
        <w:sectPr>
          <w:pgSz w:w="11900" w:h="16838" w:orient="portrait"/>
          <w:cols w:equalWidth="0" w:num="1">
            <w:col w:w="11240"/>
          </w:cols>
          <w:pgMar w:left="320" w:top="172" w:right="339" w:bottom="1440" w:gutter="0" w:footer="0" w:header="0"/>
        </w:sectPr>
      </w:pPr>
    </w:p>
    <w:bookmarkStart w:id="30" w:name="page31"/>
    <w:bookmarkEnd w:id="30"/>
    <w:p>
      <w:pPr>
        <w:ind w:left="280"/>
        <w:spacing w:after="0"/>
        <w:rPr>
          <w:sz w:val="20"/>
          <w:szCs w:val="20"/>
          <w:color w:val="auto"/>
        </w:rPr>
      </w:pPr>
      <w:r>
        <w:rPr>
          <w:rFonts w:ascii="Arial" w:cs="Arial" w:eastAsia="Arial" w:hAnsi="Arial"/>
          <w:sz w:val="13"/>
          <w:szCs w:val="13"/>
          <w:b w:val="1"/>
          <w:bCs w:val="1"/>
          <w:color w:val="929292"/>
        </w:rPr>
        <w:t>BOARD OF 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7470" cy="6032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7470" cy="60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400"/>
        <w:spacing w:after="0" w:line="348" w:lineRule="auto"/>
        <w:rPr>
          <w:sz w:val="20"/>
          <w:szCs w:val="20"/>
          <w:color w:val="auto"/>
        </w:rPr>
      </w:pPr>
      <w:r>
        <w:rPr>
          <w:rFonts w:ascii="Arial" w:cs="Arial" w:eastAsia="Arial" w:hAnsi="Arial"/>
          <w:sz w:val="16"/>
          <w:szCs w:val="16"/>
          <w:color w:val="auto"/>
        </w:rPr>
        <w:t>The following table sets forth information regarding compensation earned by or paid to our non-employee directors during the fiscal year ended July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88900</wp:posOffset>
            </wp:positionV>
            <wp:extent cx="8890" cy="3771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890" cy="377190"/>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88900</wp:posOffset>
            </wp:positionV>
            <wp:extent cx="8255" cy="3771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255" cy="377190"/>
                    </a:xfrm>
                    <a:prstGeom prst="rect">
                      <a:avLst/>
                    </a:prstGeom>
                    <a:noFill/>
                  </pic:spPr>
                </pic:pic>
              </a:graphicData>
            </a:graphic>
          </wp:anchor>
        </w:drawing>
        <w:drawing>
          <wp:anchor simplePos="0" relativeHeight="251657728" behindDoc="1" locked="0" layoutInCell="0" allowOverlap="1">
            <wp:simplePos x="0" y="0"/>
            <wp:positionH relativeFrom="column">
              <wp:posOffset>2327910</wp:posOffset>
            </wp:positionH>
            <wp:positionV relativeFrom="paragraph">
              <wp:posOffset>88900</wp:posOffset>
            </wp:positionV>
            <wp:extent cx="8890" cy="3771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890" cy="377190"/>
                    </a:xfrm>
                    <a:prstGeom prst="rect">
                      <a:avLst/>
                    </a:prstGeom>
                    <a:noFill/>
                  </pic:spPr>
                </pic:pic>
              </a:graphicData>
            </a:graphic>
          </wp:anchor>
        </w:drawing>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660" w:type="dxa"/>
            <w:vAlign w:val="bottom"/>
            <w:shd w:val="clear" w:color="auto" w:fill="000000"/>
          </w:tcPr>
          <w:p>
            <w:pPr>
              <w:spacing w:after="0"/>
              <w:rPr>
                <w:sz w:val="20"/>
                <w:szCs w:val="20"/>
                <w:color w:val="auto"/>
              </w:rPr>
            </w:pPr>
          </w:p>
        </w:tc>
        <w:tc>
          <w:tcPr>
            <w:tcW w:w="3100" w:type="dxa"/>
            <w:vAlign w:val="bottom"/>
            <w:shd w:val="clear" w:color="auto" w:fill="2B338D"/>
          </w:tcPr>
          <w:p>
            <w:pPr>
              <w:jc w:val="right"/>
              <w:spacing w:after="0"/>
              <w:rPr>
                <w:sz w:val="20"/>
                <w:szCs w:val="20"/>
                <w:color w:val="auto"/>
              </w:rPr>
            </w:pPr>
            <w:r>
              <w:rPr>
                <w:rFonts w:ascii="Arial" w:cs="Arial" w:eastAsia="Arial" w:hAnsi="Arial"/>
                <w:sz w:val="16"/>
                <w:szCs w:val="16"/>
                <w:b w:val="1"/>
                <w:bCs w:val="1"/>
                <w:color w:val="FFFFFF"/>
              </w:rPr>
              <w:t>Fees Earned or Paid in Cash</w:t>
            </w:r>
          </w:p>
        </w:tc>
        <w:tc>
          <w:tcPr>
            <w:tcW w:w="2520" w:type="dxa"/>
            <w:vAlign w:val="bottom"/>
            <w:shd w:val="clear" w:color="auto" w:fill="2B338D"/>
          </w:tcPr>
          <w:p>
            <w:pPr>
              <w:jc w:val="right"/>
              <w:ind w:right="89"/>
              <w:spacing w:after="0"/>
              <w:rPr>
                <w:sz w:val="20"/>
                <w:szCs w:val="20"/>
                <w:color w:val="auto"/>
              </w:rPr>
            </w:pPr>
            <w:r>
              <w:rPr>
                <w:rFonts w:ascii="Arial" w:cs="Arial" w:eastAsia="Arial" w:hAnsi="Arial"/>
                <w:sz w:val="16"/>
                <w:szCs w:val="16"/>
                <w:b w:val="1"/>
                <w:bCs w:val="1"/>
                <w:color w:val="FFFFFF"/>
              </w:rPr>
              <w:t>Stock Awards</w:t>
            </w:r>
          </w:p>
        </w:tc>
        <w:tc>
          <w:tcPr>
            <w:tcW w:w="1960" w:type="dxa"/>
            <w:vAlign w:val="bottom"/>
            <w:shd w:val="clear" w:color="auto" w:fill="009ADA"/>
          </w:tcPr>
          <w:p>
            <w:pPr>
              <w:jc w:val="right"/>
              <w:ind w:right="86"/>
              <w:spacing w:after="0"/>
              <w:rPr>
                <w:sz w:val="20"/>
                <w:szCs w:val="20"/>
                <w:color w:val="auto"/>
              </w:rPr>
            </w:pPr>
            <w:r>
              <w:rPr>
                <w:rFonts w:ascii="Arial" w:cs="Arial" w:eastAsia="Arial" w:hAnsi="Arial"/>
                <w:sz w:val="16"/>
                <w:szCs w:val="16"/>
                <w:b w:val="1"/>
                <w:bCs w:val="1"/>
                <w:color w:val="FFFFFF"/>
              </w:rPr>
              <w:t>Total</w:t>
            </w:r>
          </w:p>
        </w:tc>
      </w:tr>
      <w:tr>
        <w:trPr>
          <w:trHeight w:val="339"/>
        </w:trPr>
        <w:tc>
          <w:tcPr>
            <w:tcW w:w="3660" w:type="dxa"/>
            <w:vAlign w:val="bottom"/>
            <w:tcBorders>
              <w:bottom w:val="single" w:sz="8" w:color="auto"/>
            </w:tcBorders>
            <w:shd w:val="clear" w:color="auto" w:fill="000000"/>
          </w:tcPr>
          <w:p>
            <w:pPr>
              <w:ind w:left="100"/>
              <w:spacing w:after="0"/>
              <w:rPr>
                <w:sz w:val="20"/>
                <w:szCs w:val="20"/>
                <w:color w:val="auto"/>
              </w:rPr>
            </w:pPr>
            <w:r>
              <w:rPr>
                <w:rFonts w:ascii="Arial" w:cs="Arial" w:eastAsia="Arial" w:hAnsi="Arial"/>
                <w:sz w:val="16"/>
                <w:szCs w:val="16"/>
                <w:b w:val="1"/>
                <w:bCs w:val="1"/>
                <w:color w:val="FFFFFF"/>
              </w:rPr>
              <w:t>Name</w:t>
            </w:r>
            <w:r>
              <w:rPr>
                <w:rFonts w:ascii="Arial" w:cs="Arial" w:eastAsia="Arial" w:hAnsi="Arial"/>
                <w:sz w:val="21"/>
                <w:szCs w:val="21"/>
                <w:b w:val="1"/>
                <w:bCs w:val="1"/>
                <w:color w:val="FFFFFF"/>
                <w:vertAlign w:val="superscript"/>
              </w:rPr>
              <w:t>(1)</w:t>
            </w:r>
          </w:p>
        </w:tc>
        <w:tc>
          <w:tcPr>
            <w:tcW w:w="3100" w:type="dxa"/>
            <w:vAlign w:val="bottom"/>
            <w:tcBorders>
              <w:bottom w:val="single" w:sz="8" w:color="2B338D"/>
            </w:tcBorders>
            <w:shd w:val="clear" w:color="auto" w:fill="2B338D"/>
          </w:tcPr>
          <w:p>
            <w:pPr>
              <w:jc w:val="right"/>
              <w:spacing w:after="0"/>
              <w:rPr>
                <w:sz w:val="20"/>
                <w:szCs w:val="20"/>
                <w:color w:val="auto"/>
              </w:rPr>
            </w:pPr>
            <w:r>
              <w:rPr>
                <w:rFonts w:ascii="Arial" w:cs="Arial" w:eastAsia="Arial" w:hAnsi="Arial"/>
                <w:sz w:val="16"/>
                <w:szCs w:val="16"/>
                <w:b w:val="1"/>
                <w:bCs w:val="1"/>
                <w:color w:val="FFFFFF"/>
              </w:rPr>
              <w:t>($)</w:t>
            </w:r>
          </w:p>
        </w:tc>
        <w:tc>
          <w:tcPr>
            <w:tcW w:w="2520" w:type="dxa"/>
            <w:vAlign w:val="bottom"/>
            <w:tcBorders>
              <w:bottom w:val="single" w:sz="8" w:color="2B338D"/>
            </w:tcBorders>
            <w:shd w:val="clear" w:color="auto" w:fill="2B338D"/>
          </w:tcPr>
          <w:p>
            <w:pPr>
              <w:jc w:val="right"/>
              <w:ind w:right="89"/>
              <w:spacing w:after="0" w:line="306" w:lineRule="exact"/>
              <w:rPr>
                <w:sz w:val="20"/>
                <w:szCs w:val="20"/>
                <w:color w:val="auto"/>
              </w:rPr>
            </w:pPr>
            <w:r>
              <w:rPr>
                <w:rFonts w:ascii="Arial" w:cs="Arial" w:eastAsia="Arial" w:hAnsi="Arial"/>
                <w:sz w:val="32"/>
                <w:szCs w:val="32"/>
                <w:b w:val="1"/>
                <w:bCs w:val="1"/>
                <w:color w:val="FFFFFF"/>
                <w:vertAlign w:val="subscript"/>
              </w:rPr>
              <w:t>($)</w:t>
            </w:r>
            <w:r>
              <w:rPr>
                <w:rFonts w:ascii="Arial" w:cs="Arial" w:eastAsia="Arial" w:hAnsi="Arial"/>
                <w:sz w:val="11"/>
                <w:szCs w:val="11"/>
                <w:b w:val="1"/>
                <w:bCs w:val="1"/>
                <w:color w:val="FFFFFF"/>
              </w:rPr>
              <w:t>(1)</w:t>
            </w:r>
          </w:p>
        </w:tc>
        <w:tc>
          <w:tcPr>
            <w:tcW w:w="1960" w:type="dxa"/>
            <w:vAlign w:val="bottom"/>
            <w:tcBorders>
              <w:bottom w:val="single" w:sz="8" w:color="009ADA"/>
            </w:tcBorders>
            <w:shd w:val="clear" w:color="auto" w:fill="009ADA"/>
          </w:tcPr>
          <w:p>
            <w:pPr>
              <w:jc w:val="right"/>
              <w:ind w:right="86"/>
              <w:spacing w:after="0"/>
              <w:rPr>
                <w:sz w:val="20"/>
                <w:szCs w:val="20"/>
                <w:color w:val="auto"/>
              </w:rPr>
            </w:pPr>
            <w:r>
              <w:rPr>
                <w:rFonts w:ascii="Arial" w:cs="Arial" w:eastAsia="Arial" w:hAnsi="Arial"/>
                <w:sz w:val="16"/>
                <w:szCs w:val="16"/>
                <w:b w:val="1"/>
                <w:bCs w:val="1"/>
                <w:color w:val="FFFFFF"/>
              </w:rPr>
              <w:t>($)</w:t>
            </w:r>
          </w:p>
        </w:tc>
      </w:tr>
      <w:tr>
        <w:trPr>
          <w:trHeight w:val="231"/>
        </w:trPr>
        <w:tc>
          <w:tcPr>
            <w:tcW w:w="3660" w:type="dxa"/>
            <w:vAlign w:val="bottom"/>
          </w:tcPr>
          <w:p>
            <w:pPr>
              <w:ind w:left="100"/>
              <w:spacing w:after="0"/>
              <w:rPr>
                <w:sz w:val="20"/>
                <w:szCs w:val="20"/>
                <w:color w:val="auto"/>
              </w:rPr>
            </w:pPr>
            <w:r>
              <w:rPr>
                <w:rFonts w:ascii="Arial" w:cs="Arial" w:eastAsia="Arial" w:hAnsi="Arial"/>
                <w:sz w:val="14"/>
                <w:szCs w:val="14"/>
                <w:b w:val="1"/>
                <w:bCs w:val="1"/>
                <w:color w:val="auto"/>
              </w:rPr>
              <w:t>Karen Blasing</w:t>
            </w:r>
          </w:p>
        </w:tc>
        <w:tc>
          <w:tcPr>
            <w:tcW w:w="3100" w:type="dxa"/>
            <w:vAlign w:val="bottom"/>
          </w:tcPr>
          <w:p>
            <w:pPr>
              <w:jc w:val="right"/>
              <w:spacing w:after="0"/>
              <w:rPr>
                <w:sz w:val="20"/>
                <w:szCs w:val="20"/>
                <w:color w:val="auto"/>
              </w:rPr>
            </w:pPr>
            <w:r>
              <w:rPr>
                <w:rFonts w:ascii="Arial" w:cs="Arial" w:eastAsia="Arial" w:hAnsi="Arial"/>
                <w:sz w:val="14"/>
                <w:szCs w:val="14"/>
                <w:color w:val="auto"/>
              </w:rPr>
              <w:t>55,000</w:t>
            </w:r>
          </w:p>
        </w:tc>
        <w:tc>
          <w:tcPr>
            <w:tcW w:w="2520" w:type="dxa"/>
            <w:vAlign w:val="bottom"/>
          </w:tcPr>
          <w:p>
            <w:pPr>
              <w:jc w:val="right"/>
              <w:ind w:right="89"/>
              <w:spacing w:after="0"/>
              <w:rPr>
                <w:sz w:val="20"/>
                <w:szCs w:val="20"/>
                <w:color w:val="auto"/>
              </w:rPr>
            </w:pPr>
            <w:r>
              <w:rPr>
                <w:rFonts w:ascii="Arial" w:cs="Arial" w:eastAsia="Arial" w:hAnsi="Arial"/>
                <w:sz w:val="14"/>
                <w:szCs w:val="14"/>
                <w:color w:val="auto"/>
              </w:rPr>
              <w:t>215,403</w:t>
            </w:r>
          </w:p>
        </w:tc>
        <w:tc>
          <w:tcPr>
            <w:tcW w:w="1960" w:type="dxa"/>
            <w:vAlign w:val="bottom"/>
          </w:tcPr>
          <w:p>
            <w:pPr>
              <w:jc w:val="right"/>
              <w:ind w:right="86"/>
              <w:spacing w:after="0"/>
              <w:rPr>
                <w:sz w:val="20"/>
                <w:szCs w:val="20"/>
                <w:color w:val="auto"/>
              </w:rPr>
            </w:pPr>
            <w:r>
              <w:rPr>
                <w:rFonts w:ascii="Arial" w:cs="Arial" w:eastAsia="Arial" w:hAnsi="Arial"/>
                <w:sz w:val="14"/>
                <w:szCs w:val="14"/>
                <w:color w:val="auto"/>
              </w:rPr>
              <w:t>270,403</w:t>
            </w:r>
          </w:p>
        </w:tc>
      </w:tr>
      <w:tr>
        <w:trPr>
          <w:trHeight w:val="53"/>
        </w:trPr>
        <w:tc>
          <w:tcPr>
            <w:tcW w:w="3660" w:type="dxa"/>
            <w:vAlign w:val="bottom"/>
            <w:tcBorders>
              <w:bottom w:val="single" w:sz="8" w:color="auto"/>
            </w:tcBorders>
          </w:tcPr>
          <w:p>
            <w:pPr>
              <w:spacing w:after="0"/>
              <w:rPr>
                <w:sz w:val="4"/>
                <w:szCs w:val="4"/>
                <w:color w:val="auto"/>
              </w:rPr>
            </w:pPr>
          </w:p>
        </w:tc>
        <w:tc>
          <w:tcPr>
            <w:tcW w:w="3100" w:type="dxa"/>
            <w:vAlign w:val="bottom"/>
            <w:tcBorders>
              <w:bottom w:val="single" w:sz="8" w:color="auto"/>
            </w:tcBorders>
          </w:tcPr>
          <w:p>
            <w:pPr>
              <w:spacing w:after="0"/>
              <w:rPr>
                <w:sz w:val="4"/>
                <w:szCs w:val="4"/>
                <w:color w:val="auto"/>
              </w:rPr>
            </w:pPr>
          </w:p>
        </w:tc>
        <w:tc>
          <w:tcPr>
            <w:tcW w:w="2520" w:type="dxa"/>
            <w:vAlign w:val="bottom"/>
            <w:tcBorders>
              <w:bottom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r>
      <w:tr>
        <w:trPr>
          <w:trHeight w:val="224"/>
        </w:trPr>
        <w:tc>
          <w:tcPr>
            <w:tcW w:w="3660" w:type="dxa"/>
            <w:vAlign w:val="bottom"/>
          </w:tcPr>
          <w:p>
            <w:pPr>
              <w:ind w:left="100"/>
              <w:spacing w:after="0"/>
              <w:rPr>
                <w:sz w:val="20"/>
                <w:szCs w:val="20"/>
                <w:color w:val="auto"/>
              </w:rPr>
            </w:pPr>
            <w:r>
              <w:rPr>
                <w:rFonts w:ascii="Arial" w:cs="Arial" w:eastAsia="Arial" w:hAnsi="Arial"/>
                <w:sz w:val="14"/>
                <w:szCs w:val="14"/>
                <w:b w:val="1"/>
                <w:bCs w:val="1"/>
                <w:color w:val="auto"/>
              </w:rPr>
              <w:t>Andrew Brown</w:t>
            </w:r>
          </w:p>
        </w:tc>
        <w:tc>
          <w:tcPr>
            <w:tcW w:w="3100" w:type="dxa"/>
            <w:vAlign w:val="bottom"/>
          </w:tcPr>
          <w:p>
            <w:pPr>
              <w:jc w:val="right"/>
              <w:spacing w:after="0"/>
              <w:rPr>
                <w:sz w:val="20"/>
                <w:szCs w:val="20"/>
                <w:color w:val="auto"/>
              </w:rPr>
            </w:pPr>
            <w:r>
              <w:rPr>
                <w:rFonts w:ascii="Arial" w:cs="Arial" w:eastAsia="Arial" w:hAnsi="Arial"/>
                <w:sz w:val="14"/>
                <w:szCs w:val="14"/>
                <w:color w:val="auto"/>
              </w:rPr>
              <w:t>50,000</w:t>
            </w:r>
          </w:p>
        </w:tc>
        <w:tc>
          <w:tcPr>
            <w:tcW w:w="2520" w:type="dxa"/>
            <w:vAlign w:val="bottom"/>
          </w:tcPr>
          <w:p>
            <w:pPr>
              <w:jc w:val="right"/>
              <w:ind w:right="89"/>
              <w:spacing w:after="0"/>
              <w:rPr>
                <w:sz w:val="20"/>
                <w:szCs w:val="20"/>
                <w:color w:val="auto"/>
              </w:rPr>
            </w:pPr>
            <w:r>
              <w:rPr>
                <w:rFonts w:ascii="Arial" w:cs="Arial" w:eastAsia="Arial" w:hAnsi="Arial"/>
                <w:sz w:val="14"/>
                <w:szCs w:val="14"/>
                <w:color w:val="auto"/>
              </w:rPr>
              <w:t>215,403</w:t>
            </w:r>
          </w:p>
        </w:tc>
        <w:tc>
          <w:tcPr>
            <w:tcW w:w="1960" w:type="dxa"/>
            <w:vAlign w:val="bottom"/>
          </w:tcPr>
          <w:p>
            <w:pPr>
              <w:jc w:val="right"/>
              <w:ind w:right="86"/>
              <w:spacing w:after="0"/>
              <w:rPr>
                <w:sz w:val="20"/>
                <w:szCs w:val="20"/>
                <w:color w:val="auto"/>
              </w:rPr>
            </w:pPr>
            <w:r>
              <w:rPr>
                <w:rFonts w:ascii="Arial" w:cs="Arial" w:eastAsia="Arial" w:hAnsi="Arial"/>
                <w:sz w:val="14"/>
                <w:szCs w:val="14"/>
                <w:color w:val="auto"/>
              </w:rPr>
              <w:t>265,403</w:t>
            </w:r>
          </w:p>
        </w:tc>
      </w:tr>
      <w:tr>
        <w:trPr>
          <w:trHeight w:val="53"/>
        </w:trPr>
        <w:tc>
          <w:tcPr>
            <w:tcW w:w="3660" w:type="dxa"/>
            <w:vAlign w:val="bottom"/>
            <w:tcBorders>
              <w:bottom w:val="single" w:sz="8" w:color="auto"/>
            </w:tcBorders>
          </w:tcPr>
          <w:p>
            <w:pPr>
              <w:spacing w:after="0"/>
              <w:rPr>
                <w:sz w:val="4"/>
                <w:szCs w:val="4"/>
                <w:color w:val="auto"/>
              </w:rPr>
            </w:pPr>
          </w:p>
        </w:tc>
        <w:tc>
          <w:tcPr>
            <w:tcW w:w="3100" w:type="dxa"/>
            <w:vAlign w:val="bottom"/>
            <w:tcBorders>
              <w:bottom w:val="single" w:sz="8" w:color="auto"/>
            </w:tcBorders>
          </w:tcPr>
          <w:p>
            <w:pPr>
              <w:spacing w:after="0"/>
              <w:rPr>
                <w:sz w:val="4"/>
                <w:szCs w:val="4"/>
                <w:color w:val="auto"/>
              </w:rPr>
            </w:pPr>
          </w:p>
        </w:tc>
        <w:tc>
          <w:tcPr>
            <w:tcW w:w="2520" w:type="dxa"/>
            <w:vAlign w:val="bottom"/>
            <w:tcBorders>
              <w:bottom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r>
      <w:tr>
        <w:trPr>
          <w:trHeight w:val="224"/>
        </w:trPr>
        <w:tc>
          <w:tcPr>
            <w:tcW w:w="3660" w:type="dxa"/>
            <w:vAlign w:val="bottom"/>
          </w:tcPr>
          <w:p>
            <w:pPr>
              <w:ind w:left="100"/>
              <w:spacing w:after="0"/>
              <w:rPr>
                <w:sz w:val="20"/>
                <w:szCs w:val="20"/>
                <w:color w:val="auto"/>
              </w:rPr>
            </w:pPr>
            <w:r>
              <w:rPr>
                <w:rFonts w:ascii="Arial" w:cs="Arial" w:eastAsia="Arial" w:hAnsi="Arial"/>
                <w:sz w:val="14"/>
                <w:szCs w:val="14"/>
                <w:b w:val="1"/>
                <w:bCs w:val="1"/>
                <w:color w:val="auto"/>
              </w:rPr>
              <w:t>Scott Darling</w:t>
            </w:r>
          </w:p>
        </w:tc>
        <w:tc>
          <w:tcPr>
            <w:tcW w:w="3100" w:type="dxa"/>
            <w:vAlign w:val="bottom"/>
          </w:tcPr>
          <w:p>
            <w:pPr>
              <w:jc w:val="right"/>
              <w:spacing w:after="0"/>
              <w:rPr>
                <w:sz w:val="20"/>
                <w:szCs w:val="20"/>
                <w:color w:val="auto"/>
              </w:rPr>
            </w:pPr>
            <w:r>
              <w:rPr>
                <w:rFonts w:ascii="Arial" w:cs="Arial" w:eastAsia="Arial" w:hAnsi="Arial"/>
                <w:sz w:val="14"/>
                <w:szCs w:val="14"/>
                <w:color w:val="auto"/>
              </w:rPr>
              <w:t>42,000</w:t>
            </w:r>
          </w:p>
        </w:tc>
        <w:tc>
          <w:tcPr>
            <w:tcW w:w="2520" w:type="dxa"/>
            <w:vAlign w:val="bottom"/>
          </w:tcPr>
          <w:p>
            <w:pPr>
              <w:jc w:val="right"/>
              <w:ind w:right="89"/>
              <w:spacing w:after="0"/>
              <w:rPr>
                <w:sz w:val="20"/>
                <w:szCs w:val="20"/>
                <w:color w:val="auto"/>
              </w:rPr>
            </w:pPr>
            <w:r>
              <w:rPr>
                <w:rFonts w:ascii="Arial" w:cs="Arial" w:eastAsia="Arial" w:hAnsi="Arial"/>
                <w:sz w:val="14"/>
                <w:szCs w:val="14"/>
                <w:color w:val="auto"/>
              </w:rPr>
              <w:t>215,403</w:t>
            </w:r>
          </w:p>
        </w:tc>
        <w:tc>
          <w:tcPr>
            <w:tcW w:w="1960" w:type="dxa"/>
            <w:vAlign w:val="bottom"/>
          </w:tcPr>
          <w:p>
            <w:pPr>
              <w:jc w:val="right"/>
              <w:ind w:right="86"/>
              <w:spacing w:after="0"/>
              <w:rPr>
                <w:sz w:val="20"/>
                <w:szCs w:val="20"/>
                <w:color w:val="auto"/>
              </w:rPr>
            </w:pPr>
            <w:r>
              <w:rPr>
                <w:rFonts w:ascii="Arial" w:cs="Arial" w:eastAsia="Arial" w:hAnsi="Arial"/>
                <w:sz w:val="14"/>
                <w:szCs w:val="14"/>
                <w:color w:val="auto"/>
              </w:rPr>
              <w:t>257,403</w:t>
            </w:r>
          </w:p>
        </w:tc>
      </w:tr>
      <w:tr>
        <w:trPr>
          <w:trHeight w:val="53"/>
        </w:trPr>
        <w:tc>
          <w:tcPr>
            <w:tcW w:w="3660" w:type="dxa"/>
            <w:vAlign w:val="bottom"/>
            <w:tcBorders>
              <w:bottom w:val="single" w:sz="8" w:color="auto"/>
            </w:tcBorders>
          </w:tcPr>
          <w:p>
            <w:pPr>
              <w:spacing w:after="0"/>
              <w:rPr>
                <w:sz w:val="4"/>
                <w:szCs w:val="4"/>
                <w:color w:val="auto"/>
              </w:rPr>
            </w:pPr>
          </w:p>
        </w:tc>
        <w:tc>
          <w:tcPr>
            <w:tcW w:w="3100" w:type="dxa"/>
            <w:vAlign w:val="bottom"/>
            <w:tcBorders>
              <w:bottom w:val="single" w:sz="8" w:color="auto"/>
            </w:tcBorders>
          </w:tcPr>
          <w:p>
            <w:pPr>
              <w:spacing w:after="0"/>
              <w:rPr>
                <w:sz w:val="4"/>
                <w:szCs w:val="4"/>
                <w:color w:val="auto"/>
              </w:rPr>
            </w:pPr>
          </w:p>
        </w:tc>
        <w:tc>
          <w:tcPr>
            <w:tcW w:w="2520" w:type="dxa"/>
            <w:vAlign w:val="bottom"/>
            <w:tcBorders>
              <w:bottom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r>
      <w:tr>
        <w:trPr>
          <w:trHeight w:val="224"/>
        </w:trPr>
        <w:tc>
          <w:tcPr>
            <w:tcW w:w="3660" w:type="dxa"/>
            <w:vAlign w:val="bottom"/>
          </w:tcPr>
          <w:p>
            <w:pPr>
              <w:ind w:left="100"/>
              <w:spacing w:after="0"/>
              <w:rPr>
                <w:sz w:val="20"/>
                <w:szCs w:val="20"/>
                <w:color w:val="auto"/>
              </w:rPr>
            </w:pPr>
            <w:r>
              <w:rPr>
                <w:rFonts w:ascii="Arial" w:cs="Arial" w:eastAsia="Arial" w:hAnsi="Arial"/>
                <w:sz w:val="14"/>
                <w:szCs w:val="14"/>
                <w:b w:val="1"/>
                <w:bCs w:val="1"/>
                <w:color w:val="auto"/>
              </w:rPr>
              <w:t>Charles Giancarlo</w:t>
            </w:r>
          </w:p>
        </w:tc>
        <w:tc>
          <w:tcPr>
            <w:tcW w:w="3100" w:type="dxa"/>
            <w:vAlign w:val="bottom"/>
          </w:tcPr>
          <w:p>
            <w:pPr>
              <w:jc w:val="right"/>
              <w:spacing w:after="0"/>
              <w:rPr>
                <w:sz w:val="20"/>
                <w:szCs w:val="20"/>
                <w:color w:val="auto"/>
              </w:rPr>
            </w:pPr>
            <w:r>
              <w:rPr>
                <w:rFonts w:ascii="Arial" w:cs="Arial" w:eastAsia="Arial" w:hAnsi="Arial"/>
                <w:sz w:val="14"/>
                <w:szCs w:val="14"/>
                <w:color w:val="auto"/>
              </w:rPr>
              <w:t>42,500</w:t>
            </w:r>
          </w:p>
        </w:tc>
        <w:tc>
          <w:tcPr>
            <w:tcW w:w="2520" w:type="dxa"/>
            <w:vAlign w:val="bottom"/>
          </w:tcPr>
          <w:p>
            <w:pPr>
              <w:jc w:val="right"/>
              <w:ind w:right="89"/>
              <w:spacing w:after="0"/>
              <w:rPr>
                <w:sz w:val="20"/>
                <w:szCs w:val="20"/>
                <w:color w:val="auto"/>
              </w:rPr>
            </w:pPr>
            <w:r>
              <w:rPr>
                <w:rFonts w:ascii="Arial" w:cs="Arial" w:eastAsia="Arial" w:hAnsi="Arial"/>
                <w:sz w:val="14"/>
                <w:szCs w:val="14"/>
                <w:color w:val="auto"/>
              </w:rPr>
              <w:t>215,403</w:t>
            </w:r>
          </w:p>
        </w:tc>
        <w:tc>
          <w:tcPr>
            <w:tcW w:w="1960" w:type="dxa"/>
            <w:vAlign w:val="bottom"/>
          </w:tcPr>
          <w:p>
            <w:pPr>
              <w:jc w:val="right"/>
              <w:ind w:right="86"/>
              <w:spacing w:after="0"/>
              <w:rPr>
                <w:sz w:val="20"/>
                <w:szCs w:val="20"/>
                <w:color w:val="auto"/>
              </w:rPr>
            </w:pPr>
            <w:r>
              <w:rPr>
                <w:rFonts w:ascii="Arial" w:cs="Arial" w:eastAsia="Arial" w:hAnsi="Arial"/>
                <w:sz w:val="14"/>
                <w:szCs w:val="14"/>
                <w:color w:val="auto"/>
              </w:rPr>
              <w:t>257,903</w:t>
            </w:r>
          </w:p>
        </w:tc>
      </w:tr>
      <w:tr>
        <w:trPr>
          <w:trHeight w:val="53"/>
        </w:trPr>
        <w:tc>
          <w:tcPr>
            <w:tcW w:w="3660" w:type="dxa"/>
            <w:vAlign w:val="bottom"/>
            <w:tcBorders>
              <w:bottom w:val="single" w:sz="8" w:color="auto"/>
            </w:tcBorders>
          </w:tcPr>
          <w:p>
            <w:pPr>
              <w:spacing w:after="0"/>
              <w:rPr>
                <w:sz w:val="4"/>
                <w:szCs w:val="4"/>
                <w:color w:val="auto"/>
              </w:rPr>
            </w:pPr>
          </w:p>
        </w:tc>
        <w:tc>
          <w:tcPr>
            <w:tcW w:w="3100" w:type="dxa"/>
            <w:vAlign w:val="bottom"/>
            <w:tcBorders>
              <w:bottom w:val="single" w:sz="8" w:color="auto"/>
            </w:tcBorders>
          </w:tcPr>
          <w:p>
            <w:pPr>
              <w:spacing w:after="0"/>
              <w:rPr>
                <w:sz w:val="4"/>
                <w:szCs w:val="4"/>
                <w:color w:val="auto"/>
              </w:rPr>
            </w:pPr>
          </w:p>
        </w:tc>
        <w:tc>
          <w:tcPr>
            <w:tcW w:w="2520" w:type="dxa"/>
            <w:vAlign w:val="bottom"/>
            <w:tcBorders>
              <w:bottom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r>
      <w:tr>
        <w:trPr>
          <w:trHeight w:val="224"/>
        </w:trPr>
        <w:tc>
          <w:tcPr>
            <w:tcW w:w="3660" w:type="dxa"/>
            <w:vAlign w:val="bottom"/>
          </w:tcPr>
          <w:p>
            <w:pPr>
              <w:ind w:left="100"/>
              <w:spacing w:after="0"/>
              <w:rPr>
                <w:sz w:val="20"/>
                <w:szCs w:val="20"/>
                <w:color w:val="auto"/>
              </w:rPr>
            </w:pPr>
            <w:r>
              <w:rPr>
                <w:rFonts w:ascii="Arial" w:cs="Arial" w:eastAsia="Arial" w:hAnsi="Arial"/>
                <w:sz w:val="14"/>
                <w:szCs w:val="14"/>
                <w:b w:val="1"/>
                <w:bCs w:val="1"/>
                <w:color w:val="auto"/>
              </w:rPr>
              <w:t>David Schneider</w:t>
            </w:r>
          </w:p>
        </w:tc>
        <w:tc>
          <w:tcPr>
            <w:tcW w:w="3100" w:type="dxa"/>
            <w:vAlign w:val="bottom"/>
          </w:tcPr>
          <w:p>
            <w:pPr>
              <w:jc w:val="right"/>
              <w:spacing w:after="0"/>
              <w:rPr>
                <w:sz w:val="20"/>
                <w:szCs w:val="20"/>
                <w:color w:val="auto"/>
              </w:rPr>
            </w:pPr>
            <w:r>
              <w:rPr>
                <w:rFonts w:ascii="Arial" w:cs="Arial" w:eastAsia="Arial" w:hAnsi="Arial"/>
                <w:sz w:val="14"/>
                <w:szCs w:val="14"/>
                <w:color w:val="auto"/>
              </w:rPr>
              <w:t>34,000</w:t>
            </w:r>
          </w:p>
        </w:tc>
        <w:tc>
          <w:tcPr>
            <w:tcW w:w="2520" w:type="dxa"/>
            <w:vAlign w:val="bottom"/>
          </w:tcPr>
          <w:p>
            <w:pPr>
              <w:jc w:val="right"/>
              <w:ind w:right="89"/>
              <w:spacing w:after="0"/>
              <w:rPr>
                <w:sz w:val="20"/>
                <w:szCs w:val="20"/>
                <w:color w:val="auto"/>
              </w:rPr>
            </w:pPr>
            <w:r>
              <w:rPr>
                <w:rFonts w:ascii="Arial" w:cs="Arial" w:eastAsia="Arial" w:hAnsi="Arial"/>
                <w:sz w:val="14"/>
                <w:szCs w:val="14"/>
                <w:color w:val="auto"/>
              </w:rPr>
              <w:t>215,403</w:t>
            </w:r>
          </w:p>
        </w:tc>
        <w:tc>
          <w:tcPr>
            <w:tcW w:w="1960" w:type="dxa"/>
            <w:vAlign w:val="bottom"/>
          </w:tcPr>
          <w:p>
            <w:pPr>
              <w:jc w:val="right"/>
              <w:ind w:right="86"/>
              <w:spacing w:after="0"/>
              <w:rPr>
                <w:sz w:val="20"/>
                <w:szCs w:val="20"/>
                <w:color w:val="auto"/>
              </w:rPr>
            </w:pPr>
            <w:r>
              <w:rPr>
                <w:rFonts w:ascii="Arial" w:cs="Arial" w:eastAsia="Arial" w:hAnsi="Arial"/>
                <w:sz w:val="14"/>
                <w:szCs w:val="14"/>
                <w:color w:val="auto"/>
              </w:rPr>
              <w:t>249,403</w:t>
            </w:r>
          </w:p>
        </w:tc>
      </w:tr>
      <w:tr>
        <w:trPr>
          <w:trHeight w:val="53"/>
        </w:trPr>
        <w:tc>
          <w:tcPr>
            <w:tcW w:w="3660" w:type="dxa"/>
            <w:vAlign w:val="bottom"/>
            <w:tcBorders>
              <w:bottom w:val="single" w:sz="8" w:color="auto"/>
            </w:tcBorders>
          </w:tcPr>
          <w:p>
            <w:pPr>
              <w:spacing w:after="0"/>
              <w:rPr>
                <w:sz w:val="4"/>
                <w:szCs w:val="4"/>
                <w:color w:val="auto"/>
              </w:rPr>
            </w:pPr>
          </w:p>
        </w:tc>
        <w:tc>
          <w:tcPr>
            <w:tcW w:w="3100" w:type="dxa"/>
            <w:vAlign w:val="bottom"/>
            <w:tcBorders>
              <w:bottom w:val="single" w:sz="8" w:color="auto"/>
            </w:tcBorders>
          </w:tcPr>
          <w:p>
            <w:pPr>
              <w:spacing w:after="0"/>
              <w:rPr>
                <w:sz w:val="4"/>
                <w:szCs w:val="4"/>
                <w:color w:val="auto"/>
              </w:rPr>
            </w:pPr>
          </w:p>
        </w:tc>
        <w:tc>
          <w:tcPr>
            <w:tcW w:w="2520" w:type="dxa"/>
            <w:vAlign w:val="bottom"/>
            <w:tcBorders>
              <w:bottom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r>
      <w:tr>
        <w:trPr>
          <w:trHeight w:val="284"/>
        </w:trPr>
        <w:tc>
          <w:tcPr>
            <w:tcW w:w="3660" w:type="dxa"/>
            <w:vAlign w:val="bottom"/>
          </w:tcPr>
          <w:p>
            <w:pPr>
              <w:ind w:left="100"/>
              <w:spacing w:after="0"/>
              <w:rPr>
                <w:sz w:val="20"/>
                <w:szCs w:val="20"/>
                <w:color w:val="auto"/>
              </w:rPr>
            </w:pPr>
            <w:r>
              <w:rPr>
                <w:rFonts w:ascii="Arial" w:cs="Arial" w:eastAsia="Arial" w:hAnsi="Arial"/>
                <w:sz w:val="14"/>
                <w:szCs w:val="14"/>
                <w:b w:val="1"/>
                <w:bCs w:val="1"/>
                <w:color w:val="auto"/>
              </w:rPr>
              <w:t>Eileen Naughton</w:t>
            </w:r>
            <w:r>
              <w:rPr>
                <w:rFonts w:ascii="Arial" w:cs="Arial" w:eastAsia="Arial" w:hAnsi="Arial"/>
                <w:sz w:val="18"/>
                <w:szCs w:val="18"/>
                <w:b w:val="1"/>
                <w:bCs w:val="1"/>
                <w:color w:val="auto"/>
                <w:vertAlign w:val="superscript"/>
              </w:rPr>
              <w:t>(2)</w:t>
            </w:r>
          </w:p>
        </w:tc>
        <w:tc>
          <w:tcPr>
            <w:tcW w:w="3100" w:type="dxa"/>
            <w:vAlign w:val="bottom"/>
          </w:tcPr>
          <w:p>
            <w:pPr>
              <w:jc w:val="right"/>
              <w:spacing w:after="0"/>
              <w:rPr>
                <w:sz w:val="20"/>
                <w:szCs w:val="20"/>
                <w:color w:val="auto"/>
              </w:rPr>
            </w:pPr>
            <w:r>
              <w:rPr>
                <w:rFonts w:ascii="Arial" w:cs="Arial" w:eastAsia="Arial" w:hAnsi="Arial"/>
                <w:sz w:val="14"/>
                <w:szCs w:val="14"/>
                <w:color w:val="auto"/>
              </w:rPr>
              <w:t>—</w:t>
            </w:r>
          </w:p>
        </w:tc>
        <w:tc>
          <w:tcPr>
            <w:tcW w:w="252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960" w:type="dxa"/>
            <w:vAlign w:val="bottom"/>
          </w:tcPr>
          <w:p>
            <w:pPr>
              <w:jc w:val="right"/>
              <w:ind w:right="86"/>
              <w:spacing w:after="0"/>
              <w:rPr>
                <w:sz w:val="20"/>
                <w:szCs w:val="20"/>
                <w:color w:val="auto"/>
              </w:rPr>
            </w:pPr>
            <w:r>
              <w:rPr>
                <w:rFonts w:ascii="Arial" w:cs="Arial" w:eastAsia="Arial" w:hAnsi="Arial"/>
                <w:sz w:val="14"/>
                <w:szCs w:val="14"/>
                <w:color w:val="auto"/>
              </w:rPr>
              <w:t>—</w:t>
            </w:r>
          </w:p>
        </w:tc>
      </w:tr>
      <w:tr>
        <w:trPr>
          <w:trHeight w:val="47"/>
        </w:trPr>
        <w:tc>
          <w:tcPr>
            <w:tcW w:w="3660" w:type="dxa"/>
            <w:vAlign w:val="bottom"/>
            <w:tcBorders>
              <w:bottom w:val="single" w:sz="8" w:color="auto"/>
            </w:tcBorders>
          </w:tcPr>
          <w:p>
            <w:pPr>
              <w:spacing w:after="0"/>
              <w:rPr>
                <w:sz w:val="4"/>
                <w:szCs w:val="4"/>
                <w:color w:val="auto"/>
              </w:rPr>
            </w:pPr>
          </w:p>
        </w:tc>
        <w:tc>
          <w:tcPr>
            <w:tcW w:w="3100" w:type="dxa"/>
            <w:vAlign w:val="bottom"/>
            <w:tcBorders>
              <w:bottom w:val="single" w:sz="8" w:color="auto"/>
            </w:tcBorders>
          </w:tcPr>
          <w:p>
            <w:pPr>
              <w:spacing w:after="0"/>
              <w:rPr>
                <w:sz w:val="4"/>
                <w:szCs w:val="4"/>
                <w:color w:val="auto"/>
              </w:rPr>
            </w:pPr>
          </w:p>
        </w:tc>
        <w:tc>
          <w:tcPr>
            <w:tcW w:w="2520" w:type="dxa"/>
            <w:vAlign w:val="bottom"/>
            <w:tcBorders>
              <w:bottom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r>
    </w:tbl>
    <w:p>
      <w:pPr>
        <w:spacing w:after="0" w:line="197" w:lineRule="exact"/>
        <w:rPr>
          <w:sz w:val="20"/>
          <w:szCs w:val="20"/>
          <w:color w:val="auto"/>
        </w:rPr>
      </w:pPr>
    </w:p>
    <w:p>
      <w:pPr>
        <w:ind w:left="240" w:hanging="232"/>
        <w:spacing w:after="0"/>
        <w:tabs>
          <w:tab w:leader="none" w:pos="240" w:val="left"/>
        </w:tabs>
        <w:numPr>
          <w:ilvl w:val="0"/>
          <w:numId w:val="31"/>
        </w:numPr>
        <w:rPr>
          <w:rFonts w:ascii="Arial" w:cs="Arial" w:eastAsia="Arial" w:hAnsi="Arial"/>
          <w:sz w:val="13"/>
          <w:szCs w:val="13"/>
          <w:color w:val="auto"/>
        </w:rPr>
      </w:pPr>
      <w:r>
        <w:rPr>
          <w:rFonts w:ascii="Arial" w:cs="Arial" w:eastAsia="Arial" w:hAnsi="Arial"/>
          <w:sz w:val="13"/>
          <w:szCs w:val="13"/>
          <w:color w:val="auto"/>
        </w:rPr>
        <w:t>Amounts represent the grant date fair market value of RSUs granted to serving directors following our 2020 annual meeting of stockholders.</w:t>
      </w:r>
    </w:p>
    <w:p>
      <w:pPr>
        <w:spacing w:after="0" w:line="53" w:lineRule="exact"/>
        <w:rPr>
          <w:rFonts w:ascii="Arial" w:cs="Arial" w:eastAsia="Arial" w:hAnsi="Arial"/>
          <w:sz w:val="13"/>
          <w:szCs w:val="13"/>
          <w:color w:val="auto"/>
        </w:rPr>
      </w:pPr>
    </w:p>
    <w:p>
      <w:pPr>
        <w:ind w:left="240" w:hanging="232"/>
        <w:spacing w:after="0"/>
        <w:tabs>
          <w:tab w:leader="none" w:pos="240" w:val="left"/>
        </w:tabs>
        <w:numPr>
          <w:ilvl w:val="0"/>
          <w:numId w:val="31"/>
        </w:numPr>
        <w:rPr>
          <w:rFonts w:ascii="Arial" w:cs="Arial" w:eastAsia="Arial" w:hAnsi="Arial"/>
          <w:sz w:val="13"/>
          <w:szCs w:val="13"/>
          <w:color w:val="auto"/>
        </w:rPr>
      </w:pPr>
      <w:r>
        <w:rPr>
          <w:rFonts w:ascii="Arial" w:cs="Arial" w:eastAsia="Arial" w:hAnsi="Arial"/>
          <w:sz w:val="13"/>
          <w:szCs w:val="13"/>
          <w:color w:val="auto"/>
        </w:rPr>
        <w:t>Ms. Naughton was appointed to the board following the end of fiscal 2021 and did not receive any compensation for the fiscal year.</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lists all outstanding equity awards held by our non-employee directors as of July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147955</wp:posOffset>
            </wp:positionV>
            <wp:extent cx="8890" cy="42862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890" cy="428625"/>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147955</wp:posOffset>
            </wp:positionV>
            <wp:extent cx="8890" cy="42862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890" cy="428625"/>
                    </a:xfrm>
                    <a:prstGeom prst="rect">
                      <a:avLst/>
                    </a:prstGeom>
                    <a:noFill/>
                  </pic:spPr>
                </pic:pic>
              </a:graphicData>
            </a:graphic>
          </wp:anchor>
        </w:drawing>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300" w:type="dxa"/>
            <w:vAlign w:val="bottom"/>
            <w:shd w:val="clear" w:color="auto" w:fill="000000"/>
          </w:tcPr>
          <w:p>
            <w:pPr>
              <w:spacing w:after="0"/>
              <w:rPr>
                <w:sz w:val="17"/>
                <w:szCs w:val="17"/>
                <w:color w:val="auto"/>
              </w:rPr>
            </w:pPr>
          </w:p>
        </w:tc>
        <w:tc>
          <w:tcPr>
            <w:tcW w:w="3460" w:type="dxa"/>
            <w:vAlign w:val="bottom"/>
            <w:shd w:val="clear" w:color="auto" w:fill="2B338D"/>
          </w:tcPr>
          <w:p>
            <w:pPr>
              <w:jc w:val="center"/>
              <w:spacing w:after="0"/>
              <w:rPr>
                <w:sz w:val="20"/>
                <w:szCs w:val="20"/>
                <w:color w:val="auto"/>
              </w:rPr>
            </w:pPr>
            <w:r>
              <w:rPr>
                <w:rFonts w:ascii="Arial" w:cs="Arial" w:eastAsia="Arial" w:hAnsi="Arial"/>
                <w:sz w:val="16"/>
                <w:szCs w:val="16"/>
                <w:b w:val="1"/>
                <w:bCs w:val="1"/>
                <w:color w:val="FFFFFF"/>
              </w:rPr>
              <w:t>Aggregate Number of Stock Awards</w:t>
            </w:r>
          </w:p>
        </w:tc>
        <w:tc>
          <w:tcPr>
            <w:tcW w:w="3460" w:type="dxa"/>
            <w:vAlign w:val="bottom"/>
            <w:shd w:val="clear" w:color="auto" w:fill="009ADA"/>
          </w:tcPr>
          <w:p>
            <w:pPr>
              <w:jc w:val="center"/>
              <w:spacing w:after="0"/>
              <w:rPr>
                <w:sz w:val="20"/>
                <w:szCs w:val="20"/>
                <w:color w:val="auto"/>
              </w:rPr>
            </w:pPr>
            <w:r>
              <w:rPr>
                <w:rFonts w:ascii="Arial" w:cs="Arial" w:eastAsia="Arial" w:hAnsi="Arial"/>
                <w:sz w:val="16"/>
                <w:szCs w:val="16"/>
                <w:b w:val="1"/>
                <w:bCs w:val="1"/>
                <w:color w:val="FFFFFF"/>
              </w:rPr>
              <w:t>Aggregate Number of Stock Options</w:t>
            </w:r>
          </w:p>
        </w:tc>
      </w:tr>
      <w:tr>
        <w:trPr>
          <w:trHeight w:val="189"/>
        </w:trPr>
        <w:tc>
          <w:tcPr>
            <w:tcW w:w="4300" w:type="dxa"/>
            <w:vAlign w:val="bottom"/>
            <w:shd w:val="clear" w:color="auto" w:fill="000000"/>
          </w:tcPr>
          <w:p>
            <w:pPr>
              <w:spacing w:after="0"/>
              <w:rPr>
                <w:sz w:val="16"/>
                <w:szCs w:val="16"/>
                <w:color w:val="auto"/>
              </w:rPr>
            </w:pPr>
          </w:p>
        </w:tc>
        <w:tc>
          <w:tcPr>
            <w:tcW w:w="3460" w:type="dxa"/>
            <w:vAlign w:val="bottom"/>
            <w:shd w:val="clear" w:color="auto" w:fill="2B338D"/>
          </w:tcPr>
          <w:p>
            <w:pPr>
              <w:jc w:val="center"/>
              <w:spacing w:after="0"/>
              <w:rPr>
                <w:sz w:val="20"/>
                <w:szCs w:val="20"/>
                <w:color w:val="auto"/>
              </w:rPr>
            </w:pPr>
            <w:r>
              <w:rPr>
                <w:rFonts w:ascii="Arial" w:cs="Arial" w:eastAsia="Arial" w:hAnsi="Arial"/>
                <w:sz w:val="16"/>
                <w:szCs w:val="16"/>
                <w:b w:val="1"/>
                <w:bCs w:val="1"/>
                <w:color w:val="FFFFFF"/>
              </w:rPr>
              <w:t>Outstanding as of July 31, 2021</w:t>
            </w:r>
          </w:p>
        </w:tc>
        <w:tc>
          <w:tcPr>
            <w:tcW w:w="3460" w:type="dxa"/>
            <w:vAlign w:val="bottom"/>
            <w:shd w:val="clear" w:color="auto" w:fill="009ADA"/>
          </w:tcPr>
          <w:p>
            <w:pPr>
              <w:jc w:val="center"/>
              <w:spacing w:after="0"/>
              <w:rPr>
                <w:sz w:val="20"/>
                <w:szCs w:val="20"/>
                <w:color w:val="auto"/>
              </w:rPr>
            </w:pPr>
            <w:r>
              <w:rPr>
                <w:rFonts w:ascii="Arial" w:cs="Arial" w:eastAsia="Arial" w:hAnsi="Arial"/>
                <w:sz w:val="16"/>
                <w:szCs w:val="16"/>
                <w:b w:val="1"/>
                <w:bCs w:val="1"/>
                <w:color w:val="FFFFFF"/>
              </w:rPr>
              <w:t>Outstanding as of July 31, 2021</w:t>
            </w:r>
          </w:p>
        </w:tc>
      </w:tr>
      <w:tr>
        <w:trPr>
          <w:trHeight w:val="215"/>
        </w:trPr>
        <w:tc>
          <w:tcPr>
            <w:tcW w:w="4300" w:type="dxa"/>
            <w:vAlign w:val="bottom"/>
            <w:shd w:val="clear" w:color="auto" w:fill="000000"/>
          </w:tcPr>
          <w:p>
            <w:pPr>
              <w:ind w:left="100"/>
              <w:spacing w:after="0"/>
              <w:rPr>
                <w:sz w:val="20"/>
                <w:szCs w:val="20"/>
                <w:color w:val="auto"/>
              </w:rPr>
            </w:pPr>
            <w:r>
              <w:rPr>
                <w:rFonts w:ascii="Arial" w:cs="Arial" w:eastAsia="Arial" w:hAnsi="Arial"/>
                <w:sz w:val="16"/>
                <w:szCs w:val="16"/>
                <w:b w:val="1"/>
                <w:bCs w:val="1"/>
                <w:color w:val="FFFFFF"/>
              </w:rPr>
              <w:t>Name</w:t>
            </w:r>
          </w:p>
        </w:tc>
        <w:tc>
          <w:tcPr>
            <w:tcW w:w="3460" w:type="dxa"/>
            <w:vAlign w:val="bottom"/>
            <w:shd w:val="clear" w:color="auto" w:fill="2B338D"/>
          </w:tcPr>
          <w:p>
            <w:pPr>
              <w:jc w:val="center"/>
              <w:spacing w:after="0"/>
              <w:rPr>
                <w:sz w:val="20"/>
                <w:szCs w:val="20"/>
                <w:color w:val="auto"/>
              </w:rPr>
            </w:pPr>
            <w:r>
              <w:rPr>
                <w:rFonts w:ascii="Arial" w:cs="Arial" w:eastAsia="Arial" w:hAnsi="Arial"/>
                <w:sz w:val="16"/>
                <w:szCs w:val="16"/>
                <w:b w:val="1"/>
                <w:bCs w:val="1"/>
                <w:color w:val="FFFFFF"/>
              </w:rPr>
              <w:t>(#)</w:t>
            </w:r>
          </w:p>
        </w:tc>
        <w:tc>
          <w:tcPr>
            <w:tcW w:w="3460" w:type="dxa"/>
            <w:vAlign w:val="bottom"/>
            <w:shd w:val="clear" w:color="auto" w:fill="009ADA"/>
          </w:tcPr>
          <w:p>
            <w:pPr>
              <w:jc w:val="center"/>
              <w:spacing w:after="0"/>
              <w:rPr>
                <w:sz w:val="20"/>
                <w:szCs w:val="20"/>
                <w:color w:val="auto"/>
              </w:rPr>
            </w:pPr>
            <w:r>
              <w:rPr>
                <w:rFonts w:ascii="Arial" w:cs="Arial" w:eastAsia="Arial" w:hAnsi="Arial"/>
                <w:sz w:val="16"/>
                <w:szCs w:val="16"/>
                <w:b w:val="1"/>
                <w:bCs w:val="1"/>
                <w:color w:val="FFFFFF"/>
              </w:rPr>
              <w:t>(#)</w:t>
            </w:r>
          </w:p>
        </w:tc>
      </w:tr>
      <w:tr>
        <w:trPr>
          <w:trHeight w:val="74"/>
        </w:trPr>
        <w:tc>
          <w:tcPr>
            <w:tcW w:w="4300" w:type="dxa"/>
            <w:vAlign w:val="bottom"/>
            <w:shd w:val="clear" w:color="auto" w:fill="000000"/>
          </w:tcPr>
          <w:p>
            <w:pPr>
              <w:spacing w:after="0"/>
              <w:rPr>
                <w:sz w:val="6"/>
                <w:szCs w:val="6"/>
                <w:color w:val="auto"/>
              </w:rPr>
            </w:pPr>
          </w:p>
        </w:tc>
        <w:tc>
          <w:tcPr>
            <w:tcW w:w="3460" w:type="dxa"/>
            <w:vAlign w:val="bottom"/>
            <w:shd w:val="clear" w:color="auto" w:fill="2B338D"/>
          </w:tcPr>
          <w:p>
            <w:pPr>
              <w:spacing w:after="0"/>
              <w:rPr>
                <w:sz w:val="6"/>
                <w:szCs w:val="6"/>
                <w:color w:val="auto"/>
              </w:rPr>
            </w:pPr>
          </w:p>
        </w:tc>
        <w:tc>
          <w:tcPr>
            <w:tcW w:w="3460" w:type="dxa"/>
            <w:vAlign w:val="bottom"/>
            <w:shd w:val="clear" w:color="auto" w:fill="009ADA"/>
          </w:tcPr>
          <w:p>
            <w:pPr>
              <w:spacing w:after="0"/>
              <w:rPr>
                <w:sz w:val="6"/>
                <w:szCs w:val="6"/>
                <w:color w:val="auto"/>
              </w:rPr>
            </w:pPr>
          </w:p>
        </w:tc>
      </w:tr>
      <w:tr>
        <w:trPr>
          <w:trHeight w:val="231"/>
        </w:trPr>
        <w:tc>
          <w:tcPr>
            <w:tcW w:w="4300" w:type="dxa"/>
            <w:vAlign w:val="bottom"/>
          </w:tcPr>
          <w:p>
            <w:pPr>
              <w:ind w:left="100"/>
              <w:spacing w:after="0"/>
              <w:rPr>
                <w:sz w:val="20"/>
                <w:szCs w:val="20"/>
                <w:color w:val="auto"/>
              </w:rPr>
            </w:pPr>
            <w:r>
              <w:rPr>
                <w:rFonts w:ascii="Arial" w:cs="Arial" w:eastAsia="Arial" w:hAnsi="Arial"/>
                <w:sz w:val="14"/>
                <w:szCs w:val="14"/>
                <w:b w:val="1"/>
                <w:bCs w:val="1"/>
                <w:color w:val="auto"/>
              </w:rPr>
              <w:t>Karen Blasing</w:t>
            </w:r>
          </w:p>
        </w:tc>
        <w:tc>
          <w:tcPr>
            <w:tcW w:w="3460" w:type="dxa"/>
            <w:vAlign w:val="bottom"/>
          </w:tcPr>
          <w:p>
            <w:pPr>
              <w:jc w:val="center"/>
              <w:spacing w:after="0"/>
              <w:rPr>
                <w:sz w:val="20"/>
                <w:szCs w:val="20"/>
                <w:color w:val="auto"/>
              </w:rPr>
            </w:pPr>
            <w:r>
              <w:rPr>
                <w:rFonts w:ascii="Arial" w:cs="Arial" w:eastAsia="Arial" w:hAnsi="Arial"/>
                <w:sz w:val="14"/>
                <w:szCs w:val="14"/>
                <w:color w:val="auto"/>
              </w:rPr>
              <w:t>584</w:t>
            </w:r>
          </w:p>
        </w:tc>
        <w:tc>
          <w:tcPr>
            <w:tcW w:w="3460" w:type="dxa"/>
            <w:vAlign w:val="bottom"/>
          </w:tcPr>
          <w:p>
            <w:pPr>
              <w:jc w:val="center"/>
              <w:spacing w:after="0"/>
              <w:rPr>
                <w:sz w:val="20"/>
                <w:szCs w:val="20"/>
                <w:color w:val="auto"/>
              </w:rPr>
            </w:pPr>
            <w:r>
              <w:rPr>
                <w:rFonts w:ascii="Arial" w:cs="Arial" w:eastAsia="Arial" w:hAnsi="Arial"/>
                <w:sz w:val="14"/>
                <w:szCs w:val="14"/>
                <w:color w:val="auto"/>
              </w:rPr>
              <w:t>133,334</w:t>
            </w:r>
          </w:p>
        </w:tc>
      </w:tr>
      <w:tr>
        <w:trPr>
          <w:trHeight w:val="53"/>
        </w:trPr>
        <w:tc>
          <w:tcPr>
            <w:tcW w:w="4300" w:type="dxa"/>
            <w:vAlign w:val="bottom"/>
            <w:tcBorders>
              <w:bottom w:val="single" w:sz="8" w:color="auto"/>
            </w:tcBorders>
          </w:tcPr>
          <w:p>
            <w:pPr>
              <w:spacing w:after="0"/>
              <w:rPr>
                <w:sz w:val="4"/>
                <w:szCs w:val="4"/>
                <w:color w:val="auto"/>
              </w:rPr>
            </w:pPr>
          </w:p>
        </w:tc>
        <w:tc>
          <w:tcPr>
            <w:tcW w:w="3460" w:type="dxa"/>
            <w:vAlign w:val="bottom"/>
            <w:tcBorders>
              <w:bottom w:val="single" w:sz="8" w:color="auto"/>
            </w:tcBorders>
          </w:tcPr>
          <w:p>
            <w:pPr>
              <w:spacing w:after="0"/>
              <w:rPr>
                <w:sz w:val="4"/>
                <w:szCs w:val="4"/>
                <w:color w:val="auto"/>
              </w:rPr>
            </w:pPr>
          </w:p>
        </w:tc>
        <w:tc>
          <w:tcPr>
            <w:tcW w:w="3460" w:type="dxa"/>
            <w:vAlign w:val="bottom"/>
            <w:tcBorders>
              <w:bottom w:val="single" w:sz="8" w:color="auto"/>
            </w:tcBorders>
          </w:tcPr>
          <w:p>
            <w:pPr>
              <w:spacing w:after="0"/>
              <w:rPr>
                <w:sz w:val="4"/>
                <w:szCs w:val="4"/>
                <w:color w:val="auto"/>
              </w:rPr>
            </w:pPr>
          </w:p>
        </w:tc>
      </w:tr>
      <w:tr>
        <w:trPr>
          <w:trHeight w:val="225"/>
        </w:trPr>
        <w:tc>
          <w:tcPr>
            <w:tcW w:w="4300" w:type="dxa"/>
            <w:vAlign w:val="bottom"/>
          </w:tcPr>
          <w:p>
            <w:pPr>
              <w:ind w:left="100"/>
              <w:spacing w:after="0"/>
              <w:rPr>
                <w:sz w:val="20"/>
                <w:szCs w:val="20"/>
                <w:color w:val="auto"/>
              </w:rPr>
            </w:pPr>
            <w:r>
              <w:rPr>
                <w:rFonts w:ascii="Arial" w:cs="Arial" w:eastAsia="Arial" w:hAnsi="Arial"/>
                <w:sz w:val="14"/>
                <w:szCs w:val="14"/>
                <w:b w:val="1"/>
                <w:bCs w:val="1"/>
                <w:color w:val="auto"/>
              </w:rPr>
              <w:t>Andrew Brown</w:t>
            </w:r>
          </w:p>
        </w:tc>
        <w:tc>
          <w:tcPr>
            <w:tcW w:w="3460" w:type="dxa"/>
            <w:vAlign w:val="bottom"/>
          </w:tcPr>
          <w:p>
            <w:pPr>
              <w:jc w:val="center"/>
              <w:spacing w:after="0"/>
              <w:rPr>
                <w:sz w:val="20"/>
                <w:szCs w:val="20"/>
                <w:color w:val="auto"/>
              </w:rPr>
            </w:pPr>
            <w:r>
              <w:rPr>
                <w:rFonts w:ascii="Arial" w:cs="Arial" w:eastAsia="Arial" w:hAnsi="Arial"/>
                <w:sz w:val="14"/>
                <w:szCs w:val="14"/>
                <w:color w:val="auto"/>
              </w:rPr>
              <w:t>584</w:t>
            </w:r>
          </w:p>
        </w:tc>
        <w:tc>
          <w:tcPr>
            <w:tcW w:w="3460" w:type="dxa"/>
            <w:vAlign w:val="bottom"/>
          </w:tcPr>
          <w:p>
            <w:pPr>
              <w:jc w:val="center"/>
              <w:spacing w:after="0"/>
              <w:rPr>
                <w:sz w:val="20"/>
                <w:szCs w:val="20"/>
                <w:color w:val="auto"/>
              </w:rPr>
            </w:pPr>
            <w:r>
              <w:rPr>
                <w:rFonts w:ascii="Arial" w:cs="Arial" w:eastAsia="Arial" w:hAnsi="Arial"/>
                <w:sz w:val="14"/>
                <w:szCs w:val="14"/>
                <w:color w:val="auto"/>
              </w:rPr>
              <w:t>68,333</w:t>
            </w:r>
          </w:p>
        </w:tc>
      </w:tr>
      <w:tr>
        <w:trPr>
          <w:trHeight w:val="53"/>
        </w:trPr>
        <w:tc>
          <w:tcPr>
            <w:tcW w:w="4300" w:type="dxa"/>
            <w:vAlign w:val="bottom"/>
            <w:tcBorders>
              <w:bottom w:val="single" w:sz="8" w:color="auto"/>
            </w:tcBorders>
          </w:tcPr>
          <w:p>
            <w:pPr>
              <w:spacing w:after="0"/>
              <w:rPr>
                <w:sz w:val="4"/>
                <w:szCs w:val="4"/>
                <w:color w:val="auto"/>
              </w:rPr>
            </w:pPr>
          </w:p>
        </w:tc>
        <w:tc>
          <w:tcPr>
            <w:tcW w:w="3460" w:type="dxa"/>
            <w:vAlign w:val="bottom"/>
            <w:tcBorders>
              <w:bottom w:val="single" w:sz="8" w:color="auto"/>
            </w:tcBorders>
          </w:tcPr>
          <w:p>
            <w:pPr>
              <w:spacing w:after="0"/>
              <w:rPr>
                <w:sz w:val="4"/>
                <w:szCs w:val="4"/>
                <w:color w:val="auto"/>
              </w:rPr>
            </w:pPr>
          </w:p>
        </w:tc>
        <w:tc>
          <w:tcPr>
            <w:tcW w:w="3460" w:type="dxa"/>
            <w:vAlign w:val="bottom"/>
            <w:tcBorders>
              <w:bottom w:val="single" w:sz="8" w:color="auto"/>
            </w:tcBorders>
          </w:tcPr>
          <w:p>
            <w:pPr>
              <w:spacing w:after="0"/>
              <w:rPr>
                <w:sz w:val="4"/>
                <w:szCs w:val="4"/>
                <w:color w:val="auto"/>
              </w:rPr>
            </w:pPr>
          </w:p>
        </w:tc>
      </w:tr>
      <w:tr>
        <w:trPr>
          <w:trHeight w:val="225"/>
        </w:trPr>
        <w:tc>
          <w:tcPr>
            <w:tcW w:w="4300" w:type="dxa"/>
            <w:vAlign w:val="bottom"/>
          </w:tcPr>
          <w:p>
            <w:pPr>
              <w:ind w:left="100"/>
              <w:spacing w:after="0"/>
              <w:rPr>
                <w:sz w:val="20"/>
                <w:szCs w:val="20"/>
                <w:color w:val="auto"/>
              </w:rPr>
            </w:pPr>
            <w:r>
              <w:rPr>
                <w:rFonts w:ascii="Arial" w:cs="Arial" w:eastAsia="Arial" w:hAnsi="Arial"/>
                <w:sz w:val="14"/>
                <w:szCs w:val="14"/>
                <w:b w:val="1"/>
                <w:bCs w:val="1"/>
                <w:color w:val="auto"/>
              </w:rPr>
              <w:t>Scott Darling</w:t>
            </w:r>
          </w:p>
        </w:tc>
        <w:tc>
          <w:tcPr>
            <w:tcW w:w="3460" w:type="dxa"/>
            <w:vAlign w:val="bottom"/>
          </w:tcPr>
          <w:p>
            <w:pPr>
              <w:jc w:val="center"/>
              <w:spacing w:after="0"/>
              <w:rPr>
                <w:sz w:val="20"/>
                <w:szCs w:val="20"/>
                <w:color w:val="auto"/>
              </w:rPr>
            </w:pPr>
            <w:r>
              <w:rPr>
                <w:rFonts w:ascii="Arial" w:cs="Arial" w:eastAsia="Arial" w:hAnsi="Arial"/>
                <w:sz w:val="14"/>
                <w:szCs w:val="14"/>
                <w:color w:val="auto"/>
              </w:rPr>
              <w:t>584</w:t>
            </w:r>
          </w:p>
        </w:tc>
        <w:tc>
          <w:tcPr>
            <w:tcW w:w="3460" w:type="dxa"/>
            <w:vAlign w:val="bottom"/>
          </w:tcPr>
          <w:p>
            <w:pPr>
              <w:jc w:val="center"/>
              <w:spacing w:after="0"/>
              <w:rPr>
                <w:sz w:val="20"/>
                <w:szCs w:val="20"/>
                <w:color w:val="auto"/>
              </w:rPr>
            </w:pPr>
            <w:r>
              <w:rPr>
                <w:rFonts w:ascii="Arial" w:cs="Arial" w:eastAsia="Arial" w:hAnsi="Arial"/>
                <w:sz w:val="14"/>
                <w:szCs w:val="14"/>
                <w:color w:val="auto"/>
                <w:w w:val="99"/>
              </w:rPr>
              <w:t>—</w:t>
            </w:r>
          </w:p>
        </w:tc>
      </w:tr>
      <w:tr>
        <w:trPr>
          <w:trHeight w:val="52"/>
        </w:trPr>
        <w:tc>
          <w:tcPr>
            <w:tcW w:w="4300" w:type="dxa"/>
            <w:vAlign w:val="bottom"/>
            <w:tcBorders>
              <w:bottom w:val="single" w:sz="8" w:color="auto"/>
            </w:tcBorders>
          </w:tcPr>
          <w:p>
            <w:pPr>
              <w:spacing w:after="0"/>
              <w:rPr>
                <w:sz w:val="4"/>
                <w:szCs w:val="4"/>
                <w:color w:val="auto"/>
              </w:rPr>
            </w:pPr>
          </w:p>
        </w:tc>
        <w:tc>
          <w:tcPr>
            <w:tcW w:w="3460" w:type="dxa"/>
            <w:vAlign w:val="bottom"/>
            <w:tcBorders>
              <w:bottom w:val="single" w:sz="8" w:color="auto"/>
            </w:tcBorders>
          </w:tcPr>
          <w:p>
            <w:pPr>
              <w:spacing w:after="0"/>
              <w:rPr>
                <w:sz w:val="4"/>
                <w:szCs w:val="4"/>
                <w:color w:val="auto"/>
              </w:rPr>
            </w:pPr>
          </w:p>
        </w:tc>
        <w:tc>
          <w:tcPr>
            <w:tcW w:w="3460" w:type="dxa"/>
            <w:vAlign w:val="bottom"/>
            <w:tcBorders>
              <w:bottom w:val="single" w:sz="8" w:color="auto"/>
            </w:tcBorders>
          </w:tcPr>
          <w:p>
            <w:pPr>
              <w:spacing w:after="0"/>
              <w:rPr>
                <w:sz w:val="4"/>
                <w:szCs w:val="4"/>
                <w:color w:val="auto"/>
              </w:rPr>
            </w:pPr>
          </w:p>
        </w:tc>
      </w:tr>
      <w:tr>
        <w:trPr>
          <w:trHeight w:val="225"/>
        </w:trPr>
        <w:tc>
          <w:tcPr>
            <w:tcW w:w="4300" w:type="dxa"/>
            <w:vAlign w:val="bottom"/>
          </w:tcPr>
          <w:p>
            <w:pPr>
              <w:ind w:left="100"/>
              <w:spacing w:after="0"/>
              <w:rPr>
                <w:sz w:val="20"/>
                <w:szCs w:val="20"/>
                <w:color w:val="auto"/>
              </w:rPr>
            </w:pPr>
            <w:r>
              <w:rPr>
                <w:rFonts w:ascii="Arial" w:cs="Arial" w:eastAsia="Arial" w:hAnsi="Arial"/>
                <w:sz w:val="14"/>
                <w:szCs w:val="14"/>
                <w:b w:val="1"/>
                <w:bCs w:val="1"/>
                <w:color w:val="auto"/>
              </w:rPr>
              <w:t>Charles Giancarlo</w:t>
            </w:r>
          </w:p>
        </w:tc>
        <w:tc>
          <w:tcPr>
            <w:tcW w:w="3460" w:type="dxa"/>
            <w:vAlign w:val="bottom"/>
          </w:tcPr>
          <w:p>
            <w:pPr>
              <w:jc w:val="center"/>
              <w:spacing w:after="0"/>
              <w:rPr>
                <w:sz w:val="20"/>
                <w:szCs w:val="20"/>
                <w:color w:val="auto"/>
              </w:rPr>
            </w:pPr>
            <w:r>
              <w:rPr>
                <w:rFonts w:ascii="Arial" w:cs="Arial" w:eastAsia="Arial" w:hAnsi="Arial"/>
                <w:sz w:val="14"/>
                <w:szCs w:val="14"/>
                <w:color w:val="auto"/>
              </w:rPr>
              <w:t>584</w:t>
            </w:r>
          </w:p>
        </w:tc>
        <w:tc>
          <w:tcPr>
            <w:tcW w:w="3460" w:type="dxa"/>
            <w:vAlign w:val="bottom"/>
          </w:tcPr>
          <w:p>
            <w:pPr>
              <w:jc w:val="center"/>
              <w:spacing w:after="0"/>
              <w:rPr>
                <w:sz w:val="20"/>
                <w:szCs w:val="20"/>
                <w:color w:val="auto"/>
              </w:rPr>
            </w:pPr>
            <w:r>
              <w:rPr>
                <w:rFonts w:ascii="Arial" w:cs="Arial" w:eastAsia="Arial" w:hAnsi="Arial"/>
                <w:sz w:val="14"/>
                <w:szCs w:val="14"/>
                <w:color w:val="auto"/>
                <w:w w:val="99"/>
              </w:rPr>
              <w:t>—</w:t>
            </w:r>
          </w:p>
        </w:tc>
      </w:tr>
      <w:tr>
        <w:trPr>
          <w:trHeight w:val="53"/>
        </w:trPr>
        <w:tc>
          <w:tcPr>
            <w:tcW w:w="4300" w:type="dxa"/>
            <w:vAlign w:val="bottom"/>
            <w:tcBorders>
              <w:bottom w:val="single" w:sz="8" w:color="auto"/>
            </w:tcBorders>
          </w:tcPr>
          <w:p>
            <w:pPr>
              <w:spacing w:after="0"/>
              <w:rPr>
                <w:sz w:val="4"/>
                <w:szCs w:val="4"/>
                <w:color w:val="auto"/>
              </w:rPr>
            </w:pPr>
          </w:p>
        </w:tc>
        <w:tc>
          <w:tcPr>
            <w:tcW w:w="3460" w:type="dxa"/>
            <w:vAlign w:val="bottom"/>
            <w:tcBorders>
              <w:bottom w:val="single" w:sz="8" w:color="auto"/>
            </w:tcBorders>
          </w:tcPr>
          <w:p>
            <w:pPr>
              <w:spacing w:after="0"/>
              <w:rPr>
                <w:sz w:val="4"/>
                <w:szCs w:val="4"/>
                <w:color w:val="auto"/>
              </w:rPr>
            </w:pPr>
          </w:p>
        </w:tc>
        <w:tc>
          <w:tcPr>
            <w:tcW w:w="3460" w:type="dxa"/>
            <w:vAlign w:val="bottom"/>
            <w:tcBorders>
              <w:bottom w:val="single" w:sz="8" w:color="auto"/>
            </w:tcBorders>
          </w:tcPr>
          <w:p>
            <w:pPr>
              <w:spacing w:after="0"/>
              <w:rPr>
                <w:sz w:val="4"/>
                <w:szCs w:val="4"/>
                <w:color w:val="auto"/>
              </w:rPr>
            </w:pPr>
          </w:p>
        </w:tc>
      </w:tr>
      <w:tr>
        <w:trPr>
          <w:trHeight w:val="225"/>
        </w:trPr>
        <w:tc>
          <w:tcPr>
            <w:tcW w:w="4300" w:type="dxa"/>
            <w:vAlign w:val="bottom"/>
          </w:tcPr>
          <w:p>
            <w:pPr>
              <w:ind w:left="100"/>
              <w:spacing w:after="0"/>
              <w:rPr>
                <w:sz w:val="20"/>
                <w:szCs w:val="20"/>
                <w:color w:val="auto"/>
              </w:rPr>
            </w:pPr>
            <w:r>
              <w:rPr>
                <w:rFonts w:ascii="Arial" w:cs="Arial" w:eastAsia="Arial" w:hAnsi="Arial"/>
                <w:sz w:val="14"/>
                <w:szCs w:val="14"/>
                <w:b w:val="1"/>
                <w:bCs w:val="1"/>
                <w:color w:val="auto"/>
              </w:rPr>
              <w:t>David Schneider</w:t>
            </w:r>
          </w:p>
        </w:tc>
        <w:tc>
          <w:tcPr>
            <w:tcW w:w="3460" w:type="dxa"/>
            <w:vAlign w:val="bottom"/>
          </w:tcPr>
          <w:p>
            <w:pPr>
              <w:jc w:val="center"/>
              <w:spacing w:after="0"/>
              <w:rPr>
                <w:sz w:val="20"/>
                <w:szCs w:val="20"/>
                <w:color w:val="auto"/>
              </w:rPr>
            </w:pPr>
            <w:r>
              <w:rPr>
                <w:rFonts w:ascii="Arial" w:cs="Arial" w:eastAsia="Arial" w:hAnsi="Arial"/>
                <w:sz w:val="14"/>
                <w:szCs w:val="14"/>
                <w:color w:val="auto"/>
              </w:rPr>
              <w:t>6,662</w:t>
            </w:r>
          </w:p>
        </w:tc>
        <w:tc>
          <w:tcPr>
            <w:tcW w:w="3460" w:type="dxa"/>
            <w:vAlign w:val="bottom"/>
          </w:tcPr>
          <w:p>
            <w:pPr>
              <w:jc w:val="center"/>
              <w:spacing w:after="0"/>
              <w:rPr>
                <w:sz w:val="20"/>
                <w:szCs w:val="20"/>
                <w:color w:val="auto"/>
              </w:rPr>
            </w:pPr>
            <w:r>
              <w:rPr>
                <w:rFonts w:ascii="Arial" w:cs="Arial" w:eastAsia="Arial" w:hAnsi="Arial"/>
                <w:sz w:val="14"/>
                <w:szCs w:val="14"/>
                <w:color w:val="auto"/>
                <w:w w:val="99"/>
              </w:rPr>
              <w:t>—</w:t>
            </w:r>
          </w:p>
        </w:tc>
      </w:tr>
      <w:tr>
        <w:trPr>
          <w:trHeight w:val="53"/>
        </w:trPr>
        <w:tc>
          <w:tcPr>
            <w:tcW w:w="4300" w:type="dxa"/>
            <w:vAlign w:val="bottom"/>
            <w:tcBorders>
              <w:bottom w:val="single" w:sz="8" w:color="auto"/>
            </w:tcBorders>
          </w:tcPr>
          <w:p>
            <w:pPr>
              <w:spacing w:after="0"/>
              <w:rPr>
                <w:sz w:val="4"/>
                <w:szCs w:val="4"/>
                <w:color w:val="auto"/>
              </w:rPr>
            </w:pPr>
          </w:p>
        </w:tc>
        <w:tc>
          <w:tcPr>
            <w:tcW w:w="3460" w:type="dxa"/>
            <w:vAlign w:val="bottom"/>
            <w:tcBorders>
              <w:bottom w:val="single" w:sz="8" w:color="auto"/>
            </w:tcBorders>
          </w:tcPr>
          <w:p>
            <w:pPr>
              <w:spacing w:after="0"/>
              <w:rPr>
                <w:sz w:val="4"/>
                <w:szCs w:val="4"/>
                <w:color w:val="auto"/>
              </w:rPr>
            </w:pPr>
          </w:p>
        </w:tc>
        <w:tc>
          <w:tcPr>
            <w:tcW w:w="3460" w:type="dxa"/>
            <w:vAlign w:val="bottom"/>
            <w:tcBorders>
              <w:bottom w:val="single" w:sz="8" w:color="auto"/>
            </w:tcBorders>
          </w:tcPr>
          <w:p>
            <w:pPr>
              <w:spacing w:after="0"/>
              <w:rPr>
                <w:sz w:val="4"/>
                <w:szCs w:val="4"/>
                <w:color w:val="auto"/>
              </w:rPr>
            </w:pPr>
          </w:p>
        </w:tc>
      </w:tr>
      <w:tr>
        <w:trPr>
          <w:trHeight w:val="283"/>
        </w:trPr>
        <w:tc>
          <w:tcPr>
            <w:tcW w:w="4300" w:type="dxa"/>
            <w:vAlign w:val="bottom"/>
          </w:tcPr>
          <w:p>
            <w:pPr>
              <w:ind w:left="100"/>
              <w:spacing w:after="0"/>
              <w:rPr>
                <w:sz w:val="20"/>
                <w:szCs w:val="20"/>
                <w:color w:val="auto"/>
              </w:rPr>
            </w:pPr>
            <w:r>
              <w:rPr>
                <w:rFonts w:ascii="Arial" w:cs="Arial" w:eastAsia="Arial" w:hAnsi="Arial"/>
                <w:sz w:val="14"/>
                <w:szCs w:val="14"/>
                <w:b w:val="1"/>
                <w:bCs w:val="1"/>
                <w:color w:val="auto"/>
              </w:rPr>
              <w:t>Eileen Naughton</w:t>
            </w:r>
            <w:r>
              <w:rPr>
                <w:rFonts w:ascii="Arial" w:cs="Arial" w:eastAsia="Arial" w:hAnsi="Arial"/>
                <w:sz w:val="18"/>
                <w:szCs w:val="18"/>
                <w:b w:val="1"/>
                <w:bCs w:val="1"/>
                <w:color w:val="auto"/>
                <w:vertAlign w:val="superscript"/>
              </w:rPr>
              <w:t>(1)</w:t>
            </w:r>
          </w:p>
        </w:tc>
        <w:tc>
          <w:tcPr>
            <w:tcW w:w="34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3460" w:type="dxa"/>
            <w:vAlign w:val="bottom"/>
          </w:tcPr>
          <w:p>
            <w:pPr>
              <w:jc w:val="center"/>
              <w:spacing w:after="0"/>
              <w:rPr>
                <w:sz w:val="20"/>
                <w:szCs w:val="20"/>
                <w:color w:val="auto"/>
              </w:rPr>
            </w:pPr>
            <w:r>
              <w:rPr>
                <w:rFonts w:ascii="Arial" w:cs="Arial" w:eastAsia="Arial" w:hAnsi="Arial"/>
                <w:sz w:val="14"/>
                <w:szCs w:val="14"/>
                <w:color w:val="auto"/>
                <w:w w:val="99"/>
              </w:rPr>
              <w:t>—</w:t>
            </w:r>
          </w:p>
        </w:tc>
      </w:tr>
      <w:tr>
        <w:trPr>
          <w:trHeight w:val="48"/>
        </w:trPr>
        <w:tc>
          <w:tcPr>
            <w:tcW w:w="4300" w:type="dxa"/>
            <w:vAlign w:val="bottom"/>
            <w:tcBorders>
              <w:bottom w:val="single" w:sz="8" w:color="auto"/>
            </w:tcBorders>
          </w:tcPr>
          <w:p>
            <w:pPr>
              <w:spacing w:after="0"/>
              <w:rPr>
                <w:sz w:val="4"/>
                <w:szCs w:val="4"/>
                <w:color w:val="auto"/>
              </w:rPr>
            </w:pPr>
          </w:p>
        </w:tc>
        <w:tc>
          <w:tcPr>
            <w:tcW w:w="3460" w:type="dxa"/>
            <w:vAlign w:val="bottom"/>
            <w:tcBorders>
              <w:bottom w:val="single" w:sz="8" w:color="auto"/>
            </w:tcBorders>
          </w:tcPr>
          <w:p>
            <w:pPr>
              <w:spacing w:after="0"/>
              <w:rPr>
                <w:sz w:val="4"/>
                <w:szCs w:val="4"/>
                <w:color w:val="auto"/>
              </w:rPr>
            </w:pPr>
          </w:p>
        </w:tc>
        <w:tc>
          <w:tcPr>
            <w:tcW w:w="3460" w:type="dxa"/>
            <w:vAlign w:val="bottom"/>
            <w:tcBorders>
              <w:bottom w:val="single" w:sz="8" w:color="auto"/>
            </w:tcBorders>
          </w:tcPr>
          <w:p>
            <w:pPr>
              <w:spacing w:after="0"/>
              <w:rPr>
                <w:sz w:val="4"/>
                <w:szCs w:val="4"/>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3"/>
          <w:szCs w:val="13"/>
          <w:color w:val="auto"/>
        </w:rPr>
        <w:t>(1)  Ms. Naughton was appointed to the board following the end of fiscal 2021 and did not hold any equity as of the end of the fiscal year.</w:t>
      </w:r>
    </w:p>
    <w:p>
      <w:pPr>
        <w:spacing w:after="0" w:line="31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For information about the compensation of directors who are also our employees, see </w:t>
      </w:r>
      <w:r>
        <w:rPr>
          <w:rFonts w:ascii="Arial" w:cs="Arial" w:eastAsia="Arial" w:hAnsi="Arial"/>
          <w:sz w:val="16"/>
          <w:szCs w:val="16"/>
          <w:i w:val="1"/>
          <w:iCs w:val="1"/>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329565</wp:posOffset>
            </wp:positionV>
            <wp:extent cx="342900" cy="21463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42900" cy="21463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jc w:val="both"/>
        <w:ind w:left="5540"/>
        <w:spacing w:after="0"/>
        <w:tabs>
          <w:tab w:leader="none" w:pos="9780" w:val="left"/>
        </w:tabs>
        <w:rPr>
          <w:sz w:val="20"/>
          <w:szCs w:val="20"/>
          <w:color w:val="auto"/>
        </w:rPr>
      </w:pPr>
      <w:r>
        <w:rPr>
          <w:rFonts w:ascii="Arial" w:cs="Arial" w:eastAsia="Arial" w:hAnsi="Arial"/>
          <w:sz w:val="29"/>
          <w:szCs w:val="29"/>
          <w:color w:val="auto"/>
          <w:vertAlign w:val="superscript"/>
        </w:rPr>
        <w:t>27</w:t>
      </w:r>
      <w:r>
        <w:rPr>
          <w:sz w:val="20"/>
          <w:szCs w:val="20"/>
          <w:color w:val="auto"/>
        </w:rPr>
        <w:tab/>
      </w:r>
      <w:r>
        <w:rPr>
          <w:rFonts w:ascii="Arial" w:cs="Arial" w:eastAsia="Arial" w:hAnsi="Arial"/>
          <w:sz w:val="14"/>
          <w:szCs w:val="14"/>
          <w:color w:val="auto"/>
        </w:rPr>
        <w:t>2021 Proxy Statement</w:t>
      </w:r>
    </w:p>
    <w:p>
      <w:pPr>
        <w:sectPr>
          <w:pgSz w:w="11900" w:h="16838" w:orient="portrait"/>
          <w:cols w:equalWidth="0" w:num="1">
            <w:col w:w="11240"/>
          </w:cols>
          <w:pgMar w:left="320" w:top="172" w:right="339" w:bottom="1440" w:gutter="0" w:footer="0" w:header="0"/>
        </w:sectPr>
      </w:pPr>
    </w:p>
    <w:bookmarkStart w:id="31" w:name="page32"/>
    <w:bookmarkEnd w:id="31"/>
    <w:p>
      <w:pPr>
        <w:ind w:left="280"/>
        <w:spacing w:after="0"/>
        <w:rPr>
          <w:sz w:val="20"/>
          <w:szCs w:val="20"/>
          <w:color w:val="auto"/>
        </w:rPr>
      </w:pPr>
      <w:r>
        <w:rPr>
          <w:rFonts w:ascii="Arial" w:cs="Arial" w:eastAsia="Arial" w:hAnsi="Arial"/>
          <w:sz w:val="13"/>
          <w:szCs w:val="13"/>
          <w:b w:val="1"/>
          <w:bCs w:val="1"/>
          <w:color w:val="929292"/>
        </w:rPr>
        <w:t>BOARD OF 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7470" cy="6032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7470" cy="60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b w:val="1"/>
          <w:bCs w:val="1"/>
          <w:color w:val="009ADA"/>
        </w:rPr>
        <w:t>Environmental, Social, and Governance (ESG) Program</w:t>
      </w:r>
    </w:p>
    <w:p>
      <w:pPr>
        <w:spacing w:after="0" w:line="213" w:lineRule="exact"/>
        <w:rPr>
          <w:sz w:val="20"/>
          <w:szCs w:val="20"/>
          <w:color w:val="auto"/>
        </w:rPr>
      </w:pPr>
    </w:p>
    <w:p>
      <w:pPr>
        <w:spacing w:after="0" w:line="338" w:lineRule="auto"/>
        <w:rPr>
          <w:sz w:val="20"/>
          <w:szCs w:val="20"/>
          <w:color w:val="auto"/>
        </w:rPr>
      </w:pPr>
      <w:r>
        <w:rPr>
          <w:rFonts w:ascii="Arial" w:cs="Arial" w:eastAsia="Arial" w:hAnsi="Arial"/>
          <w:sz w:val="16"/>
          <w:szCs w:val="16"/>
          <w:color w:val="auto"/>
        </w:rPr>
        <w:t>We believe a deliberate and well-thought-out ESG program will drive sustained value creation for our stakeholders. Our ESG program was launched in 2021, with a focus on transparency and as a natural extension of our well-established company culture. From Zscaler’s inception, we have recognized the importance of values, ethics, and doing the right thing for our customers and our business. We established a Code of Conduct, guided by strong ethical principles, to communicate our expectations to employees. We strive to always comply with applicable laws and regulations, and fully address all compliance requirements. We constantly evaluate our operations to seek opportunities for improvement and address risks as they may arise.</w:t>
      </w:r>
    </w:p>
    <w:p>
      <w:pPr>
        <w:spacing w:after="0" w:line="95" w:lineRule="exact"/>
        <w:rPr>
          <w:sz w:val="20"/>
          <w:szCs w:val="20"/>
          <w:color w:val="auto"/>
        </w:rPr>
      </w:pPr>
    </w:p>
    <w:p>
      <w:pPr>
        <w:ind w:right="100"/>
        <w:spacing w:after="0" w:line="341" w:lineRule="auto"/>
        <w:rPr>
          <w:sz w:val="20"/>
          <w:szCs w:val="20"/>
          <w:color w:val="auto"/>
        </w:rPr>
      </w:pPr>
      <w:r>
        <w:rPr>
          <w:rFonts w:ascii="Arial" w:cs="Arial" w:eastAsia="Arial" w:hAnsi="Arial"/>
          <w:sz w:val="16"/>
          <w:szCs w:val="16"/>
          <w:color w:val="auto"/>
        </w:rPr>
        <w:t>Our customers entrust us with secure and fast access to applications and safeguarding their sensitive and critical information, so fostering partnerships built on trust, transparency, and accountability is central to our success. We are customer obsessed and understand that our success depends on our ability to continue to deliver innovative solutions while being open to feedback and acting on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291465" cy="3257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9146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b w:val="1"/>
          <w:bCs w:val="1"/>
          <w:color w:val="2B338D"/>
        </w:rPr>
        <w:t>ENABLING GREEN SECURITY</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009ADA"/>
        </w:rPr>
        <w:t>Efficient Architecture</w:t>
      </w:r>
    </w:p>
    <w:p>
      <w:pPr>
        <w:spacing w:after="0" w:line="127" w:lineRule="exact"/>
        <w:rPr>
          <w:sz w:val="20"/>
          <w:szCs w:val="20"/>
          <w:color w:val="auto"/>
        </w:rPr>
      </w:pPr>
    </w:p>
    <w:p>
      <w:pPr>
        <w:ind w:right="180"/>
        <w:spacing w:after="0" w:line="339" w:lineRule="auto"/>
        <w:rPr>
          <w:sz w:val="20"/>
          <w:szCs w:val="20"/>
          <w:color w:val="auto"/>
        </w:rPr>
      </w:pPr>
      <w:r>
        <w:rPr>
          <w:rFonts w:ascii="Arial" w:cs="Arial" w:eastAsia="Arial" w:hAnsi="Arial"/>
          <w:sz w:val="16"/>
          <w:szCs w:val="16"/>
          <w:color w:val="auto"/>
        </w:rPr>
        <w:t>Zscaler’s cloud-based architecture is an efficient alternative to legacy solutions, which require numerous appliances and servers to be deployed across the organization. We enable our customers to lower their environmental impact by adopting our platform which is purpose-built for efficiency, speed, and scalability. When customers switch to Zscaler, they improve their security and user experience all while reducing the need to purchase and run their own security appliances. This allows them to shrink their IT footprint and associated energy needs.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009ADA"/>
        </w:rPr>
        <w:t>Data Centers</w:t>
      </w:r>
    </w:p>
    <w:p>
      <w:pPr>
        <w:spacing w:after="0" w:line="127" w:lineRule="exact"/>
        <w:rPr>
          <w:sz w:val="20"/>
          <w:szCs w:val="20"/>
          <w:color w:val="auto"/>
        </w:rPr>
      </w:pPr>
    </w:p>
    <w:p>
      <w:pPr>
        <w:jc w:val="both"/>
        <w:ind w:right="200"/>
        <w:spacing w:after="0" w:line="339" w:lineRule="auto"/>
        <w:rPr>
          <w:sz w:val="20"/>
          <w:szCs w:val="20"/>
          <w:color w:val="auto"/>
        </w:rPr>
      </w:pPr>
      <w:r>
        <w:rPr>
          <w:rFonts w:ascii="Arial" w:cs="Arial" w:eastAsia="Arial" w:hAnsi="Arial"/>
          <w:sz w:val="16"/>
          <w:szCs w:val="16"/>
          <w:color w:val="auto"/>
        </w:rPr>
        <w:t>We stay close to our users to provide them with the best experience possible, which means building our cloud platform in data centers across the world in regions where our customers are located. The energy used to power our cloud platform is our largest source of greenhouse gas emissions and represents an opportunity to reduce our environmental footprint. Wherever feasible, we select data centers that are designed to be highly efficient and use renewable energy.</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009ADA"/>
        </w:rPr>
        <w:t>100% Renewable Energy</w:t>
      </w:r>
    </w:p>
    <w:p>
      <w:pPr>
        <w:spacing w:after="0" w:line="127" w:lineRule="exact"/>
        <w:rPr>
          <w:sz w:val="20"/>
          <w:szCs w:val="20"/>
          <w:color w:val="auto"/>
        </w:rPr>
      </w:pPr>
    </w:p>
    <w:p>
      <w:pPr>
        <w:ind w:right="160"/>
        <w:spacing w:after="0" w:line="341" w:lineRule="auto"/>
        <w:rPr>
          <w:sz w:val="20"/>
          <w:szCs w:val="20"/>
          <w:color w:val="auto"/>
        </w:rPr>
      </w:pPr>
      <w:r>
        <w:rPr>
          <w:rFonts w:ascii="Arial" w:cs="Arial" w:eastAsia="Arial" w:hAnsi="Arial"/>
          <w:sz w:val="16"/>
          <w:szCs w:val="16"/>
          <w:color w:val="auto"/>
        </w:rPr>
        <w:t>In November 2021, we engaged a third-party to validate our greenhouse gas inventory methodology and determined the projected non-renewable energy used by our leased offices and data centers globally for calendar year 2021. We then procured high-quality renewable energy credits (RECs) from country-specific projects such as wind and solar farms to match the balance, eliminating the carbon emissions associated with our anticipated energy use.</w:t>
      </w:r>
    </w:p>
    <w:p>
      <w:pPr>
        <w:spacing w:after="0" w:line="147" w:lineRule="exact"/>
        <w:rPr>
          <w:sz w:val="20"/>
          <w:szCs w:val="20"/>
          <w:color w:val="auto"/>
        </w:rPr>
      </w:pPr>
    </w:p>
    <w:p>
      <w:pPr>
        <w:ind w:right="700"/>
        <w:spacing w:after="0" w:line="348" w:lineRule="auto"/>
        <w:rPr>
          <w:sz w:val="20"/>
          <w:szCs w:val="20"/>
          <w:color w:val="auto"/>
        </w:rPr>
      </w:pPr>
      <w:r>
        <w:rPr>
          <w:rFonts w:ascii="Arial" w:cs="Arial" w:eastAsia="Arial" w:hAnsi="Arial"/>
          <w:sz w:val="16"/>
          <w:szCs w:val="16"/>
          <w:color w:val="auto"/>
        </w:rPr>
        <w:t>We are committed to fully understanding and measuring our impacts on the planet, including scope 3 emissions, and will develop a path to net zero greenhouse gas emissions.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531495" cy="29146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3149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b w:val="1"/>
          <w:bCs w:val="1"/>
          <w:color w:val="2B338D"/>
        </w:rPr>
        <w:t>INVESTING IN PEOPLE</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009ADA"/>
        </w:rPr>
        <w:t>Our Culture</w:t>
      </w:r>
    </w:p>
    <w:p>
      <w:pPr>
        <w:spacing w:after="0" w:line="127" w:lineRule="exact"/>
        <w:rPr>
          <w:sz w:val="20"/>
          <w:szCs w:val="20"/>
          <w:color w:val="auto"/>
        </w:rPr>
      </w:pPr>
    </w:p>
    <w:p>
      <w:pPr>
        <w:ind w:right="340"/>
        <w:spacing w:after="0" w:line="339" w:lineRule="auto"/>
        <w:rPr>
          <w:sz w:val="20"/>
          <w:szCs w:val="20"/>
          <w:color w:val="auto"/>
        </w:rPr>
      </w:pPr>
      <w:r>
        <w:rPr>
          <w:rFonts w:ascii="Arial" w:cs="Arial" w:eastAsia="Arial" w:hAnsi="Arial"/>
          <w:sz w:val="16"/>
          <w:szCs w:val="16"/>
          <w:color w:val="auto"/>
        </w:rPr>
        <w:t>The Zscaler difference comes from a global team that is technically skilled, forward thinking, and aligned to our mission. We are a diverse group of visionaries who are passionate about creating a safer future. Guided by our values, we invest in building our workplace culture, which allows our team to execute and contribute to our customers’ and our own success. We were recognized for these efforts by being named as a “Best Place to Work” by Glassdoor in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264795</wp:posOffset>
            </wp:positionV>
            <wp:extent cx="342900" cy="21463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42900" cy="214630"/>
                    </a:xfrm>
                    <a:prstGeom prst="rect">
                      <a:avLst/>
                    </a:prstGeom>
                    <a:noFill/>
                  </pic:spPr>
                </pic:pic>
              </a:graphicData>
            </a:graphic>
          </wp:anchor>
        </w:drawing>
      </w:r>
    </w:p>
    <w:p>
      <w:pPr>
        <w:spacing w:after="0" w:line="335" w:lineRule="exact"/>
        <w:rPr>
          <w:sz w:val="20"/>
          <w:szCs w:val="20"/>
          <w:color w:val="auto"/>
        </w:rPr>
      </w:pPr>
    </w:p>
    <w:p>
      <w:pPr>
        <w:ind w:left="5540"/>
        <w:spacing w:after="0"/>
        <w:tabs>
          <w:tab w:leader="none" w:pos="9780" w:val="left"/>
        </w:tabs>
        <w:rPr>
          <w:sz w:val="20"/>
          <w:szCs w:val="20"/>
          <w:color w:val="auto"/>
        </w:rPr>
      </w:pPr>
      <w:r>
        <w:rPr>
          <w:rFonts w:ascii="Arial" w:cs="Arial" w:eastAsia="Arial" w:hAnsi="Arial"/>
          <w:sz w:val="29"/>
          <w:szCs w:val="29"/>
          <w:color w:val="auto"/>
          <w:vertAlign w:val="superscript"/>
        </w:rPr>
        <w:t>28</w:t>
      </w:r>
      <w:r>
        <w:rPr>
          <w:sz w:val="20"/>
          <w:szCs w:val="20"/>
          <w:color w:val="auto"/>
        </w:rPr>
        <w:tab/>
      </w:r>
      <w:r>
        <w:rPr>
          <w:rFonts w:ascii="Arial" w:cs="Arial" w:eastAsia="Arial" w:hAnsi="Arial"/>
          <w:sz w:val="14"/>
          <w:szCs w:val="14"/>
          <w:color w:val="auto"/>
        </w:rPr>
        <w:t>2021 Proxy Statement</w:t>
      </w:r>
    </w:p>
    <w:p>
      <w:pPr>
        <w:sectPr>
          <w:pgSz w:w="11900" w:h="16838" w:orient="portrait"/>
          <w:cols w:equalWidth="0" w:num="1">
            <w:col w:w="11240"/>
          </w:cols>
          <w:pgMar w:left="320" w:top="171" w:right="339" w:bottom="1440" w:gutter="0" w:footer="0" w:header="0"/>
        </w:sectPr>
      </w:pPr>
    </w:p>
    <w:bookmarkStart w:id="32" w:name="page33"/>
    <w:bookmarkEnd w:id="32"/>
    <w:p>
      <w:pPr>
        <w:ind w:left="280"/>
        <w:spacing w:after="0"/>
        <w:rPr>
          <w:sz w:val="20"/>
          <w:szCs w:val="20"/>
          <w:color w:val="auto"/>
        </w:rPr>
      </w:pPr>
      <w:r>
        <w:rPr>
          <w:rFonts w:ascii="Arial" w:cs="Arial" w:eastAsia="Arial" w:hAnsi="Arial"/>
          <w:sz w:val="13"/>
          <w:szCs w:val="13"/>
          <w:b w:val="1"/>
          <w:bCs w:val="1"/>
          <w:color w:val="929292"/>
        </w:rPr>
        <w:t>BOARD OF 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7470" cy="6032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7470" cy="60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6"/>
          <w:szCs w:val="16"/>
          <w:color w:val="009ADA"/>
        </w:rPr>
        <w:t>Talent Development</w:t>
      </w:r>
    </w:p>
    <w:p>
      <w:pPr>
        <w:spacing w:after="0" w:line="127" w:lineRule="exact"/>
        <w:rPr>
          <w:sz w:val="20"/>
          <w:szCs w:val="20"/>
          <w:color w:val="auto"/>
        </w:rPr>
      </w:pPr>
    </w:p>
    <w:p>
      <w:pPr>
        <w:jc w:val="both"/>
        <w:ind w:right="220"/>
        <w:spacing w:after="0" w:line="341" w:lineRule="auto"/>
        <w:rPr>
          <w:sz w:val="20"/>
          <w:szCs w:val="20"/>
          <w:color w:val="auto"/>
        </w:rPr>
      </w:pPr>
      <w:r>
        <w:rPr>
          <w:rFonts w:ascii="Arial" w:cs="Arial" w:eastAsia="Arial" w:hAnsi="Arial"/>
          <w:sz w:val="16"/>
          <w:szCs w:val="16"/>
          <w:color w:val="auto"/>
        </w:rPr>
        <w:t>We support our growth by attracting and retaining a diverse and highly skilled workforce. We offer many resources for employees to develop and advance their careers. We invest in leadership, individual contributor training, and continuing education for our employees. By providing learning and advancement opportunities, we keep employees engaged, which is evidenced by our consistently high results from our employee surveys.</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009ADA"/>
        </w:rPr>
        <w:t>Diversity and Inclusion</w:t>
      </w:r>
    </w:p>
    <w:p>
      <w:pPr>
        <w:spacing w:after="0" w:line="127" w:lineRule="exact"/>
        <w:rPr>
          <w:sz w:val="20"/>
          <w:szCs w:val="20"/>
          <w:color w:val="auto"/>
        </w:rPr>
      </w:pPr>
    </w:p>
    <w:p>
      <w:pPr>
        <w:ind w:right="100"/>
        <w:spacing w:after="0" w:line="338" w:lineRule="auto"/>
        <w:rPr>
          <w:sz w:val="20"/>
          <w:szCs w:val="20"/>
          <w:color w:val="auto"/>
        </w:rPr>
      </w:pPr>
      <w:r>
        <w:rPr>
          <w:rFonts w:ascii="Arial" w:cs="Arial" w:eastAsia="Arial" w:hAnsi="Arial"/>
          <w:sz w:val="16"/>
          <w:szCs w:val="16"/>
          <w:color w:val="auto"/>
        </w:rPr>
        <w:t>We believe that a diversity of backgrounds, experiences, and thinking creates a culture that enables innovation, execution, and performance. We are committed to attracting and supporting a diverse workforce. When seeking external candidates for open positions, our recruiting teams provide hiring managers with 50% diverse hiring slates whenever possible. We encourage support for employee resource groups which provide spaces where underrepresented groups feel supported and are encouraged to advance their careers. We are also committed to treating all employees fairly and providing equitable compensation based on performance and ability.</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009ADA"/>
        </w:rPr>
        <w:t>Community</w:t>
      </w:r>
    </w:p>
    <w:p>
      <w:pPr>
        <w:spacing w:after="0" w:line="127" w:lineRule="exact"/>
        <w:rPr>
          <w:sz w:val="20"/>
          <w:szCs w:val="20"/>
          <w:color w:val="auto"/>
        </w:rPr>
      </w:pPr>
    </w:p>
    <w:p>
      <w:pPr>
        <w:ind w:right="380"/>
        <w:spacing w:after="0" w:line="348" w:lineRule="auto"/>
        <w:rPr>
          <w:sz w:val="20"/>
          <w:szCs w:val="20"/>
          <w:color w:val="auto"/>
        </w:rPr>
      </w:pPr>
      <w:r>
        <w:rPr>
          <w:rFonts w:ascii="Arial" w:cs="Arial" w:eastAsia="Arial" w:hAnsi="Arial"/>
          <w:sz w:val="16"/>
          <w:szCs w:val="16"/>
          <w:color w:val="auto"/>
        </w:rPr>
        <w:t>We understand that Zscaler is a part of the communities where we operate. Our community efforts include organized volunteer activities and employee-driven community giving.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299720" cy="30861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9972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6"/>
          <w:szCs w:val="16"/>
          <w:b w:val="1"/>
          <w:bCs w:val="1"/>
          <w:color w:val="2B338D"/>
        </w:rPr>
        <w:t>BUILDING TRUST</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009ADA"/>
        </w:rPr>
        <w:t>Governance, Risk and ESG Oversight</w:t>
      </w:r>
    </w:p>
    <w:p>
      <w:pPr>
        <w:spacing w:after="0" w:line="127" w:lineRule="exact"/>
        <w:rPr>
          <w:sz w:val="20"/>
          <w:szCs w:val="20"/>
          <w:color w:val="auto"/>
        </w:rPr>
      </w:pPr>
    </w:p>
    <w:p>
      <w:pPr>
        <w:ind w:right="460"/>
        <w:spacing w:after="0" w:line="339" w:lineRule="auto"/>
        <w:rPr>
          <w:sz w:val="20"/>
          <w:szCs w:val="20"/>
          <w:color w:val="auto"/>
        </w:rPr>
      </w:pPr>
      <w:r>
        <w:rPr>
          <w:rFonts w:ascii="Arial" w:cs="Arial" w:eastAsia="Arial" w:hAnsi="Arial"/>
          <w:sz w:val="16"/>
          <w:szCs w:val="16"/>
          <w:color w:val="auto"/>
        </w:rPr>
        <w:t>Our corporate governance structure enables the executive team and our board to effectively guide our business while we continue to rapidly grow. Our internal audit team reviews our corporate practices annually to ensure they are in line with best practices and to monitor compliance throughout our organization. Accountability for overseeing risk extends to the board level with ESG risk and oversight managed by our nominating and corporate governance committee and with privacy and cybersecurity risks and oversight being managed by the audit committee.</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009ADA"/>
        </w:rPr>
        <w:t>Platform and Certifications</w:t>
      </w:r>
    </w:p>
    <w:p>
      <w:pPr>
        <w:spacing w:after="0" w:line="127" w:lineRule="exact"/>
        <w:rPr>
          <w:sz w:val="20"/>
          <w:szCs w:val="20"/>
          <w:color w:val="auto"/>
        </w:rPr>
      </w:pPr>
    </w:p>
    <w:p>
      <w:pPr>
        <w:jc w:val="both"/>
        <w:ind w:right="80"/>
        <w:spacing w:after="0" w:line="341" w:lineRule="auto"/>
        <w:rPr>
          <w:sz w:val="20"/>
          <w:szCs w:val="20"/>
          <w:color w:val="auto"/>
        </w:rPr>
      </w:pPr>
      <w:r>
        <w:rPr>
          <w:rFonts w:ascii="Arial" w:cs="Arial" w:eastAsia="Arial" w:hAnsi="Arial"/>
          <w:sz w:val="16"/>
          <w:szCs w:val="16"/>
          <w:color w:val="auto"/>
        </w:rPr>
        <w:t>Our Zero Trust Exchange cloud is distributed over more than 150 data centers on six continents and processes over 200 billion requests per day from users across 185 countries. We work to ensure our platform and protocols meet the rigorous requirements of our customers around the globe. We are certified to numerous government and commercial standards and strive to provide secure, compliant services regardless of a user’s physical location.</w:t>
      </w:r>
    </w:p>
    <w:p>
      <w:pPr>
        <w:spacing w:after="0" w:line="147" w:lineRule="exact"/>
        <w:rPr>
          <w:sz w:val="20"/>
          <w:szCs w:val="20"/>
          <w:color w:val="auto"/>
        </w:rPr>
      </w:pPr>
    </w:p>
    <w:p>
      <w:pPr>
        <w:ind w:right="240"/>
        <w:spacing w:after="0" w:line="341" w:lineRule="auto"/>
        <w:rPr>
          <w:sz w:val="20"/>
          <w:szCs w:val="20"/>
          <w:color w:val="auto"/>
        </w:rPr>
      </w:pPr>
      <w:r>
        <w:rPr>
          <w:rFonts w:ascii="Arial" w:cs="Arial" w:eastAsia="Arial" w:hAnsi="Arial"/>
          <w:sz w:val="16"/>
          <w:szCs w:val="16"/>
          <w:color w:val="auto"/>
        </w:rPr>
        <w:t>We constantly evaluate our performance and strengthen the security of our products as the threat landscape evolves. We are also committed to providing real-time status updates through our Trust Portal to inform customers of any potential issues with our services. Finally, all Zscaler employees complete annual information security training to protect our company’s assets and to build a more resilient workforce.</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009ADA"/>
        </w:rPr>
        <w:t>User Privacy</w:t>
      </w:r>
    </w:p>
    <w:p>
      <w:pPr>
        <w:spacing w:after="0" w:line="127" w:lineRule="exact"/>
        <w:rPr>
          <w:sz w:val="20"/>
          <w:szCs w:val="20"/>
          <w:color w:val="auto"/>
        </w:rPr>
      </w:pPr>
    </w:p>
    <w:p>
      <w:pPr>
        <w:ind w:right="220"/>
        <w:spacing w:after="0" w:line="339" w:lineRule="auto"/>
        <w:rPr>
          <w:sz w:val="20"/>
          <w:szCs w:val="20"/>
          <w:color w:val="auto"/>
        </w:rPr>
      </w:pPr>
      <w:r>
        <w:rPr>
          <w:rFonts w:ascii="Arial" w:cs="Arial" w:eastAsia="Arial" w:hAnsi="Arial"/>
          <w:sz w:val="16"/>
          <w:szCs w:val="16"/>
          <w:color w:val="auto"/>
        </w:rPr>
        <w:t>Our customers’ data belongs to them. Keeping our customers’ data secure and private while providing smooth and continuous service is a top priority. Zscaler is committed to assisting our customers' efforts to comply with privacy laws and, with this goal in mind, we implement technical and organizational measures for customer data that passes through our Zero Trust Exchange. Regardless of where users are located, customers can choose to have logs stored in the United States or the European Union / Switzerland. Customer data is isolated as part of our multi-tenant architecture.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255905</wp:posOffset>
            </wp:positionV>
            <wp:extent cx="342900" cy="21463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42900" cy="214630"/>
                    </a:xfrm>
                    <a:prstGeom prst="rect">
                      <a:avLst/>
                    </a:prstGeom>
                    <a:noFill/>
                  </pic:spPr>
                </pic:pic>
              </a:graphicData>
            </a:graphic>
          </wp:anchor>
        </w:drawing>
      </w:r>
    </w:p>
    <w:p>
      <w:pPr>
        <w:spacing w:after="0" w:line="321" w:lineRule="exact"/>
        <w:rPr>
          <w:sz w:val="20"/>
          <w:szCs w:val="20"/>
          <w:color w:val="auto"/>
        </w:rPr>
      </w:pPr>
    </w:p>
    <w:p>
      <w:pPr>
        <w:jc w:val="both"/>
        <w:ind w:left="5540"/>
        <w:spacing w:after="0"/>
        <w:tabs>
          <w:tab w:leader="none" w:pos="9780" w:val="left"/>
        </w:tabs>
        <w:rPr>
          <w:sz w:val="20"/>
          <w:szCs w:val="20"/>
          <w:color w:val="auto"/>
        </w:rPr>
      </w:pPr>
      <w:r>
        <w:rPr>
          <w:rFonts w:ascii="Arial" w:cs="Arial" w:eastAsia="Arial" w:hAnsi="Arial"/>
          <w:sz w:val="29"/>
          <w:szCs w:val="29"/>
          <w:color w:val="auto"/>
          <w:vertAlign w:val="superscript"/>
        </w:rPr>
        <w:t>29</w:t>
      </w:r>
      <w:r>
        <w:rPr>
          <w:sz w:val="20"/>
          <w:szCs w:val="20"/>
          <w:color w:val="auto"/>
        </w:rPr>
        <w:tab/>
      </w:r>
      <w:r>
        <w:rPr>
          <w:rFonts w:ascii="Arial" w:cs="Arial" w:eastAsia="Arial" w:hAnsi="Arial"/>
          <w:sz w:val="14"/>
          <w:szCs w:val="14"/>
          <w:color w:val="auto"/>
        </w:rPr>
        <w:t>2021 Proxy Statement</w:t>
      </w:r>
    </w:p>
    <w:p>
      <w:pPr>
        <w:sectPr>
          <w:pgSz w:w="11900" w:h="16838" w:orient="portrait"/>
          <w:cols w:equalWidth="0" w:num="1">
            <w:col w:w="11220"/>
          </w:cols>
          <w:pgMar w:left="320" w:top="171" w:right="359" w:bottom="1440" w:gutter="0" w:footer="0" w:header="0"/>
        </w:sectPr>
      </w:pPr>
    </w:p>
    <w:bookmarkStart w:id="33" w:name="page34"/>
    <w:bookmarkEnd w:id="3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946150</wp:posOffset>
            </wp:positionV>
            <wp:extent cx="5923280" cy="13798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clrChange>
                        <a:clrFrom>
                          <a:srgbClr val="FFFFFF"/>
                        </a:clrFrom>
                        <a:clrTo>
                          <a:srgbClr val="FFFFFF">
                            <a:alpha val="0"/>
                          </a:srgbClr>
                        </a:clrTo>
                      </a:clrChange>
                      <a:extLst>
                        <a:ext uri="{28A0092B-C50C-407E-A947-70E740481C1C}"/>
                      </a:extLst>
                    </a:blip>
                    <a:srcRect/>
                    <a:stretch>
                      <a:fillRect/>
                    </a:stretch>
                  </pic:blipFill>
                  <pic:spPr bwMode="auto">
                    <a:xfrm>
                      <a:off x="0" y="0"/>
                      <a:ext cx="5923280" cy="1379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b w:val="1"/>
          <w:bCs w:val="1"/>
          <w:color w:val="009ADA"/>
        </w:rPr>
        <w:t>ELECTION OF DIRECTORS</w:t>
      </w:r>
    </w:p>
    <w:p>
      <w:pPr>
        <w:spacing w:after="0" w:line="213" w:lineRule="exact"/>
        <w:rPr>
          <w:sz w:val="20"/>
          <w:szCs w:val="20"/>
          <w:color w:val="auto"/>
        </w:rPr>
      </w:pPr>
    </w:p>
    <w:p>
      <w:pPr>
        <w:ind w:right="20"/>
        <w:spacing w:after="0" w:line="341" w:lineRule="auto"/>
        <w:rPr>
          <w:sz w:val="20"/>
          <w:szCs w:val="20"/>
          <w:color w:val="auto"/>
        </w:rPr>
      </w:pPr>
      <w:r>
        <w:rPr>
          <w:rFonts w:ascii="Arial" w:cs="Arial" w:eastAsia="Arial" w:hAnsi="Arial"/>
          <w:sz w:val="16"/>
          <w:szCs w:val="16"/>
          <w:color w:val="auto"/>
        </w:rPr>
        <w:t>Our board of directors is currently composed of eight members. In accordance with our certificate of incorporation, our board of directors is divided into three classes with staggered three-year terms. One class is elected each year at the annual meeting of stockholders for a term of three years. At the Annual Meeting, three Class I directors will be elected for a three-year term to succeed the same class whose term is then expiring.</w:t>
      </w:r>
    </w:p>
    <w:p>
      <w:pPr>
        <w:spacing w:after="0" w:line="147" w:lineRule="exact"/>
        <w:rPr>
          <w:sz w:val="20"/>
          <w:szCs w:val="20"/>
          <w:color w:val="auto"/>
        </w:rPr>
      </w:pPr>
    </w:p>
    <w:p>
      <w:pPr>
        <w:ind w:right="40"/>
        <w:spacing w:after="0" w:line="341" w:lineRule="auto"/>
        <w:rPr>
          <w:sz w:val="20"/>
          <w:szCs w:val="20"/>
          <w:color w:val="auto"/>
        </w:rPr>
      </w:pPr>
      <w:r>
        <w:rPr>
          <w:rFonts w:ascii="Arial" w:cs="Arial" w:eastAsia="Arial" w:hAnsi="Arial"/>
          <w:sz w:val="16"/>
          <w:szCs w:val="16"/>
          <w:color w:val="auto"/>
        </w:rPr>
        <w:t>Each director’s term continues until the election and qualification of such director’s successor, or such director’s earlier death, resignation, or removal. Any increase or decrease in the number of directors will be distributed among the three classes so that, as nearly as possible, each class will consist of one-third of our directors. This classification of our board of directors may have the effect of delaying or preventing changes in control of the Company.</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color w:val="009ADA"/>
        </w:rPr>
        <w:t>Nominees</w:t>
      </w:r>
    </w:p>
    <w:p>
      <w:pPr>
        <w:spacing w:after="0" w:line="213" w:lineRule="exact"/>
        <w:rPr>
          <w:sz w:val="20"/>
          <w:szCs w:val="20"/>
          <w:color w:val="auto"/>
        </w:rPr>
      </w:pPr>
    </w:p>
    <w:p>
      <w:pPr>
        <w:jc w:val="both"/>
        <w:ind w:right="440"/>
        <w:spacing w:after="0" w:line="341" w:lineRule="auto"/>
        <w:rPr>
          <w:sz w:val="20"/>
          <w:szCs w:val="20"/>
          <w:color w:val="auto"/>
        </w:rPr>
      </w:pPr>
      <w:r>
        <w:rPr>
          <w:rFonts w:ascii="Arial" w:cs="Arial" w:eastAsia="Arial" w:hAnsi="Arial"/>
          <w:sz w:val="16"/>
          <w:szCs w:val="16"/>
          <w:color w:val="auto"/>
        </w:rPr>
        <w:t>Our board of directors has nominated Karen Blasing, Charles Giancarlo and Eileen Naughton for election as Class I directors at the Annual Meeting. If elected, each of Ms. Blasing, Mr. Giancarlo and Ms. Naughton will serve as Class I directors until the 2024 annual meeting of stockholders or until their successors are elected and qualified, or their earlier death, resignation or removal. All three nominees are currently directors of the Company. For</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information concerning the nominees, see </w:t>
      </w:r>
      <w:r>
        <w:rPr>
          <w:rFonts w:ascii="Arial" w:cs="Arial" w:eastAsia="Arial" w:hAnsi="Arial"/>
          <w:sz w:val="16"/>
          <w:szCs w:val="16"/>
          <w:i w:val="1"/>
          <w:iCs w:val="1"/>
          <w:color w:val="auto"/>
        </w:rPr>
        <w:t>“Board of Directors and Corporate Governance.”</w:t>
      </w:r>
    </w:p>
    <w:p>
      <w:pPr>
        <w:spacing w:after="0" w:line="264" w:lineRule="exact"/>
        <w:rPr>
          <w:sz w:val="20"/>
          <w:szCs w:val="20"/>
          <w:color w:val="auto"/>
        </w:rPr>
      </w:pPr>
    </w:p>
    <w:p>
      <w:pPr>
        <w:spacing w:after="0" w:line="337" w:lineRule="auto"/>
        <w:rPr>
          <w:sz w:val="20"/>
          <w:szCs w:val="20"/>
          <w:color w:val="auto"/>
        </w:rPr>
      </w:pPr>
      <w:r>
        <w:rPr>
          <w:rFonts w:ascii="Arial" w:cs="Arial" w:eastAsia="Arial" w:hAnsi="Arial"/>
          <w:sz w:val="16"/>
          <w:szCs w:val="16"/>
          <w:color w:val="auto"/>
        </w:rPr>
        <w:t>If you are a stockholder of record and you sign your proxy card or vote over the internet or by telephone but do not give instructions with respect to the voting of directors, your shares will be voted FOR the election of Ms. Blasing, Mr. Giancarlo and Ms. Naughton. We expect that Ms. Blasing, Mr. Giancarlo and Ms. Naughton will accept such nomination; however, in the event that a director nominee is unable or declines to serve as a director at the time of the Annual Meeting, the proxies will be voted for any nominee who shall be designated by our board of directors to fill such vacancy. If you are a beneficial owner of shares of our common stock and you do not give voting instructions to your broker, bank or other nominee, then your broker, bank or other nominee will leave your shares unvoted on this matter.</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009ADA"/>
        </w:rPr>
        <w:t>Vote Required</w:t>
      </w:r>
    </w:p>
    <w:p>
      <w:pPr>
        <w:spacing w:after="0" w:line="213" w:lineRule="exact"/>
        <w:rPr>
          <w:sz w:val="20"/>
          <w:szCs w:val="20"/>
          <w:color w:val="auto"/>
        </w:rPr>
      </w:pPr>
    </w:p>
    <w:p>
      <w:pPr>
        <w:jc w:val="both"/>
        <w:ind w:right="120"/>
        <w:spacing w:after="0" w:line="341" w:lineRule="auto"/>
        <w:rPr>
          <w:sz w:val="20"/>
          <w:szCs w:val="20"/>
          <w:color w:val="auto"/>
        </w:rPr>
      </w:pPr>
      <w:r>
        <w:rPr>
          <w:rFonts w:ascii="Arial" w:cs="Arial" w:eastAsia="Arial" w:hAnsi="Arial"/>
          <w:sz w:val="16"/>
          <w:szCs w:val="16"/>
          <w:color w:val="auto"/>
        </w:rPr>
        <w:t>The election of Class I directors requires a plurality of the voting power of the shares of our common stock present in person or represented by proxy at the Annual Meeting and entitled to vote thereon. Accordingly, the three nominees receiving the highest number of “FOR” votes will be elected. Abstentions and broker non-votes will have no effect on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57785</wp:posOffset>
            </wp:positionV>
            <wp:extent cx="351155" cy="7029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51155" cy="702945"/>
                    </a:xfrm>
                    <a:prstGeom prst="rect">
                      <a:avLst/>
                    </a:prstGeom>
                    <a:noFill/>
                  </pic:spPr>
                </pic:pic>
              </a:graphicData>
            </a:graphic>
          </wp:anchor>
        </w:drawing>
      </w:r>
    </w:p>
    <w:p>
      <w:pPr>
        <w:spacing w:after="0" w:line="187" w:lineRule="exact"/>
        <w:rPr>
          <w:sz w:val="20"/>
          <w:szCs w:val="20"/>
          <w:color w:val="auto"/>
        </w:rPr>
      </w:pPr>
    </w:p>
    <w:p>
      <w:pPr>
        <w:jc w:val="both"/>
        <w:ind w:left="1140" w:right="620"/>
        <w:spacing w:after="0" w:line="335" w:lineRule="auto"/>
        <w:rPr>
          <w:sz w:val="20"/>
          <w:szCs w:val="20"/>
          <w:color w:val="auto"/>
        </w:rPr>
      </w:pPr>
      <w:r>
        <w:rPr>
          <w:rFonts w:ascii="Arial" w:cs="Arial" w:eastAsia="Arial" w:hAnsi="Arial"/>
          <w:sz w:val="22"/>
          <w:szCs w:val="22"/>
          <w:b w:val="1"/>
          <w:bCs w:val="1"/>
          <w:i w:val="1"/>
          <w:iCs w:val="1"/>
          <w:color w:val="auto"/>
        </w:rPr>
        <w:t>The Board of Directors recommends a vote “FOR” the election of each of the three directors nominated by our Board of Directors and named in this proxy statement as Class I Directors to serve for a three-year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256540</wp:posOffset>
            </wp:positionV>
            <wp:extent cx="342900" cy="21463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42900" cy="214630"/>
                    </a:xfrm>
                    <a:prstGeom prst="rect">
                      <a:avLst/>
                    </a:prstGeom>
                    <a:noFill/>
                  </pic:spPr>
                </pic:pic>
              </a:graphicData>
            </a:graphic>
          </wp:anchor>
        </w:drawing>
      </w:r>
    </w:p>
    <w:p>
      <w:pPr>
        <w:spacing w:after="0" w:line="322" w:lineRule="exact"/>
        <w:rPr>
          <w:sz w:val="20"/>
          <w:szCs w:val="20"/>
          <w:color w:val="auto"/>
        </w:rPr>
      </w:pPr>
    </w:p>
    <w:p>
      <w:pPr>
        <w:ind w:left="5540"/>
        <w:spacing w:after="0"/>
        <w:tabs>
          <w:tab w:leader="none" w:pos="9780" w:val="left"/>
        </w:tabs>
        <w:rPr>
          <w:sz w:val="20"/>
          <w:szCs w:val="20"/>
          <w:color w:val="auto"/>
        </w:rPr>
      </w:pPr>
      <w:r>
        <w:rPr>
          <w:rFonts w:ascii="Arial" w:cs="Arial" w:eastAsia="Arial" w:hAnsi="Arial"/>
          <w:sz w:val="29"/>
          <w:szCs w:val="29"/>
          <w:color w:val="auto"/>
          <w:vertAlign w:val="superscript"/>
        </w:rPr>
        <w:t>30</w:t>
      </w:r>
      <w:r>
        <w:rPr>
          <w:sz w:val="20"/>
          <w:szCs w:val="20"/>
          <w:color w:val="auto"/>
        </w:rPr>
        <w:tab/>
      </w:r>
      <w:r>
        <w:rPr>
          <w:rFonts w:ascii="Arial" w:cs="Arial" w:eastAsia="Arial" w:hAnsi="Arial"/>
          <w:sz w:val="14"/>
          <w:szCs w:val="14"/>
          <w:color w:val="auto"/>
        </w:rPr>
        <w:t>2021 Proxy Statement</w:t>
      </w:r>
    </w:p>
    <w:p>
      <w:pPr>
        <w:sectPr>
          <w:pgSz w:w="11900" w:h="16838" w:orient="portrait"/>
          <w:cols w:equalWidth="0" w:num="1">
            <w:col w:w="11220"/>
          </w:cols>
          <w:pgMar w:left="320" w:top="1440" w:right="359" w:bottom="1440" w:gutter="0" w:footer="0" w:header="0"/>
        </w:sectPr>
      </w:pPr>
    </w:p>
    <w:bookmarkStart w:id="34" w:name="page35"/>
    <w:bookmarkEnd w:id="3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946150</wp:posOffset>
            </wp:positionV>
            <wp:extent cx="5923280" cy="13798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clrChange>
                        <a:clrFrom>
                          <a:srgbClr val="FFFFFF"/>
                        </a:clrFrom>
                        <a:clrTo>
                          <a:srgbClr val="FFFFFF">
                            <a:alpha val="0"/>
                          </a:srgbClr>
                        </a:clrTo>
                      </a:clrChange>
                      <a:extLst>
                        <a:ext uri="{28A0092B-C50C-407E-A947-70E740481C1C}"/>
                      </a:extLst>
                    </a:blip>
                    <a:srcRect/>
                    <a:stretch>
                      <a:fillRect/>
                    </a:stretch>
                  </pic:blipFill>
                  <pic:spPr bwMode="auto">
                    <a:xfrm>
                      <a:off x="0" y="0"/>
                      <a:ext cx="5923280" cy="1379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b w:val="1"/>
          <w:bCs w:val="1"/>
          <w:color w:val="009ADA"/>
        </w:rPr>
        <w:t>RATIFICATION OF APPOINTMENT OF</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b w:val="1"/>
          <w:bCs w:val="1"/>
          <w:color w:val="009ADA"/>
        </w:rPr>
        <w:t>INDEPENDENT REGISTERED PUBLIC ACCOUNTING FIRM</w:t>
      </w:r>
    </w:p>
    <w:p>
      <w:pPr>
        <w:spacing w:after="0" w:line="133" w:lineRule="exact"/>
        <w:rPr>
          <w:sz w:val="20"/>
          <w:szCs w:val="20"/>
          <w:color w:val="auto"/>
        </w:rPr>
      </w:pPr>
    </w:p>
    <w:p>
      <w:pPr>
        <w:ind w:right="260"/>
        <w:spacing w:after="0" w:line="348" w:lineRule="auto"/>
        <w:rPr>
          <w:sz w:val="20"/>
          <w:szCs w:val="20"/>
          <w:color w:val="auto"/>
        </w:rPr>
      </w:pPr>
      <w:r>
        <w:rPr>
          <w:rFonts w:ascii="Arial" w:cs="Arial" w:eastAsia="Arial" w:hAnsi="Arial"/>
          <w:sz w:val="16"/>
          <w:szCs w:val="16"/>
          <w:color w:val="auto"/>
        </w:rPr>
        <w:t>Our audit committee has appointed PwC, as our independent registered public accounting firm to audit our consolidated financial statements for our fiscal year ending July 31, 2022. PwC has served as our independent registered public accounting firm since May 2015.</w:t>
      </w:r>
    </w:p>
    <w:p>
      <w:pPr>
        <w:spacing w:after="0" w:line="141" w:lineRule="exact"/>
        <w:rPr>
          <w:sz w:val="20"/>
          <w:szCs w:val="20"/>
          <w:color w:val="auto"/>
        </w:rPr>
      </w:pPr>
    </w:p>
    <w:p>
      <w:pPr>
        <w:spacing w:after="0" w:line="336" w:lineRule="auto"/>
        <w:rPr>
          <w:sz w:val="20"/>
          <w:szCs w:val="20"/>
          <w:color w:val="auto"/>
        </w:rPr>
      </w:pPr>
      <w:r>
        <w:rPr>
          <w:rFonts w:ascii="Arial" w:cs="Arial" w:eastAsia="Arial" w:hAnsi="Arial"/>
          <w:sz w:val="16"/>
          <w:szCs w:val="16"/>
          <w:color w:val="auto"/>
        </w:rPr>
        <w:t>At the Annual Meeting, stockholders are being asked to ratify the appointment of PwC as our independent registered public accounting firm for our fiscal year ending July 31, 2022. Stockholder ratification of the appointment of PwC is not required by our bylaws or other applicable legal requirements. However, our board of directors is submitting the appointment of PwC to our stockholders for ratification as a matter of good corporate governance. In the event that this appointment is not ratified by the affirmative vote of a majority of the voting power of the shares of our common stock present in person or represented by proxy at the Annual Meeting and entitled to vote, such appointment will be reconsidered by our audit committee. Even if the appointment is ratified, our audit committee, in its sole discretion, may appoint another independent registered public accounting firm at any time during our fiscal year ending July 31, 2022 if our audit committee believes that such a change would be in the best interests of Zscaler and its stockholders. If the appointment is not ratified by our stockholders, the audit committee may reconsider whether it should appoint another independent registered public accounting firm. A representative of PwC is expected to be present at the Annual Meeting, will have an opportunity to make a statement if he or she wishes to do so, and is expected to be available to respond to appropriate questions from stockholders.</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009ADA"/>
        </w:rPr>
        <w:t>Fees Paid to the Independent Registered Public Accounting Firm</w:t>
      </w:r>
    </w:p>
    <w:p>
      <w:pPr>
        <w:spacing w:after="0" w:line="213" w:lineRule="exact"/>
        <w:rPr>
          <w:sz w:val="20"/>
          <w:szCs w:val="20"/>
          <w:color w:val="auto"/>
        </w:rPr>
      </w:pPr>
    </w:p>
    <w:p>
      <w:pPr>
        <w:ind w:right="420"/>
        <w:spacing w:after="0" w:line="348" w:lineRule="auto"/>
        <w:rPr>
          <w:sz w:val="20"/>
          <w:szCs w:val="20"/>
          <w:color w:val="auto"/>
        </w:rPr>
      </w:pPr>
      <w:r>
        <w:rPr>
          <w:rFonts w:ascii="Arial" w:cs="Arial" w:eastAsia="Arial" w:hAnsi="Arial"/>
          <w:sz w:val="16"/>
          <w:szCs w:val="16"/>
          <w:color w:val="auto"/>
        </w:rPr>
        <w:t>The following table presents fees for professional audit services and other services rendered to us by PwC for our fiscal years ended July 31,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20320</wp:posOffset>
            </wp:positionV>
            <wp:extent cx="8255" cy="30861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255" cy="30861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20320</wp:posOffset>
            </wp:positionV>
            <wp:extent cx="8890" cy="30861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890" cy="308610"/>
                    </a:xfrm>
                    <a:prstGeom prst="rect">
                      <a:avLst/>
                    </a:prstGeom>
                    <a:noFill/>
                  </pic:spPr>
                </pic:pic>
              </a:graphicData>
            </a:graphic>
          </wp:anchor>
        </w:drawing>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6740" w:type="dxa"/>
            <w:vAlign w:val="bottom"/>
            <w:shd w:val="clear" w:color="auto" w:fill="000000"/>
          </w:tcPr>
          <w:p>
            <w:pPr>
              <w:spacing w:after="0"/>
              <w:rPr>
                <w:sz w:val="17"/>
                <w:szCs w:val="17"/>
                <w:color w:val="auto"/>
              </w:rPr>
            </w:pPr>
          </w:p>
        </w:tc>
        <w:tc>
          <w:tcPr>
            <w:tcW w:w="2240" w:type="dxa"/>
            <w:vAlign w:val="bottom"/>
            <w:shd w:val="clear" w:color="auto" w:fill="2B338D"/>
          </w:tcPr>
          <w:p>
            <w:pPr>
              <w:jc w:val="right"/>
              <w:ind w:right="85"/>
              <w:spacing w:after="0"/>
              <w:rPr>
                <w:sz w:val="20"/>
                <w:szCs w:val="20"/>
                <w:color w:val="auto"/>
              </w:rPr>
            </w:pPr>
            <w:r>
              <w:rPr>
                <w:rFonts w:ascii="Arial" w:cs="Arial" w:eastAsia="Arial" w:hAnsi="Arial"/>
                <w:sz w:val="16"/>
                <w:szCs w:val="16"/>
                <w:b w:val="1"/>
                <w:bCs w:val="1"/>
                <w:color w:val="FFFFFF"/>
              </w:rPr>
              <w:t>2021</w:t>
            </w:r>
          </w:p>
        </w:tc>
        <w:tc>
          <w:tcPr>
            <w:tcW w:w="2240" w:type="dxa"/>
            <w:vAlign w:val="bottom"/>
            <w:shd w:val="clear" w:color="auto" w:fill="009ADA"/>
          </w:tcPr>
          <w:p>
            <w:pPr>
              <w:jc w:val="right"/>
              <w:ind w:right="85"/>
              <w:spacing w:after="0"/>
              <w:rPr>
                <w:sz w:val="20"/>
                <w:szCs w:val="20"/>
                <w:color w:val="auto"/>
              </w:rPr>
            </w:pPr>
            <w:r>
              <w:rPr>
                <w:rFonts w:ascii="Arial" w:cs="Arial" w:eastAsia="Arial" w:hAnsi="Arial"/>
                <w:sz w:val="16"/>
                <w:szCs w:val="16"/>
                <w:b w:val="1"/>
                <w:bCs w:val="1"/>
                <w:color w:val="FFFFFF"/>
              </w:rPr>
              <w:t>2020</w:t>
            </w:r>
          </w:p>
        </w:tc>
      </w:tr>
      <w:tr>
        <w:trPr>
          <w:trHeight w:val="215"/>
        </w:trPr>
        <w:tc>
          <w:tcPr>
            <w:tcW w:w="6740" w:type="dxa"/>
            <w:vAlign w:val="bottom"/>
            <w:shd w:val="clear" w:color="auto" w:fill="000000"/>
          </w:tcPr>
          <w:p>
            <w:pPr>
              <w:ind w:left="100"/>
              <w:spacing w:after="0"/>
              <w:rPr>
                <w:sz w:val="20"/>
                <w:szCs w:val="20"/>
                <w:color w:val="auto"/>
              </w:rPr>
            </w:pPr>
            <w:r>
              <w:rPr>
                <w:rFonts w:ascii="Arial" w:cs="Arial" w:eastAsia="Arial" w:hAnsi="Arial"/>
                <w:sz w:val="16"/>
                <w:szCs w:val="16"/>
                <w:b w:val="1"/>
                <w:bCs w:val="1"/>
                <w:color w:val="FFFFFF"/>
              </w:rPr>
              <w:t>Fees</w:t>
            </w:r>
          </w:p>
        </w:tc>
        <w:tc>
          <w:tcPr>
            <w:tcW w:w="2240" w:type="dxa"/>
            <w:vAlign w:val="bottom"/>
            <w:shd w:val="clear" w:color="auto" w:fill="2B338D"/>
          </w:tcPr>
          <w:p>
            <w:pPr>
              <w:jc w:val="right"/>
              <w:ind w:right="85"/>
              <w:spacing w:after="0"/>
              <w:rPr>
                <w:sz w:val="20"/>
                <w:szCs w:val="20"/>
                <w:color w:val="auto"/>
              </w:rPr>
            </w:pPr>
            <w:r>
              <w:rPr>
                <w:rFonts w:ascii="Arial" w:cs="Arial" w:eastAsia="Arial" w:hAnsi="Arial"/>
                <w:sz w:val="16"/>
                <w:szCs w:val="16"/>
                <w:b w:val="1"/>
                <w:bCs w:val="1"/>
                <w:color w:val="FFFFFF"/>
              </w:rPr>
              <w:t>($)</w:t>
            </w:r>
          </w:p>
        </w:tc>
        <w:tc>
          <w:tcPr>
            <w:tcW w:w="2240" w:type="dxa"/>
            <w:vAlign w:val="bottom"/>
            <w:shd w:val="clear" w:color="auto" w:fill="009ADA"/>
          </w:tcPr>
          <w:p>
            <w:pPr>
              <w:jc w:val="right"/>
              <w:ind w:right="85"/>
              <w:spacing w:after="0"/>
              <w:rPr>
                <w:sz w:val="20"/>
                <w:szCs w:val="20"/>
                <w:color w:val="auto"/>
              </w:rPr>
            </w:pPr>
            <w:r>
              <w:rPr>
                <w:rFonts w:ascii="Arial" w:cs="Arial" w:eastAsia="Arial" w:hAnsi="Arial"/>
                <w:sz w:val="16"/>
                <w:szCs w:val="16"/>
                <w:b w:val="1"/>
                <w:bCs w:val="1"/>
                <w:color w:val="FFFFFF"/>
              </w:rPr>
              <w:t>($)</w:t>
            </w:r>
          </w:p>
        </w:tc>
      </w:tr>
      <w:tr>
        <w:trPr>
          <w:trHeight w:val="74"/>
        </w:trPr>
        <w:tc>
          <w:tcPr>
            <w:tcW w:w="6740" w:type="dxa"/>
            <w:vAlign w:val="bottom"/>
            <w:shd w:val="clear" w:color="auto" w:fill="000000"/>
          </w:tcPr>
          <w:p>
            <w:pPr>
              <w:spacing w:after="0"/>
              <w:rPr>
                <w:sz w:val="6"/>
                <w:szCs w:val="6"/>
                <w:color w:val="auto"/>
              </w:rPr>
            </w:pPr>
          </w:p>
        </w:tc>
        <w:tc>
          <w:tcPr>
            <w:tcW w:w="2240" w:type="dxa"/>
            <w:vAlign w:val="bottom"/>
            <w:shd w:val="clear" w:color="auto" w:fill="2B338D"/>
          </w:tcPr>
          <w:p>
            <w:pPr>
              <w:spacing w:after="0"/>
              <w:rPr>
                <w:sz w:val="6"/>
                <w:szCs w:val="6"/>
                <w:color w:val="auto"/>
              </w:rPr>
            </w:pPr>
          </w:p>
        </w:tc>
        <w:tc>
          <w:tcPr>
            <w:tcW w:w="2240" w:type="dxa"/>
            <w:vAlign w:val="bottom"/>
            <w:shd w:val="clear" w:color="auto" w:fill="009ADA"/>
          </w:tcPr>
          <w:p>
            <w:pPr>
              <w:spacing w:after="0"/>
              <w:rPr>
                <w:sz w:val="6"/>
                <w:szCs w:val="6"/>
                <w:color w:val="auto"/>
              </w:rPr>
            </w:pPr>
          </w:p>
        </w:tc>
      </w:tr>
      <w:tr>
        <w:trPr>
          <w:trHeight w:val="290"/>
        </w:trPr>
        <w:tc>
          <w:tcPr>
            <w:tcW w:w="6740" w:type="dxa"/>
            <w:vAlign w:val="bottom"/>
          </w:tcPr>
          <w:p>
            <w:pPr>
              <w:ind w:left="100"/>
              <w:spacing w:after="0"/>
              <w:rPr>
                <w:sz w:val="20"/>
                <w:szCs w:val="20"/>
                <w:color w:val="auto"/>
              </w:rPr>
            </w:pPr>
            <w:r>
              <w:rPr>
                <w:rFonts w:ascii="Arial" w:cs="Arial" w:eastAsia="Arial" w:hAnsi="Arial"/>
                <w:sz w:val="14"/>
                <w:szCs w:val="14"/>
                <w:b w:val="1"/>
                <w:bCs w:val="1"/>
                <w:color w:val="auto"/>
              </w:rPr>
              <w:t>Audit Fees</w:t>
            </w:r>
            <w:r>
              <w:rPr>
                <w:rFonts w:ascii="Arial" w:cs="Arial" w:eastAsia="Arial" w:hAnsi="Arial"/>
                <w:sz w:val="18"/>
                <w:szCs w:val="18"/>
                <w:b w:val="1"/>
                <w:bCs w:val="1"/>
                <w:color w:val="auto"/>
                <w:vertAlign w:val="superscript"/>
              </w:rPr>
              <w:t>(1)</w:t>
            </w:r>
          </w:p>
        </w:tc>
        <w:tc>
          <w:tcPr>
            <w:tcW w:w="2240" w:type="dxa"/>
            <w:vAlign w:val="bottom"/>
          </w:tcPr>
          <w:p>
            <w:pPr>
              <w:jc w:val="right"/>
              <w:ind w:right="85"/>
              <w:spacing w:after="0"/>
              <w:rPr>
                <w:sz w:val="20"/>
                <w:szCs w:val="20"/>
                <w:color w:val="auto"/>
              </w:rPr>
            </w:pPr>
            <w:r>
              <w:rPr>
                <w:rFonts w:ascii="Arial" w:cs="Arial" w:eastAsia="Arial" w:hAnsi="Arial"/>
                <w:sz w:val="14"/>
                <w:szCs w:val="14"/>
                <w:color w:val="auto"/>
              </w:rPr>
              <w:t>2,367,883</w:t>
            </w:r>
          </w:p>
        </w:tc>
        <w:tc>
          <w:tcPr>
            <w:tcW w:w="2240" w:type="dxa"/>
            <w:vAlign w:val="bottom"/>
          </w:tcPr>
          <w:p>
            <w:pPr>
              <w:jc w:val="right"/>
              <w:ind w:right="85"/>
              <w:spacing w:after="0"/>
              <w:rPr>
                <w:sz w:val="20"/>
                <w:szCs w:val="20"/>
                <w:color w:val="auto"/>
              </w:rPr>
            </w:pPr>
            <w:r>
              <w:rPr>
                <w:rFonts w:ascii="Arial" w:cs="Arial" w:eastAsia="Arial" w:hAnsi="Arial"/>
                <w:sz w:val="14"/>
                <w:szCs w:val="14"/>
                <w:color w:val="auto"/>
              </w:rPr>
              <w:t>2,429,123</w:t>
            </w:r>
          </w:p>
        </w:tc>
      </w:tr>
      <w:tr>
        <w:trPr>
          <w:trHeight w:val="47"/>
        </w:trPr>
        <w:tc>
          <w:tcPr>
            <w:tcW w:w="6740" w:type="dxa"/>
            <w:vAlign w:val="bottom"/>
            <w:tcBorders>
              <w:bottom w:val="single" w:sz="8" w:color="auto"/>
            </w:tcBorders>
          </w:tcPr>
          <w:p>
            <w:pPr>
              <w:spacing w:after="0"/>
              <w:rPr>
                <w:sz w:val="4"/>
                <w:szCs w:val="4"/>
                <w:color w:val="auto"/>
              </w:rPr>
            </w:pPr>
          </w:p>
        </w:tc>
        <w:tc>
          <w:tcPr>
            <w:tcW w:w="2240" w:type="dxa"/>
            <w:vAlign w:val="bottom"/>
            <w:tcBorders>
              <w:bottom w:val="single" w:sz="8" w:color="auto"/>
            </w:tcBorders>
          </w:tcPr>
          <w:p>
            <w:pPr>
              <w:spacing w:after="0"/>
              <w:rPr>
                <w:sz w:val="4"/>
                <w:szCs w:val="4"/>
                <w:color w:val="auto"/>
              </w:rPr>
            </w:pPr>
          </w:p>
        </w:tc>
        <w:tc>
          <w:tcPr>
            <w:tcW w:w="2240" w:type="dxa"/>
            <w:vAlign w:val="bottom"/>
            <w:tcBorders>
              <w:bottom w:val="single" w:sz="8" w:color="auto"/>
            </w:tcBorders>
          </w:tcPr>
          <w:p>
            <w:pPr>
              <w:spacing w:after="0"/>
              <w:rPr>
                <w:sz w:val="4"/>
                <w:szCs w:val="4"/>
                <w:color w:val="auto"/>
              </w:rPr>
            </w:pPr>
          </w:p>
        </w:tc>
      </w:tr>
      <w:tr>
        <w:trPr>
          <w:trHeight w:val="283"/>
        </w:trPr>
        <w:tc>
          <w:tcPr>
            <w:tcW w:w="6740" w:type="dxa"/>
            <w:vAlign w:val="bottom"/>
          </w:tcPr>
          <w:p>
            <w:pPr>
              <w:ind w:left="100"/>
              <w:spacing w:after="0"/>
              <w:rPr>
                <w:sz w:val="20"/>
                <w:szCs w:val="20"/>
                <w:color w:val="auto"/>
              </w:rPr>
            </w:pPr>
            <w:r>
              <w:rPr>
                <w:rFonts w:ascii="Arial" w:cs="Arial" w:eastAsia="Arial" w:hAnsi="Arial"/>
                <w:sz w:val="14"/>
                <w:szCs w:val="14"/>
                <w:b w:val="1"/>
                <w:bCs w:val="1"/>
                <w:color w:val="auto"/>
              </w:rPr>
              <w:t>Audit-Related Fees</w:t>
            </w:r>
            <w:r>
              <w:rPr>
                <w:rFonts w:ascii="Arial" w:cs="Arial" w:eastAsia="Arial" w:hAnsi="Arial"/>
                <w:sz w:val="18"/>
                <w:szCs w:val="18"/>
                <w:b w:val="1"/>
                <w:bCs w:val="1"/>
                <w:color w:val="auto"/>
                <w:vertAlign w:val="superscript"/>
              </w:rPr>
              <w:t>(2)</w:t>
            </w:r>
          </w:p>
        </w:tc>
        <w:tc>
          <w:tcPr>
            <w:tcW w:w="2240" w:type="dxa"/>
            <w:vAlign w:val="bottom"/>
          </w:tcPr>
          <w:p>
            <w:pPr>
              <w:jc w:val="right"/>
              <w:ind w:right="85"/>
              <w:spacing w:after="0"/>
              <w:rPr>
                <w:sz w:val="20"/>
                <w:szCs w:val="20"/>
                <w:color w:val="auto"/>
              </w:rPr>
            </w:pPr>
            <w:r>
              <w:rPr>
                <w:rFonts w:ascii="Arial" w:cs="Arial" w:eastAsia="Arial" w:hAnsi="Arial"/>
                <w:sz w:val="14"/>
                <w:szCs w:val="14"/>
                <w:color w:val="auto"/>
              </w:rPr>
              <w:t>2,895</w:t>
            </w:r>
          </w:p>
        </w:tc>
        <w:tc>
          <w:tcPr>
            <w:tcW w:w="2240" w:type="dxa"/>
            <w:vAlign w:val="bottom"/>
          </w:tcPr>
          <w:p>
            <w:pPr>
              <w:jc w:val="right"/>
              <w:ind w:right="85"/>
              <w:spacing w:after="0"/>
              <w:rPr>
                <w:sz w:val="20"/>
                <w:szCs w:val="20"/>
                <w:color w:val="auto"/>
              </w:rPr>
            </w:pPr>
            <w:r>
              <w:rPr>
                <w:rFonts w:ascii="Arial" w:cs="Arial" w:eastAsia="Arial" w:hAnsi="Arial"/>
                <w:sz w:val="14"/>
                <w:szCs w:val="14"/>
                <w:color w:val="auto"/>
              </w:rPr>
              <w:t>5,749</w:t>
            </w:r>
          </w:p>
        </w:tc>
      </w:tr>
      <w:tr>
        <w:trPr>
          <w:trHeight w:val="48"/>
        </w:trPr>
        <w:tc>
          <w:tcPr>
            <w:tcW w:w="6740" w:type="dxa"/>
            <w:vAlign w:val="bottom"/>
            <w:tcBorders>
              <w:bottom w:val="single" w:sz="8" w:color="auto"/>
            </w:tcBorders>
          </w:tcPr>
          <w:p>
            <w:pPr>
              <w:spacing w:after="0"/>
              <w:rPr>
                <w:sz w:val="4"/>
                <w:szCs w:val="4"/>
                <w:color w:val="auto"/>
              </w:rPr>
            </w:pPr>
          </w:p>
        </w:tc>
        <w:tc>
          <w:tcPr>
            <w:tcW w:w="2240" w:type="dxa"/>
            <w:vAlign w:val="bottom"/>
            <w:tcBorders>
              <w:bottom w:val="single" w:sz="8" w:color="auto"/>
            </w:tcBorders>
          </w:tcPr>
          <w:p>
            <w:pPr>
              <w:spacing w:after="0"/>
              <w:rPr>
                <w:sz w:val="4"/>
                <w:szCs w:val="4"/>
                <w:color w:val="auto"/>
              </w:rPr>
            </w:pPr>
          </w:p>
        </w:tc>
        <w:tc>
          <w:tcPr>
            <w:tcW w:w="2240" w:type="dxa"/>
            <w:vAlign w:val="bottom"/>
            <w:tcBorders>
              <w:bottom w:val="single" w:sz="8" w:color="auto"/>
            </w:tcBorders>
          </w:tcPr>
          <w:p>
            <w:pPr>
              <w:spacing w:after="0"/>
              <w:rPr>
                <w:sz w:val="4"/>
                <w:szCs w:val="4"/>
                <w:color w:val="auto"/>
              </w:rPr>
            </w:pPr>
          </w:p>
        </w:tc>
      </w:tr>
      <w:tr>
        <w:trPr>
          <w:trHeight w:val="225"/>
        </w:trPr>
        <w:tc>
          <w:tcPr>
            <w:tcW w:w="6740" w:type="dxa"/>
            <w:vAlign w:val="bottom"/>
          </w:tcPr>
          <w:p>
            <w:pPr>
              <w:ind w:left="100"/>
              <w:spacing w:after="0"/>
              <w:rPr>
                <w:sz w:val="20"/>
                <w:szCs w:val="20"/>
                <w:color w:val="auto"/>
              </w:rPr>
            </w:pPr>
            <w:r>
              <w:rPr>
                <w:rFonts w:ascii="Arial" w:cs="Arial" w:eastAsia="Arial" w:hAnsi="Arial"/>
                <w:sz w:val="14"/>
                <w:szCs w:val="14"/>
                <w:b w:val="1"/>
                <w:bCs w:val="1"/>
                <w:color w:val="auto"/>
              </w:rPr>
              <w:t>Tax Fees</w:t>
            </w:r>
          </w:p>
        </w:tc>
        <w:tc>
          <w:tcPr>
            <w:tcW w:w="2240" w:type="dxa"/>
            <w:vAlign w:val="bottom"/>
          </w:tcPr>
          <w:p>
            <w:pPr>
              <w:jc w:val="right"/>
              <w:ind w:right="85"/>
              <w:spacing w:after="0"/>
              <w:rPr>
                <w:sz w:val="20"/>
                <w:szCs w:val="20"/>
                <w:color w:val="auto"/>
              </w:rPr>
            </w:pPr>
            <w:r>
              <w:rPr>
                <w:rFonts w:ascii="Arial" w:cs="Arial" w:eastAsia="Arial" w:hAnsi="Arial"/>
                <w:sz w:val="14"/>
                <w:szCs w:val="14"/>
                <w:color w:val="auto"/>
              </w:rPr>
              <w:t>—</w:t>
            </w:r>
          </w:p>
        </w:tc>
        <w:tc>
          <w:tcPr>
            <w:tcW w:w="2240" w:type="dxa"/>
            <w:vAlign w:val="bottom"/>
          </w:tcPr>
          <w:p>
            <w:pPr>
              <w:jc w:val="right"/>
              <w:ind w:right="85"/>
              <w:spacing w:after="0"/>
              <w:rPr>
                <w:sz w:val="20"/>
                <w:szCs w:val="20"/>
                <w:color w:val="auto"/>
              </w:rPr>
            </w:pPr>
            <w:r>
              <w:rPr>
                <w:rFonts w:ascii="Arial" w:cs="Arial" w:eastAsia="Arial" w:hAnsi="Arial"/>
                <w:sz w:val="14"/>
                <w:szCs w:val="14"/>
                <w:color w:val="auto"/>
              </w:rPr>
              <w:t>—</w:t>
            </w:r>
          </w:p>
        </w:tc>
      </w:tr>
      <w:tr>
        <w:trPr>
          <w:trHeight w:val="53"/>
        </w:trPr>
        <w:tc>
          <w:tcPr>
            <w:tcW w:w="6740" w:type="dxa"/>
            <w:vAlign w:val="bottom"/>
            <w:tcBorders>
              <w:bottom w:val="single" w:sz="8" w:color="auto"/>
            </w:tcBorders>
          </w:tcPr>
          <w:p>
            <w:pPr>
              <w:spacing w:after="0"/>
              <w:rPr>
                <w:sz w:val="4"/>
                <w:szCs w:val="4"/>
                <w:color w:val="auto"/>
              </w:rPr>
            </w:pPr>
          </w:p>
        </w:tc>
        <w:tc>
          <w:tcPr>
            <w:tcW w:w="2240" w:type="dxa"/>
            <w:vAlign w:val="bottom"/>
            <w:tcBorders>
              <w:bottom w:val="single" w:sz="8" w:color="auto"/>
            </w:tcBorders>
          </w:tcPr>
          <w:p>
            <w:pPr>
              <w:spacing w:after="0"/>
              <w:rPr>
                <w:sz w:val="4"/>
                <w:szCs w:val="4"/>
                <w:color w:val="auto"/>
              </w:rPr>
            </w:pPr>
          </w:p>
        </w:tc>
        <w:tc>
          <w:tcPr>
            <w:tcW w:w="2240" w:type="dxa"/>
            <w:vAlign w:val="bottom"/>
            <w:tcBorders>
              <w:bottom w:val="single" w:sz="8" w:color="auto"/>
            </w:tcBorders>
          </w:tcPr>
          <w:p>
            <w:pPr>
              <w:spacing w:after="0"/>
              <w:rPr>
                <w:sz w:val="4"/>
                <w:szCs w:val="4"/>
                <w:color w:val="auto"/>
              </w:rPr>
            </w:pPr>
          </w:p>
        </w:tc>
      </w:tr>
      <w:tr>
        <w:trPr>
          <w:trHeight w:val="283"/>
        </w:trPr>
        <w:tc>
          <w:tcPr>
            <w:tcW w:w="6740" w:type="dxa"/>
            <w:vAlign w:val="bottom"/>
          </w:tcPr>
          <w:p>
            <w:pPr>
              <w:ind w:left="100"/>
              <w:spacing w:after="0"/>
              <w:rPr>
                <w:sz w:val="20"/>
                <w:szCs w:val="20"/>
                <w:color w:val="auto"/>
              </w:rPr>
            </w:pPr>
            <w:r>
              <w:rPr>
                <w:rFonts w:ascii="Arial" w:cs="Arial" w:eastAsia="Arial" w:hAnsi="Arial"/>
                <w:sz w:val="14"/>
                <w:szCs w:val="14"/>
                <w:b w:val="1"/>
                <w:bCs w:val="1"/>
                <w:color w:val="auto"/>
              </w:rPr>
              <w:t>All Other Fees</w:t>
            </w:r>
            <w:r>
              <w:rPr>
                <w:rFonts w:ascii="Arial" w:cs="Arial" w:eastAsia="Arial" w:hAnsi="Arial"/>
                <w:sz w:val="18"/>
                <w:szCs w:val="18"/>
                <w:b w:val="1"/>
                <w:bCs w:val="1"/>
                <w:color w:val="auto"/>
                <w:vertAlign w:val="superscript"/>
              </w:rPr>
              <w:t>(3)</w:t>
            </w:r>
          </w:p>
        </w:tc>
        <w:tc>
          <w:tcPr>
            <w:tcW w:w="2240" w:type="dxa"/>
            <w:vAlign w:val="bottom"/>
          </w:tcPr>
          <w:p>
            <w:pPr>
              <w:jc w:val="right"/>
              <w:ind w:right="85"/>
              <w:spacing w:after="0"/>
              <w:rPr>
                <w:sz w:val="20"/>
                <w:szCs w:val="20"/>
                <w:color w:val="auto"/>
              </w:rPr>
            </w:pPr>
            <w:r>
              <w:rPr>
                <w:rFonts w:ascii="Arial" w:cs="Arial" w:eastAsia="Arial" w:hAnsi="Arial"/>
                <w:sz w:val="14"/>
                <w:szCs w:val="14"/>
                <w:color w:val="auto"/>
              </w:rPr>
              <w:t>2,700</w:t>
            </w:r>
          </w:p>
        </w:tc>
        <w:tc>
          <w:tcPr>
            <w:tcW w:w="2240" w:type="dxa"/>
            <w:vAlign w:val="bottom"/>
          </w:tcPr>
          <w:p>
            <w:pPr>
              <w:jc w:val="right"/>
              <w:ind w:right="85"/>
              <w:spacing w:after="0"/>
              <w:rPr>
                <w:sz w:val="20"/>
                <w:szCs w:val="20"/>
                <w:color w:val="auto"/>
              </w:rPr>
            </w:pPr>
            <w:r>
              <w:rPr>
                <w:rFonts w:ascii="Arial" w:cs="Arial" w:eastAsia="Arial" w:hAnsi="Arial"/>
                <w:sz w:val="14"/>
                <w:szCs w:val="14"/>
                <w:color w:val="auto"/>
              </w:rPr>
              <w:t>2,700</w:t>
            </w:r>
          </w:p>
        </w:tc>
      </w:tr>
      <w:tr>
        <w:trPr>
          <w:trHeight w:val="48"/>
        </w:trPr>
        <w:tc>
          <w:tcPr>
            <w:tcW w:w="6740" w:type="dxa"/>
            <w:vAlign w:val="bottom"/>
            <w:tcBorders>
              <w:bottom w:val="single" w:sz="8" w:color="auto"/>
            </w:tcBorders>
          </w:tcPr>
          <w:p>
            <w:pPr>
              <w:spacing w:after="0"/>
              <w:rPr>
                <w:sz w:val="4"/>
                <w:szCs w:val="4"/>
                <w:color w:val="auto"/>
              </w:rPr>
            </w:pPr>
          </w:p>
        </w:tc>
        <w:tc>
          <w:tcPr>
            <w:tcW w:w="2240" w:type="dxa"/>
            <w:vAlign w:val="bottom"/>
            <w:tcBorders>
              <w:bottom w:val="single" w:sz="8" w:color="auto"/>
            </w:tcBorders>
          </w:tcPr>
          <w:p>
            <w:pPr>
              <w:spacing w:after="0"/>
              <w:rPr>
                <w:sz w:val="4"/>
                <w:szCs w:val="4"/>
                <w:color w:val="auto"/>
              </w:rPr>
            </w:pPr>
          </w:p>
        </w:tc>
        <w:tc>
          <w:tcPr>
            <w:tcW w:w="2240" w:type="dxa"/>
            <w:vAlign w:val="bottom"/>
            <w:tcBorders>
              <w:bottom w:val="single" w:sz="8" w:color="auto"/>
            </w:tcBorders>
          </w:tcPr>
          <w:p>
            <w:pPr>
              <w:spacing w:after="0"/>
              <w:rPr>
                <w:sz w:val="4"/>
                <w:szCs w:val="4"/>
                <w:color w:val="auto"/>
              </w:rPr>
            </w:pPr>
          </w:p>
        </w:tc>
      </w:tr>
      <w:tr>
        <w:trPr>
          <w:trHeight w:val="225"/>
        </w:trPr>
        <w:tc>
          <w:tcPr>
            <w:tcW w:w="6740" w:type="dxa"/>
            <w:vAlign w:val="bottom"/>
          </w:tcPr>
          <w:p>
            <w:pPr>
              <w:ind w:left="100"/>
              <w:spacing w:after="0"/>
              <w:rPr>
                <w:sz w:val="20"/>
                <w:szCs w:val="20"/>
                <w:color w:val="auto"/>
              </w:rPr>
            </w:pPr>
            <w:r>
              <w:rPr>
                <w:rFonts w:ascii="Arial" w:cs="Arial" w:eastAsia="Arial" w:hAnsi="Arial"/>
                <w:sz w:val="14"/>
                <w:szCs w:val="14"/>
                <w:b w:val="1"/>
                <w:bCs w:val="1"/>
                <w:color w:val="009ADA"/>
              </w:rPr>
              <w:t>Total Fees Paid</w:t>
            </w:r>
          </w:p>
        </w:tc>
        <w:tc>
          <w:tcPr>
            <w:tcW w:w="2240" w:type="dxa"/>
            <w:vAlign w:val="bottom"/>
          </w:tcPr>
          <w:p>
            <w:pPr>
              <w:jc w:val="right"/>
              <w:ind w:right="85"/>
              <w:spacing w:after="0"/>
              <w:rPr>
                <w:sz w:val="20"/>
                <w:szCs w:val="20"/>
                <w:color w:val="auto"/>
              </w:rPr>
            </w:pPr>
            <w:r>
              <w:rPr>
                <w:rFonts w:ascii="Arial" w:cs="Arial" w:eastAsia="Arial" w:hAnsi="Arial"/>
                <w:sz w:val="14"/>
                <w:szCs w:val="14"/>
                <w:color w:val="auto"/>
              </w:rPr>
              <w:t>2,373,478</w:t>
            </w:r>
          </w:p>
        </w:tc>
        <w:tc>
          <w:tcPr>
            <w:tcW w:w="2240" w:type="dxa"/>
            <w:vAlign w:val="bottom"/>
          </w:tcPr>
          <w:p>
            <w:pPr>
              <w:jc w:val="right"/>
              <w:ind w:right="85"/>
              <w:spacing w:after="0"/>
              <w:rPr>
                <w:sz w:val="20"/>
                <w:szCs w:val="20"/>
                <w:color w:val="auto"/>
              </w:rPr>
            </w:pPr>
            <w:r>
              <w:rPr>
                <w:rFonts w:ascii="Arial" w:cs="Arial" w:eastAsia="Arial" w:hAnsi="Arial"/>
                <w:sz w:val="14"/>
                <w:szCs w:val="14"/>
                <w:color w:val="auto"/>
              </w:rPr>
              <w:t>2,437,572</w:t>
            </w:r>
          </w:p>
        </w:tc>
      </w:tr>
      <w:tr>
        <w:trPr>
          <w:trHeight w:val="53"/>
        </w:trPr>
        <w:tc>
          <w:tcPr>
            <w:tcW w:w="6740" w:type="dxa"/>
            <w:vAlign w:val="bottom"/>
            <w:tcBorders>
              <w:bottom w:val="single" w:sz="8" w:color="auto"/>
            </w:tcBorders>
          </w:tcPr>
          <w:p>
            <w:pPr>
              <w:spacing w:after="0"/>
              <w:rPr>
                <w:sz w:val="4"/>
                <w:szCs w:val="4"/>
                <w:color w:val="auto"/>
              </w:rPr>
            </w:pPr>
          </w:p>
        </w:tc>
        <w:tc>
          <w:tcPr>
            <w:tcW w:w="2240" w:type="dxa"/>
            <w:vAlign w:val="bottom"/>
            <w:tcBorders>
              <w:bottom w:val="single" w:sz="8" w:color="auto"/>
            </w:tcBorders>
          </w:tcPr>
          <w:p>
            <w:pPr>
              <w:spacing w:after="0"/>
              <w:rPr>
                <w:sz w:val="4"/>
                <w:szCs w:val="4"/>
                <w:color w:val="auto"/>
              </w:rPr>
            </w:pPr>
          </w:p>
        </w:tc>
        <w:tc>
          <w:tcPr>
            <w:tcW w:w="2240" w:type="dxa"/>
            <w:vAlign w:val="bottom"/>
            <w:tcBorders>
              <w:bottom w:val="single" w:sz="8" w:color="auto"/>
            </w:tcBorders>
          </w:tcPr>
          <w:p>
            <w:pPr>
              <w:spacing w:after="0"/>
              <w:rPr>
                <w:sz w:val="4"/>
                <w:szCs w:val="4"/>
                <w:color w:val="auto"/>
              </w:rPr>
            </w:pPr>
          </w:p>
        </w:tc>
      </w:tr>
    </w:tbl>
    <w:p>
      <w:pPr>
        <w:spacing w:after="0" w:line="183" w:lineRule="exact"/>
        <w:rPr>
          <w:sz w:val="20"/>
          <w:szCs w:val="20"/>
          <w:color w:val="auto"/>
        </w:rPr>
      </w:pPr>
    </w:p>
    <w:p>
      <w:pPr>
        <w:ind w:left="260" w:right="140" w:hanging="252"/>
        <w:spacing w:after="0"/>
        <w:tabs>
          <w:tab w:leader="none" w:pos="252" w:val="left"/>
        </w:tabs>
        <w:numPr>
          <w:ilvl w:val="0"/>
          <w:numId w:val="32"/>
        </w:numPr>
        <w:rPr>
          <w:rFonts w:ascii="Arial" w:cs="Arial" w:eastAsia="Arial" w:hAnsi="Arial"/>
          <w:sz w:val="13"/>
          <w:szCs w:val="13"/>
          <w:color w:val="auto"/>
        </w:rPr>
      </w:pPr>
      <w:r>
        <w:rPr>
          <w:rFonts w:ascii="Arial" w:cs="Arial" w:eastAsia="Arial" w:hAnsi="Arial"/>
          <w:sz w:val="13"/>
          <w:szCs w:val="13"/>
          <w:color w:val="auto"/>
        </w:rPr>
        <w:t>Audit Fees consist of fees for professional services rendered in connection with the audit of our annual consolidated financial statements, the review of our quarterly condensed consolidated financial statements, statutory audit fees, and audit services that are normally provided by the independent registered public accounting firm in connection with regulatory filings. This category also includes fees for professional services related to our convertible senior notes due 2025.</w:t>
      </w:r>
    </w:p>
    <w:p>
      <w:pPr>
        <w:spacing w:after="0" w:line="51" w:lineRule="exact"/>
        <w:rPr>
          <w:rFonts w:ascii="Arial" w:cs="Arial" w:eastAsia="Arial" w:hAnsi="Arial"/>
          <w:sz w:val="13"/>
          <w:szCs w:val="13"/>
          <w:color w:val="auto"/>
        </w:rPr>
      </w:pPr>
    </w:p>
    <w:p>
      <w:pPr>
        <w:ind w:left="260" w:right="80" w:hanging="252"/>
        <w:spacing w:after="0" w:line="242" w:lineRule="auto"/>
        <w:tabs>
          <w:tab w:leader="none" w:pos="252" w:val="left"/>
        </w:tabs>
        <w:numPr>
          <w:ilvl w:val="0"/>
          <w:numId w:val="32"/>
        </w:numPr>
        <w:rPr>
          <w:rFonts w:ascii="Arial" w:cs="Arial" w:eastAsia="Arial" w:hAnsi="Arial"/>
          <w:sz w:val="13"/>
          <w:szCs w:val="13"/>
          <w:color w:val="auto"/>
        </w:rPr>
      </w:pPr>
      <w:r>
        <w:rPr>
          <w:rFonts w:ascii="Arial" w:cs="Arial" w:eastAsia="Arial" w:hAnsi="Arial"/>
          <w:sz w:val="13"/>
          <w:szCs w:val="13"/>
          <w:color w:val="auto"/>
        </w:rPr>
        <w:t>Audit-Related Fees consist primarily of fees for assurance and related services that are reasonably related to the performance of the audit or review of our consolidated financial statements and not reported under “Audit Fees.”</w:t>
      </w:r>
    </w:p>
    <w:p>
      <w:pPr>
        <w:spacing w:after="0" w:line="49" w:lineRule="exact"/>
        <w:rPr>
          <w:rFonts w:ascii="Arial" w:cs="Arial" w:eastAsia="Arial" w:hAnsi="Arial"/>
          <w:sz w:val="13"/>
          <w:szCs w:val="13"/>
          <w:color w:val="auto"/>
        </w:rPr>
      </w:pPr>
    </w:p>
    <w:p>
      <w:pPr>
        <w:ind w:left="260" w:right="60" w:hanging="252"/>
        <w:spacing w:after="0" w:line="242" w:lineRule="auto"/>
        <w:tabs>
          <w:tab w:leader="none" w:pos="252" w:val="left"/>
        </w:tabs>
        <w:numPr>
          <w:ilvl w:val="0"/>
          <w:numId w:val="32"/>
        </w:numPr>
        <w:rPr>
          <w:rFonts w:ascii="Arial" w:cs="Arial" w:eastAsia="Arial" w:hAnsi="Arial"/>
          <w:sz w:val="13"/>
          <w:szCs w:val="13"/>
          <w:color w:val="auto"/>
        </w:rPr>
      </w:pPr>
      <w:r>
        <w:rPr>
          <w:rFonts w:ascii="Arial" w:cs="Arial" w:eastAsia="Arial" w:hAnsi="Arial"/>
          <w:sz w:val="13"/>
          <w:szCs w:val="13"/>
          <w:color w:val="auto"/>
        </w:rPr>
        <w:t>All Other Fees consist of aggregate fees billed for products and services provided by the independent registered public accounting firm other than those disclosed above. These services specifically relate to subscription fees paid for access to online accounting research software and regulatory 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395605</wp:posOffset>
            </wp:positionV>
            <wp:extent cx="342900" cy="21399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42900" cy="213995"/>
                    </a:xfrm>
                    <a:prstGeom prst="rect">
                      <a:avLst/>
                    </a:prstGeom>
                    <a:noFill/>
                  </pic:spPr>
                </pic:pic>
              </a:graphicData>
            </a:graphic>
          </wp:anchor>
        </w:drawing>
      </w:r>
    </w:p>
    <w:p>
      <w:pPr>
        <w:spacing w:after="0" w:line="200" w:lineRule="exact"/>
        <w:rPr>
          <w:sz w:val="20"/>
          <w:szCs w:val="20"/>
          <w:color w:val="auto"/>
        </w:rPr>
      </w:pPr>
    </w:p>
    <w:p>
      <w:pPr>
        <w:spacing w:after="0" w:line="341" w:lineRule="exact"/>
        <w:rPr>
          <w:sz w:val="20"/>
          <w:szCs w:val="20"/>
          <w:color w:val="auto"/>
        </w:rPr>
      </w:pPr>
    </w:p>
    <w:p>
      <w:pPr>
        <w:ind w:left="5540"/>
        <w:spacing w:after="0"/>
        <w:tabs>
          <w:tab w:leader="none" w:pos="9780" w:val="left"/>
        </w:tabs>
        <w:rPr>
          <w:sz w:val="20"/>
          <w:szCs w:val="20"/>
          <w:color w:val="auto"/>
        </w:rPr>
      </w:pPr>
      <w:r>
        <w:rPr>
          <w:rFonts w:ascii="Arial" w:cs="Arial" w:eastAsia="Arial" w:hAnsi="Arial"/>
          <w:sz w:val="29"/>
          <w:szCs w:val="29"/>
          <w:color w:val="auto"/>
          <w:vertAlign w:val="superscript"/>
        </w:rPr>
        <w:t>31</w:t>
      </w:r>
      <w:r>
        <w:rPr>
          <w:sz w:val="20"/>
          <w:szCs w:val="20"/>
          <w:color w:val="auto"/>
        </w:rPr>
        <w:tab/>
      </w:r>
      <w:r>
        <w:rPr>
          <w:rFonts w:ascii="Arial" w:cs="Arial" w:eastAsia="Arial" w:hAnsi="Arial"/>
          <w:sz w:val="14"/>
          <w:szCs w:val="14"/>
          <w:color w:val="auto"/>
        </w:rPr>
        <w:t>2021 Proxy Statement</w:t>
      </w:r>
    </w:p>
    <w:p>
      <w:pPr>
        <w:sectPr>
          <w:pgSz w:w="11900" w:h="16838" w:orient="portrait"/>
          <w:cols w:equalWidth="0" w:num="1">
            <w:col w:w="11240"/>
          </w:cols>
          <w:pgMar w:left="320" w:top="1440" w:right="339" w:bottom="1440" w:gutter="0" w:footer="0" w:header="0"/>
        </w:sectPr>
      </w:pPr>
    </w:p>
    <w:bookmarkStart w:id="35" w:name="page36"/>
    <w:bookmarkEnd w:id="35"/>
    <w:p>
      <w:pPr>
        <w:ind w:left="280"/>
        <w:spacing w:after="0"/>
        <w:rPr>
          <w:sz w:val="20"/>
          <w:szCs w:val="20"/>
          <w:color w:val="auto"/>
        </w:rPr>
      </w:pPr>
      <w:r>
        <w:rPr>
          <w:rFonts w:ascii="Arial" w:cs="Arial" w:eastAsia="Arial" w:hAnsi="Arial"/>
          <w:sz w:val="13"/>
          <w:szCs w:val="13"/>
          <w:b w:val="1"/>
          <w:bCs w:val="1"/>
          <w:color w:val="929292"/>
        </w:rPr>
        <w:t>PROPOSAL TWO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7470" cy="6032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7470" cy="60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b w:val="1"/>
          <w:bCs w:val="1"/>
          <w:color w:val="009ADA"/>
        </w:rPr>
        <w:t>Auditor Independence</w:t>
      </w:r>
    </w:p>
    <w:p>
      <w:pPr>
        <w:spacing w:after="0" w:line="213" w:lineRule="exact"/>
        <w:rPr>
          <w:sz w:val="20"/>
          <w:szCs w:val="20"/>
          <w:color w:val="auto"/>
        </w:rPr>
      </w:pPr>
    </w:p>
    <w:p>
      <w:pPr>
        <w:ind w:right="80"/>
        <w:spacing w:after="0" w:line="348" w:lineRule="auto"/>
        <w:rPr>
          <w:sz w:val="20"/>
          <w:szCs w:val="20"/>
          <w:color w:val="auto"/>
        </w:rPr>
      </w:pPr>
      <w:r>
        <w:rPr>
          <w:rFonts w:ascii="Arial" w:cs="Arial" w:eastAsia="Arial" w:hAnsi="Arial"/>
          <w:sz w:val="16"/>
          <w:szCs w:val="16"/>
          <w:color w:val="auto"/>
        </w:rPr>
        <w:t>In the fiscal year ended July 31, 2021, there were no other professional services provided by PwC that would have required our audit committee to consider their compatibility with maintaining the independence of PwC.</w:t>
      </w:r>
    </w:p>
    <w:p>
      <w:pPr>
        <w:spacing w:after="0" w:line="94" w:lineRule="exact"/>
        <w:rPr>
          <w:sz w:val="20"/>
          <w:szCs w:val="20"/>
          <w:color w:val="auto"/>
        </w:rPr>
      </w:pPr>
    </w:p>
    <w:p>
      <w:pPr>
        <w:ind w:right="800"/>
        <w:spacing w:after="0" w:line="274" w:lineRule="auto"/>
        <w:rPr>
          <w:sz w:val="20"/>
          <w:szCs w:val="20"/>
          <w:color w:val="auto"/>
        </w:rPr>
      </w:pPr>
      <w:r>
        <w:rPr>
          <w:rFonts w:ascii="Arial" w:cs="Arial" w:eastAsia="Arial" w:hAnsi="Arial"/>
          <w:sz w:val="22"/>
          <w:szCs w:val="22"/>
          <w:b w:val="1"/>
          <w:bCs w:val="1"/>
          <w:color w:val="009ADA"/>
        </w:rPr>
        <w:t>Audit Committee Policy on Pre-Approval of Audit and Permissible Non-Audit Services of Independent Registered Public Accounting Firm</w:t>
      </w:r>
    </w:p>
    <w:p>
      <w:pPr>
        <w:spacing w:after="0" w:line="145" w:lineRule="exact"/>
        <w:rPr>
          <w:sz w:val="20"/>
          <w:szCs w:val="20"/>
          <w:color w:val="auto"/>
        </w:rPr>
      </w:pPr>
    </w:p>
    <w:p>
      <w:pPr>
        <w:ind w:right="40"/>
        <w:spacing w:after="0" w:line="339" w:lineRule="auto"/>
        <w:rPr>
          <w:sz w:val="20"/>
          <w:szCs w:val="20"/>
          <w:color w:val="auto"/>
        </w:rPr>
      </w:pPr>
      <w:r>
        <w:rPr>
          <w:rFonts w:ascii="Arial" w:cs="Arial" w:eastAsia="Arial" w:hAnsi="Arial"/>
          <w:sz w:val="16"/>
          <w:szCs w:val="16"/>
          <w:color w:val="auto"/>
        </w:rPr>
        <w:t>Our audit committee has established a policy governing our use of the services of our independent registered public accounting firm. Under the policy, our audit committee is required to pre-approve all audit and permissible non-audit services performed by our independent registered public accounting firm in order to ensure that the provision of such services does not impair such accounting firm’s independence. All fees paid to PwC for our fiscal years ended July 31, 2021 and 2020 were pre-approved by our audit committee.</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009ADA"/>
        </w:rPr>
        <w:t>Vote Required</w:t>
      </w:r>
    </w:p>
    <w:p>
      <w:pPr>
        <w:spacing w:after="0" w:line="213" w:lineRule="exact"/>
        <w:rPr>
          <w:sz w:val="20"/>
          <w:szCs w:val="20"/>
          <w:color w:val="auto"/>
        </w:rPr>
      </w:pPr>
    </w:p>
    <w:p>
      <w:pPr>
        <w:ind w:right="220"/>
        <w:spacing w:after="0" w:line="348" w:lineRule="auto"/>
        <w:rPr>
          <w:sz w:val="20"/>
          <w:szCs w:val="20"/>
          <w:color w:val="auto"/>
        </w:rPr>
      </w:pPr>
      <w:r>
        <w:rPr>
          <w:rFonts w:ascii="Arial" w:cs="Arial" w:eastAsia="Arial" w:hAnsi="Arial"/>
          <w:sz w:val="16"/>
          <w:szCs w:val="16"/>
          <w:color w:val="auto"/>
        </w:rPr>
        <w:t>The ratification of the appointment of PwC requires the affirmative vote of a majority of the voting power of the shares present in person or represented by proxy at the Annual Meeting and entitled to vote thereon. Abstentions will have the effect of a vote AGAINST the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54610</wp:posOffset>
            </wp:positionV>
            <wp:extent cx="351155" cy="7029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51155" cy="702945"/>
                    </a:xfrm>
                    <a:prstGeom prst="rect">
                      <a:avLst/>
                    </a:prstGeom>
                    <a:noFill/>
                  </pic:spPr>
                </pic:pic>
              </a:graphicData>
            </a:graphic>
          </wp:anchor>
        </w:drawing>
      </w:r>
    </w:p>
    <w:p>
      <w:pPr>
        <w:spacing w:after="0" w:line="182" w:lineRule="exact"/>
        <w:rPr>
          <w:sz w:val="20"/>
          <w:szCs w:val="20"/>
          <w:color w:val="auto"/>
        </w:rPr>
      </w:pPr>
    </w:p>
    <w:p>
      <w:pPr>
        <w:ind w:left="1140" w:right="800"/>
        <w:spacing w:after="0" w:line="335" w:lineRule="auto"/>
        <w:rPr>
          <w:sz w:val="20"/>
          <w:szCs w:val="20"/>
          <w:color w:val="auto"/>
        </w:rPr>
      </w:pPr>
      <w:r>
        <w:rPr>
          <w:rFonts w:ascii="Arial" w:cs="Arial" w:eastAsia="Arial" w:hAnsi="Arial"/>
          <w:sz w:val="22"/>
          <w:szCs w:val="22"/>
          <w:b w:val="1"/>
          <w:bCs w:val="1"/>
          <w:i w:val="1"/>
          <w:iCs w:val="1"/>
          <w:color w:val="auto"/>
        </w:rPr>
        <w:t>The Board of Directors recommends a vote “FOR” the ratification of the appointment of PRICEWATERHOUSECOOPERS LLP as our independent registered public accounting firm for our fiscal year ending July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256540</wp:posOffset>
            </wp:positionV>
            <wp:extent cx="342900" cy="21399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42900" cy="213995"/>
                    </a:xfrm>
                    <a:prstGeom prst="rect">
                      <a:avLst/>
                    </a:prstGeom>
                    <a:noFill/>
                  </pic:spPr>
                </pic:pic>
              </a:graphicData>
            </a:graphic>
          </wp:anchor>
        </w:drawing>
      </w:r>
    </w:p>
    <w:p>
      <w:pPr>
        <w:spacing w:after="0" w:line="322" w:lineRule="exact"/>
        <w:rPr>
          <w:sz w:val="20"/>
          <w:szCs w:val="20"/>
          <w:color w:val="auto"/>
        </w:rPr>
      </w:pPr>
    </w:p>
    <w:p>
      <w:pPr>
        <w:jc w:val="both"/>
        <w:ind w:left="5540"/>
        <w:spacing w:after="0"/>
        <w:tabs>
          <w:tab w:leader="none" w:pos="9780" w:val="left"/>
        </w:tabs>
        <w:rPr>
          <w:sz w:val="20"/>
          <w:szCs w:val="20"/>
          <w:color w:val="auto"/>
        </w:rPr>
      </w:pPr>
      <w:r>
        <w:rPr>
          <w:rFonts w:ascii="Arial" w:cs="Arial" w:eastAsia="Arial" w:hAnsi="Arial"/>
          <w:sz w:val="29"/>
          <w:szCs w:val="29"/>
          <w:color w:val="auto"/>
          <w:vertAlign w:val="superscript"/>
        </w:rPr>
        <w:t>32</w:t>
      </w:r>
      <w:r>
        <w:rPr>
          <w:sz w:val="20"/>
          <w:szCs w:val="20"/>
          <w:color w:val="auto"/>
        </w:rPr>
        <w:tab/>
      </w:r>
      <w:r>
        <w:rPr>
          <w:rFonts w:ascii="Arial" w:cs="Arial" w:eastAsia="Arial" w:hAnsi="Arial"/>
          <w:sz w:val="14"/>
          <w:szCs w:val="14"/>
          <w:color w:val="auto"/>
        </w:rPr>
        <w:t>2021 Proxy Statement</w:t>
      </w:r>
    </w:p>
    <w:p>
      <w:pPr>
        <w:sectPr>
          <w:pgSz w:w="11900" w:h="16838" w:orient="portrait"/>
          <w:cols w:equalWidth="0" w:num="1">
            <w:col w:w="11220"/>
          </w:cols>
          <w:pgMar w:left="320" w:top="171" w:right="359" w:bottom="1440" w:gutter="0" w:footer="0" w:header="0"/>
        </w:sectPr>
      </w:pPr>
    </w:p>
    <w:bookmarkStart w:id="36" w:name="page37"/>
    <w:bookmarkEnd w:id="36"/>
    <w:p>
      <w:pPr>
        <w:ind w:left="280"/>
        <w:spacing w:after="0"/>
        <w:rPr>
          <w:sz w:val="20"/>
          <w:szCs w:val="20"/>
          <w:color w:val="auto"/>
        </w:rPr>
      </w:pPr>
      <w:r>
        <w:rPr>
          <w:rFonts w:ascii="Arial" w:cs="Arial" w:eastAsia="Arial" w:hAnsi="Arial"/>
          <w:sz w:val="13"/>
          <w:szCs w:val="13"/>
          <w:b w:val="1"/>
          <w:bCs w:val="1"/>
          <w:color w:val="929292"/>
        </w:rPr>
        <w:t>PROPOSAL TWO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7470" cy="6032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7470" cy="60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b w:val="1"/>
          <w:bCs w:val="1"/>
          <w:color w:val="009ADA"/>
        </w:rPr>
        <w:t>Audit Committee Report</w:t>
      </w:r>
    </w:p>
    <w:p>
      <w:pPr>
        <w:spacing w:after="0" w:line="197" w:lineRule="exact"/>
        <w:rPr>
          <w:sz w:val="20"/>
          <w:szCs w:val="20"/>
          <w:color w:val="auto"/>
        </w:rPr>
      </w:pPr>
    </w:p>
    <w:p>
      <w:pPr>
        <w:ind w:right="240"/>
        <w:spacing w:after="0" w:line="351" w:lineRule="auto"/>
        <w:rPr>
          <w:sz w:val="20"/>
          <w:szCs w:val="20"/>
          <w:color w:val="auto"/>
        </w:rPr>
      </w:pPr>
      <w:r>
        <w:rPr>
          <w:rFonts w:ascii="Arial" w:cs="Arial" w:eastAsia="Arial" w:hAnsi="Arial"/>
          <w:sz w:val="16"/>
          <w:szCs w:val="16"/>
          <w:i w:val="1"/>
          <w:iCs w:val="1"/>
          <w:color w:val="auto"/>
        </w:rPr>
        <w:t>The information contained in the following Audit Committee Report shall not be deemed to be soliciting material or to be filed with the Securities and Exchange Commission, nor shall such information be incorporated by reference into any future filing under the Securities Act of 1933, as amended, or the Securities Exchange Act of 1934, as amended, except to the extent that Zscaler, Inc. specifically incorporates it by reference in such filing.</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The audit committee serves as the representative of our board of directors with respect to its oversight of:</w:t>
      </w:r>
    </w:p>
    <w:p>
      <w:pPr>
        <w:spacing w:after="0" w:line="235" w:lineRule="exact"/>
        <w:rPr>
          <w:sz w:val="20"/>
          <w:szCs w:val="20"/>
          <w:color w:val="auto"/>
        </w:rPr>
      </w:pPr>
    </w:p>
    <w:p>
      <w:pPr>
        <w:ind w:left="460" w:hanging="128"/>
        <w:spacing w:after="0"/>
        <w:tabs>
          <w:tab w:leader="none" w:pos="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our accounting and financial reporting processes and the audit of our financial statements;</w:t>
      </w:r>
    </w:p>
    <w:p>
      <w:pPr>
        <w:spacing w:after="0" w:line="126" w:lineRule="exact"/>
        <w:rPr>
          <w:rFonts w:ascii="Arial" w:cs="Arial" w:eastAsia="Arial" w:hAnsi="Arial"/>
          <w:sz w:val="16"/>
          <w:szCs w:val="16"/>
          <w:color w:val="auto"/>
        </w:rPr>
      </w:pPr>
    </w:p>
    <w:p>
      <w:pPr>
        <w:ind w:left="460" w:hanging="128"/>
        <w:spacing w:after="0"/>
        <w:tabs>
          <w:tab w:leader="none" w:pos="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integrity of our financial statements;</w:t>
      </w:r>
    </w:p>
    <w:p>
      <w:pPr>
        <w:spacing w:after="0" w:line="126" w:lineRule="exact"/>
        <w:rPr>
          <w:rFonts w:ascii="Arial" w:cs="Arial" w:eastAsia="Arial" w:hAnsi="Arial"/>
          <w:sz w:val="16"/>
          <w:szCs w:val="16"/>
          <w:color w:val="auto"/>
        </w:rPr>
      </w:pPr>
    </w:p>
    <w:p>
      <w:pPr>
        <w:ind w:left="460" w:hanging="128"/>
        <w:spacing w:after="0"/>
        <w:tabs>
          <w:tab w:leader="none" w:pos="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our compliance with legal and regulatory requirements;</w:t>
      </w:r>
    </w:p>
    <w:p>
      <w:pPr>
        <w:spacing w:after="0" w:line="126" w:lineRule="exact"/>
        <w:rPr>
          <w:rFonts w:ascii="Arial" w:cs="Arial" w:eastAsia="Arial" w:hAnsi="Arial"/>
          <w:sz w:val="16"/>
          <w:szCs w:val="16"/>
          <w:color w:val="auto"/>
        </w:rPr>
      </w:pPr>
    </w:p>
    <w:p>
      <w:pPr>
        <w:ind w:left="500" w:right="640" w:hanging="168"/>
        <w:spacing w:after="0" w:line="348" w:lineRule="auto"/>
        <w:tabs>
          <w:tab w:leader="none" w:pos="462"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inquiring about significant risks, reviewing our policies for risk assessment and risk management, including privacy and cybersecurity risk, and assessing the steps management has taken to control these risks; and</w:t>
      </w:r>
    </w:p>
    <w:p>
      <w:pPr>
        <w:spacing w:after="0" w:line="33" w:lineRule="exact"/>
        <w:rPr>
          <w:rFonts w:ascii="Arial" w:cs="Arial" w:eastAsia="Arial" w:hAnsi="Arial"/>
          <w:sz w:val="16"/>
          <w:szCs w:val="16"/>
          <w:color w:val="auto"/>
        </w:rPr>
      </w:pPr>
    </w:p>
    <w:p>
      <w:pPr>
        <w:ind w:left="460" w:hanging="128"/>
        <w:spacing w:after="0"/>
        <w:tabs>
          <w:tab w:leader="none" w:pos="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independent registered public accounting firm’s appointment, qualifications and independence.</w:t>
      </w:r>
    </w:p>
    <w:p>
      <w:pPr>
        <w:spacing w:after="0" w:line="235" w:lineRule="exact"/>
        <w:rPr>
          <w:sz w:val="20"/>
          <w:szCs w:val="20"/>
          <w:color w:val="auto"/>
        </w:rPr>
      </w:pPr>
    </w:p>
    <w:p>
      <w:pPr>
        <w:ind w:right="40"/>
        <w:spacing w:after="0" w:line="348" w:lineRule="auto"/>
        <w:rPr>
          <w:sz w:val="20"/>
          <w:szCs w:val="20"/>
          <w:color w:val="auto"/>
        </w:rPr>
      </w:pPr>
      <w:r>
        <w:rPr>
          <w:rFonts w:ascii="Arial" w:cs="Arial" w:eastAsia="Arial" w:hAnsi="Arial"/>
          <w:sz w:val="16"/>
          <w:szCs w:val="16"/>
          <w:color w:val="auto"/>
        </w:rPr>
        <w:t>The audit committee also reviews the performance of our independent registered public accounting firm, PwC, in the annual audit of our financial statements and in assignments unrelated to the audit, and reviews the independent registered public accounting firm’s fees.</w:t>
      </w:r>
    </w:p>
    <w:p>
      <w:pPr>
        <w:spacing w:after="0" w:line="141" w:lineRule="exact"/>
        <w:rPr>
          <w:sz w:val="20"/>
          <w:szCs w:val="20"/>
          <w:color w:val="auto"/>
        </w:rPr>
      </w:pPr>
    </w:p>
    <w:p>
      <w:pPr>
        <w:ind w:right="240"/>
        <w:spacing w:after="0" w:line="348" w:lineRule="auto"/>
        <w:rPr>
          <w:sz w:val="20"/>
          <w:szCs w:val="20"/>
          <w:color w:val="auto"/>
        </w:rPr>
      </w:pPr>
      <w:r>
        <w:rPr>
          <w:rFonts w:ascii="Arial" w:cs="Arial" w:eastAsia="Arial" w:hAnsi="Arial"/>
          <w:sz w:val="16"/>
          <w:szCs w:val="16"/>
          <w:color w:val="auto"/>
        </w:rPr>
        <w:t>The audit committee is currently composed of three non-employee directors. Our board of directors has determined that each current member of the audit committee is independent, and that Ms. Blasing qualifies as an “audit committee financial expert” under the SEC rules.</w:t>
      </w:r>
    </w:p>
    <w:p>
      <w:pPr>
        <w:spacing w:after="0" w:line="141" w:lineRule="exact"/>
        <w:rPr>
          <w:sz w:val="20"/>
          <w:szCs w:val="20"/>
          <w:color w:val="auto"/>
        </w:rPr>
      </w:pPr>
    </w:p>
    <w:p>
      <w:pPr>
        <w:ind w:right="120"/>
        <w:spacing w:after="0" w:line="337" w:lineRule="auto"/>
        <w:rPr>
          <w:sz w:val="20"/>
          <w:szCs w:val="20"/>
          <w:color w:val="auto"/>
        </w:rPr>
      </w:pPr>
      <w:r>
        <w:rPr>
          <w:rFonts w:ascii="Arial" w:cs="Arial" w:eastAsia="Arial" w:hAnsi="Arial"/>
          <w:sz w:val="16"/>
          <w:szCs w:val="16"/>
          <w:color w:val="auto"/>
        </w:rPr>
        <w:t>The audit committee provides our board of directors such information and materials as it may deem necessary to make our board of directors aware of financial matters requiring the attention of our board of directors. The audit committee reviews our financial disclosures and meets privately, outside the presence of our management, with our independent registered public accounting firm. In fulfilling its oversight responsibilities, the audit committee reviewed and discussed the audited financial statements in our fiscal year ended July 31, 2020 Annual Report with management, including a discussion of the quality and substance of the accounting principles, the reasonableness of significant judgments made in connection with the audited financial statements, and the clarity of disclosures in the financial statements. The audit committee reports on these meetings to our board of directors.</w:t>
      </w:r>
    </w:p>
    <w:p>
      <w:pPr>
        <w:spacing w:after="0" w:line="151" w:lineRule="exact"/>
        <w:rPr>
          <w:sz w:val="20"/>
          <w:szCs w:val="20"/>
          <w:color w:val="auto"/>
        </w:rPr>
      </w:pPr>
    </w:p>
    <w:p>
      <w:pPr>
        <w:spacing w:after="0" w:line="341" w:lineRule="auto"/>
        <w:rPr>
          <w:sz w:val="20"/>
          <w:szCs w:val="20"/>
          <w:color w:val="auto"/>
        </w:rPr>
      </w:pPr>
      <w:r>
        <w:rPr>
          <w:rFonts w:ascii="Arial" w:cs="Arial" w:eastAsia="Arial" w:hAnsi="Arial"/>
          <w:sz w:val="16"/>
          <w:szCs w:val="16"/>
          <w:color w:val="auto"/>
        </w:rPr>
        <w:t>The audit committee has reviewed and discussed with Zscaler’s management and PwC the audited consolidated financial statements of Zscaler contained in Zscaler’s Annual Report on Form 10-K for fiscal year 2021. The audit committee has also discussed with PwC the applicable requirements of the Public Company Accounting Oversight Board (“PCAOB”) and the SEC.</w:t>
      </w:r>
    </w:p>
    <w:p>
      <w:pPr>
        <w:spacing w:after="0" w:line="147" w:lineRule="exact"/>
        <w:rPr>
          <w:sz w:val="20"/>
          <w:szCs w:val="20"/>
          <w:color w:val="auto"/>
        </w:rPr>
      </w:pPr>
    </w:p>
    <w:p>
      <w:pPr>
        <w:jc w:val="both"/>
        <w:ind w:right="720"/>
        <w:spacing w:after="0" w:line="348" w:lineRule="auto"/>
        <w:rPr>
          <w:sz w:val="20"/>
          <w:szCs w:val="20"/>
          <w:color w:val="auto"/>
        </w:rPr>
      </w:pPr>
      <w:r>
        <w:rPr>
          <w:rFonts w:ascii="Arial" w:cs="Arial" w:eastAsia="Arial" w:hAnsi="Arial"/>
          <w:sz w:val="16"/>
          <w:szCs w:val="16"/>
          <w:color w:val="auto"/>
        </w:rPr>
        <w:t>The audit committee has received and reviewed the written disclosures and the letter from PwC required by applicable requirements of the PCAOB regarding PwC’s communications with the audit committee concerning independence, and has discussed with PwC its independence from Zscaler.</w:t>
      </w:r>
    </w:p>
    <w:p>
      <w:pPr>
        <w:spacing w:after="0" w:line="141" w:lineRule="exact"/>
        <w:rPr>
          <w:sz w:val="20"/>
          <w:szCs w:val="20"/>
          <w:color w:val="auto"/>
        </w:rPr>
      </w:pPr>
    </w:p>
    <w:p>
      <w:pPr>
        <w:ind w:right="120"/>
        <w:spacing w:after="0" w:line="339" w:lineRule="auto"/>
        <w:rPr>
          <w:sz w:val="20"/>
          <w:szCs w:val="20"/>
          <w:color w:val="auto"/>
        </w:rPr>
      </w:pPr>
      <w:r>
        <w:rPr>
          <w:rFonts w:ascii="Arial" w:cs="Arial" w:eastAsia="Arial" w:hAnsi="Arial"/>
          <w:sz w:val="16"/>
          <w:szCs w:val="16"/>
          <w:color w:val="auto"/>
        </w:rPr>
        <w:t>Based on the review and discussions referred to above, the audit committee recommended to the board of directors that the audited consolidated financial statements be included in Zscaler’s Annual Report on Form 10-K for its fiscal year 2021 for filing with the SEC. The audit committee also has selected PwC as the independent registered public accounting firm for fiscal year 2022. Our board of directors recommends that stockholders ratify this selection at the Annual Meeting.</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Respectfully submitted by the members of the audit committee of the board of directors:</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Karen Blasing (Chair)</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Andrew Brown</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Scott Darling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323215</wp:posOffset>
            </wp:positionV>
            <wp:extent cx="342900" cy="21399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42900" cy="21399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5540"/>
        <w:spacing w:after="0"/>
        <w:tabs>
          <w:tab w:leader="none" w:pos="9780" w:val="left"/>
        </w:tabs>
        <w:rPr>
          <w:sz w:val="20"/>
          <w:szCs w:val="20"/>
          <w:color w:val="auto"/>
        </w:rPr>
      </w:pPr>
      <w:r>
        <w:rPr>
          <w:rFonts w:ascii="Arial" w:cs="Arial" w:eastAsia="Arial" w:hAnsi="Arial"/>
          <w:sz w:val="29"/>
          <w:szCs w:val="29"/>
          <w:color w:val="auto"/>
          <w:vertAlign w:val="superscript"/>
        </w:rPr>
        <w:t>33</w:t>
      </w:r>
      <w:r>
        <w:rPr>
          <w:sz w:val="20"/>
          <w:szCs w:val="20"/>
          <w:color w:val="auto"/>
        </w:rPr>
        <w:tab/>
      </w:r>
      <w:r>
        <w:rPr>
          <w:rFonts w:ascii="Arial" w:cs="Arial" w:eastAsia="Arial" w:hAnsi="Arial"/>
          <w:sz w:val="14"/>
          <w:szCs w:val="14"/>
          <w:color w:val="auto"/>
        </w:rPr>
        <w:t>2021 Proxy Statement</w:t>
      </w:r>
    </w:p>
    <w:p>
      <w:pPr>
        <w:sectPr>
          <w:pgSz w:w="11900" w:h="16838" w:orient="portrait"/>
          <w:cols w:equalWidth="0" w:num="1">
            <w:col w:w="11240"/>
          </w:cols>
          <w:pgMar w:left="320" w:top="171" w:right="339" w:bottom="1440" w:gutter="0" w:footer="0" w:header="0"/>
        </w:sectPr>
      </w:pPr>
    </w:p>
    <w:bookmarkStart w:id="37" w:name="page38"/>
    <w:bookmarkEnd w:id="3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946150</wp:posOffset>
            </wp:positionV>
            <wp:extent cx="5923280" cy="13798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clrChange>
                        <a:clrFrom>
                          <a:srgbClr val="FFFFFF"/>
                        </a:clrFrom>
                        <a:clrTo>
                          <a:srgbClr val="FFFFFF">
                            <a:alpha val="0"/>
                          </a:srgbClr>
                        </a:clrTo>
                      </a:clrChange>
                      <a:extLst>
                        <a:ext uri="{28A0092B-C50C-407E-A947-70E740481C1C}"/>
                      </a:extLst>
                    </a:blip>
                    <a:srcRect/>
                    <a:stretch>
                      <a:fillRect/>
                    </a:stretch>
                  </pic:blipFill>
                  <pic:spPr bwMode="auto">
                    <a:xfrm>
                      <a:off x="0" y="0"/>
                      <a:ext cx="5923280" cy="1379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b w:val="1"/>
          <w:bCs w:val="1"/>
          <w:color w:val="009ADA"/>
        </w:rPr>
        <w:t>ADVISORY VOTE ON THE COMPENSATION OF OUR NAMED EXECUTIVE OFFICERS</w:t>
      </w:r>
    </w:p>
    <w:p>
      <w:pPr>
        <w:spacing w:after="0" w:line="159" w:lineRule="exact"/>
        <w:rPr>
          <w:sz w:val="20"/>
          <w:szCs w:val="20"/>
          <w:color w:val="auto"/>
        </w:rPr>
      </w:pPr>
    </w:p>
    <w:p>
      <w:pPr>
        <w:ind w:right="220"/>
        <w:spacing w:after="0" w:line="338" w:lineRule="auto"/>
        <w:rPr>
          <w:sz w:val="20"/>
          <w:szCs w:val="20"/>
          <w:color w:val="auto"/>
        </w:rPr>
      </w:pPr>
      <w:r>
        <w:rPr>
          <w:rFonts w:ascii="Arial" w:cs="Arial" w:eastAsia="Arial" w:hAnsi="Arial"/>
          <w:sz w:val="16"/>
          <w:szCs w:val="16"/>
          <w:color w:val="auto"/>
        </w:rPr>
        <w:t>The Dodd-Frank Wall Street Reform and Consumer Protection Act of 2010 and Section 14A of the Exchange Act enables stockholders to approve, on an advisory or non-binding basis, the compensation of our Named Executive Officers as disclosed in this Proxy Statement in accordance with the rules of the SEC. This proposal, commonly known as a “Say-on-Pay” proposal, gives our stockholders the opportunity to express their views on our Named Executive Officers’ compensation as a whole. This vote is not intended to address any specific item of compensation or any specific Named Executive Officer, but rather the overall compensation of all of our Named Executive Officers and the philosophy, policies and practices described in this Proxy Statement.</w:t>
      </w:r>
    </w:p>
    <w:p>
      <w:pPr>
        <w:spacing w:after="0" w:line="149" w:lineRule="exact"/>
        <w:rPr>
          <w:sz w:val="20"/>
          <w:szCs w:val="20"/>
          <w:color w:val="auto"/>
        </w:rPr>
      </w:pPr>
    </w:p>
    <w:p>
      <w:pPr>
        <w:spacing w:after="0" w:line="336" w:lineRule="auto"/>
        <w:rPr>
          <w:sz w:val="20"/>
          <w:szCs w:val="20"/>
          <w:color w:val="auto"/>
        </w:rPr>
      </w:pPr>
      <w:r>
        <w:rPr>
          <w:rFonts w:ascii="Arial" w:cs="Arial" w:eastAsia="Arial" w:hAnsi="Arial"/>
          <w:sz w:val="16"/>
          <w:szCs w:val="16"/>
          <w:color w:val="auto"/>
        </w:rPr>
        <w:t>The Say-on-Pay vote is advisory, and therefore is not binding on us, our compensation committee or our board of directors. The Say-on-Pay vote will, however, provide information to us regarding investor sentiment about our executive compensation philosophy, policies and practices, which our compensation committee will be able to consider when determining executive compensation for the remainder of the current fiscal year and beyond. Our board of directors and our compensation committee value the opinions of our stockholders. To the extent there is any significant vote against the compensation of our Named Executive Officer as disclosed in this Proxy Statement, we will endeavor to communicate with stockholders to better understand the concerns that influenced the vote and consider our stockholders’ concerns. Our compensation committee will evaluate whether any actions are necessary to address those concerns.</w:t>
      </w:r>
    </w:p>
    <w:p>
      <w:pPr>
        <w:spacing w:after="0" w:line="154" w:lineRule="exact"/>
        <w:rPr>
          <w:sz w:val="20"/>
          <w:szCs w:val="20"/>
          <w:color w:val="auto"/>
        </w:rPr>
      </w:pPr>
    </w:p>
    <w:p>
      <w:pPr>
        <w:ind w:right="180"/>
        <w:spacing w:after="0" w:line="339" w:lineRule="auto"/>
        <w:rPr>
          <w:sz w:val="20"/>
          <w:szCs w:val="20"/>
          <w:color w:val="auto"/>
        </w:rPr>
      </w:pPr>
      <w:r>
        <w:rPr>
          <w:rFonts w:ascii="Arial" w:cs="Arial" w:eastAsia="Arial" w:hAnsi="Arial"/>
          <w:sz w:val="16"/>
          <w:szCs w:val="16"/>
          <w:color w:val="auto"/>
        </w:rPr>
        <w:t>We believe that the information provided in the section titled “Executive Compensation,” and in particular the information discussed in the section titled “Executive Compensation—Compensation Discussion and Analysis—Compensation Philosophy,” demonstrates that our executive compensation program was designed appropriately and is working to ensure management’s interests are aligned with our stockholders’ interests to support long-term value creation. Accordingly, we ask our stockholders to vote “For” the following resolution at the Annual Meeting:</w:t>
      </w:r>
    </w:p>
    <w:p>
      <w:pPr>
        <w:spacing w:after="0" w:line="148" w:lineRule="exact"/>
        <w:rPr>
          <w:sz w:val="20"/>
          <w:szCs w:val="20"/>
          <w:color w:val="auto"/>
        </w:rPr>
      </w:pPr>
    </w:p>
    <w:p>
      <w:pPr>
        <w:ind w:right="540"/>
        <w:spacing w:after="0" w:line="341" w:lineRule="auto"/>
        <w:rPr>
          <w:sz w:val="20"/>
          <w:szCs w:val="20"/>
          <w:color w:val="auto"/>
        </w:rPr>
      </w:pPr>
      <w:r>
        <w:rPr>
          <w:rFonts w:ascii="Arial" w:cs="Arial" w:eastAsia="Arial" w:hAnsi="Arial"/>
          <w:sz w:val="16"/>
          <w:szCs w:val="16"/>
          <w:color w:val="auto"/>
        </w:rPr>
        <w:t>“RESOLVED, that the stockholders approve, on an advisory basis, the compensation paid to the Named Executive Officers, as disclosed in the Proxy Statement for the Annual Meeting pursuant to the compensation disclosure rules of the SEC, including the compensation discussion and analysis, compensation tables and narrative discussion, and other related disclosure.”</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color w:val="009ADA"/>
        </w:rPr>
        <w:t>Vote Required</w:t>
      </w:r>
    </w:p>
    <w:p>
      <w:pPr>
        <w:spacing w:after="0" w:line="213" w:lineRule="exact"/>
        <w:rPr>
          <w:sz w:val="20"/>
          <w:szCs w:val="20"/>
          <w:color w:val="auto"/>
        </w:rPr>
      </w:pPr>
    </w:p>
    <w:p>
      <w:pPr>
        <w:ind w:right="180"/>
        <w:spacing w:after="0" w:line="341" w:lineRule="auto"/>
        <w:rPr>
          <w:sz w:val="20"/>
          <w:szCs w:val="20"/>
          <w:color w:val="auto"/>
        </w:rPr>
      </w:pPr>
      <w:r>
        <w:rPr>
          <w:rFonts w:ascii="Arial" w:cs="Arial" w:eastAsia="Arial" w:hAnsi="Arial"/>
          <w:sz w:val="16"/>
          <w:szCs w:val="16"/>
          <w:color w:val="auto"/>
        </w:rPr>
        <w:t>The advisory vote on the compensation of our Named Executive Officers requires the affirmative vote of a majority of the voting power of the shares of our common stock present in person or represented by proxy at the Annual Meeting and entitled to vote thereon. Abstentions will have the effect of a vote AGAINST the proposal. Broker non-votes will have no effect on the outcome of the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57785</wp:posOffset>
            </wp:positionV>
            <wp:extent cx="351155" cy="53149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51155" cy="531495"/>
                    </a:xfrm>
                    <a:prstGeom prst="rect">
                      <a:avLst/>
                    </a:prstGeom>
                    <a:noFill/>
                  </pic:spPr>
                </pic:pic>
              </a:graphicData>
            </a:graphic>
          </wp:anchor>
        </w:drawing>
      </w:r>
    </w:p>
    <w:p>
      <w:pPr>
        <w:spacing w:after="0" w:line="214" w:lineRule="exact"/>
        <w:rPr>
          <w:sz w:val="20"/>
          <w:szCs w:val="20"/>
          <w:color w:val="auto"/>
        </w:rPr>
      </w:pPr>
    </w:p>
    <w:p>
      <w:pPr>
        <w:ind w:left="1140" w:right="600"/>
        <w:spacing w:after="0" w:line="351" w:lineRule="auto"/>
        <w:rPr>
          <w:sz w:val="20"/>
          <w:szCs w:val="20"/>
          <w:color w:val="auto"/>
        </w:rPr>
      </w:pPr>
      <w:r>
        <w:rPr>
          <w:rFonts w:ascii="Arial" w:cs="Arial" w:eastAsia="Arial" w:hAnsi="Arial"/>
          <w:sz w:val="22"/>
          <w:szCs w:val="22"/>
          <w:b w:val="1"/>
          <w:bCs w:val="1"/>
          <w:i w:val="1"/>
          <w:iCs w:val="1"/>
          <w:color w:val="auto"/>
        </w:rPr>
        <w:t>The Board of Directors recommends a vote “FOR” the approval, on an advisory basis, of the compensation of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271145</wp:posOffset>
            </wp:positionV>
            <wp:extent cx="342900" cy="21399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42900" cy="213995"/>
                    </a:xfrm>
                    <a:prstGeom prst="rect">
                      <a:avLst/>
                    </a:prstGeom>
                    <a:noFill/>
                  </pic:spPr>
                </pic:pic>
              </a:graphicData>
            </a:graphic>
          </wp:anchor>
        </w:drawing>
      </w:r>
    </w:p>
    <w:p>
      <w:pPr>
        <w:spacing w:after="0" w:line="345" w:lineRule="exact"/>
        <w:rPr>
          <w:sz w:val="20"/>
          <w:szCs w:val="20"/>
          <w:color w:val="auto"/>
        </w:rPr>
      </w:pPr>
    </w:p>
    <w:p>
      <w:pPr>
        <w:jc w:val="both"/>
        <w:ind w:left="5540"/>
        <w:spacing w:after="0"/>
        <w:tabs>
          <w:tab w:leader="none" w:pos="9780" w:val="left"/>
        </w:tabs>
        <w:rPr>
          <w:sz w:val="20"/>
          <w:szCs w:val="20"/>
          <w:color w:val="auto"/>
        </w:rPr>
      </w:pPr>
      <w:r>
        <w:rPr>
          <w:rFonts w:ascii="Arial" w:cs="Arial" w:eastAsia="Arial" w:hAnsi="Arial"/>
          <w:sz w:val="29"/>
          <w:szCs w:val="29"/>
          <w:color w:val="auto"/>
          <w:vertAlign w:val="superscript"/>
        </w:rPr>
        <w:t>34</w:t>
      </w:r>
      <w:r>
        <w:rPr>
          <w:sz w:val="20"/>
          <w:szCs w:val="20"/>
          <w:color w:val="auto"/>
        </w:rPr>
        <w:tab/>
      </w:r>
      <w:r>
        <w:rPr>
          <w:rFonts w:ascii="Arial" w:cs="Arial" w:eastAsia="Arial" w:hAnsi="Arial"/>
          <w:sz w:val="14"/>
          <w:szCs w:val="14"/>
          <w:color w:val="auto"/>
        </w:rPr>
        <w:t>2021 Proxy Statement</w:t>
      </w:r>
    </w:p>
    <w:p>
      <w:pPr>
        <w:sectPr>
          <w:pgSz w:w="11900" w:h="16838" w:orient="portrait"/>
          <w:cols w:equalWidth="0" w:num="1">
            <w:col w:w="11220"/>
          </w:cols>
          <w:pgMar w:left="320" w:top="1440" w:right="359" w:bottom="1440" w:gutter="0" w:footer="0" w:header="0"/>
        </w:sectPr>
      </w:pPr>
    </w:p>
    <w:bookmarkStart w:id="38" w:name="page39"/>
    <w:bookmarkEnd w:id="38"/>
    <w:p>
      <w:pPr>
        <w:ind w:left="280"/>
        <w:spacing w:after="0"/>
        <w:rPr>
          <w:sz w:val="20"/>
          <w:szCs w:val="20"/>
          <w:color w:val="auto"/>
        </w:rPr>
      </w:pPr>
      <w:r>
        <w:rPr>
          <w:rFonts w:ascii="Arial" w:cs="Arial" w:eastAsia="Arial" w:hAnsi="Arial"/>
          <w:sz w:val="13"/>
          <w:szCs w:val="13"/>
          <w:b w:val="1"/>
          <w:bCs w:val="1"/>
          <w:color w:val="929292"/>
        </w:rPr>
        <w:t>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7470" cy="6032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7470" cy="60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54"/>
          <w:szCs w:val="54"/>
          <w:color w:val="auto"/>
        </w:rPr>
        <w:t>Executive Officers</w:t>
      </w:r>
    </w:p>
    <w:p>
      <w:pPr>
        <w:spacing w:after="0" w:line="115" w:lineRule="exact"/>
        <w:rPr>
          <w:sz w:val="20"/>
          <w:szCs w:val="20"/>
          <w:color w:val="auto"/>
        </w:rPr>
      </w:pPr>
    </w:p>
    <w:p>
      <w:pPr>
        <w:ind w:right="160"/>
        <w:spacing w:after="0" w:line="348" w:lineRule="auto"/>
        <w:rPr>
          <w:sz w:val="20"/>
          <w:szCs w:val="20"/>
          <w:color w:val="auto"/>
        </w:rPr>
      </w:pPr>
      <w:r>
        <w:rPr>
          <w:rFonts w:ascii="Arial" w:cs="Arial" w:eastAsia="Arial" w:hAnsi="Arial"/>
          <w:sz w:val="16"/>
          <w:szCs w:val="16"/>
          <w:color w:val="auto"/>
        </w:rPr>
        <w:t>The following table sets forth certain information about our executive officers and their respective ages as of November 1, 2021. Officers are elected by the board of directors to hold office until their successors are elected and qualified.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2336800</wp:posOffset>
            </wp:positionH>
            <wp:positionV relativeFrom="paragraph">
              <wp:posOffset>88900</wp:posOffset>
            </wp:positionV>
            <wp:extent cx="8255" cy="18859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255" cy="188595"/>
                    </a:xfrm>
                    <a:prstGeom prst="rect">
                      <a:avLst/>
                    </a:prstGeom>
                    <a:noFill/>
                  </pic:spPr>
                </pic:pic>
              </a:graphicData>
            </a:graphic>
          </wp:anchor>
        </w:drawing>
        <w:drawing>
          <wp:anchor simplePos="0" relativeHeight="251657728" behindDoc="1" locked="0" layoutInCell="0" allowOverlap="1">
            <wp:simplePos x="0" y="0"/>
            <wp:positionH relativeFrom="column">
              <wp:posOffset>1916430</wp:posOffset>
            </wp:positionH>
            <wp:positionV relativeFrom="paragraph">
              <wp:posOffset>88900</wp:posOffset>
            </wp:positionV>
            <wp:extent cx="8255" cy="18859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255" cy="188595"/>
                    </a:xfrm>
                    <a:prstGeom prst="rect">
                      <a:avLst/>
                    </a:prstGeom>
                    <a:noFill/>
                  </pic:spPr>
                </pic:pic>
              </a:graphicData>
            </a:graphic>
          </wp:anchor>
        </w:drawing>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020" w:type="dxa"/>
            <w:vAlign w:val="bottom"/>
            <w:shd w:val="clear" w:color="auto" w:fill="000000"/>
          </w:tcPr>
          <w:p>
            <w:pPr>
              <w:ind w:left="100"/>
              <w:spacing w:after="0"/>
              <w:rPr>
                <w:sz w:val="20"/>
                <w:szCs w:val="20"/>
                <w:color w:val="auto"/>
              </w:rPr>
            </w:pPr>
            <w:r>
              <w:rPr>
                <w:rFonts w:ascii="Arial" w:cs="Arial" w:eastAsia="Arial" w:hAnsi="Arial"/>
                <w:sz w:val="16"/>
                <w:szCs w:val="16"/>
                <w:b w:val="1"/>
                <w:bCs w:val="1"/>
                <w:color w:val="FFFFFF"/>
              </w:rPr>
              <w:t>Name</w:t>
            </w:r>
          </w:p>
        </w:tc>
        <w:tc>
          <w:tcPr>
            <w:tcW w:w="660" w:type="dxa"/>
            <w:vAlign w:val="bottom"/>
            <w:shd w:val="clear" w:color="auto" w:fill="2B338D"/>
          </w:tcPr>
          <w:p>
            <w:pPr>
              <w:jc w:val="center"/>
              <w:spacing w:after="0"/>
              <w:rPr>
                <w:sz w:val="20"/>
                <w:szCs w:val="20"/>
                <w:color w:val="auto"/>
              </w:rPr>
            </w:pPr>
            <w:r>
              <w:rPr>
                <w:rFonts w:ascii="Arial" w:cs="Arial" w:eastAsia="Arial" w:hAnsi="Arial"/>
                <w:sz w:val="16"/>
                <w:szCs w:val="16"/>
                <w:b w:val="1"/>
                <w:bCs w:val="1"/>
                <w:color w:val="FFFFFF"/>
                <w:w w:val="99"/>
              </w:rPr>
              <w:t>Age</w:t>
            </w:r>
          </w:p>
        </w:tc>
        <w:tc>
          <w:tcPr>
            <w:tcW w:w="7560" w:type="dxa"/>
            <w:vAlign w:val="bottom"/>
            <w:shd w:val="clear" w:color="auto" w:fill="009ADA"/>
          </w:tcPr>
          <w:p>
            <w:pPr>
              <w:ind w:left="120"/>
              <w:spacing w:after="0"/>
              <w:rPr>
                <w:sz w:val="20"/>
                <w:szCs w:val="20"/>
                <w:color w:val="auto"/>
              </w:rPr>
            </w:pPr>
            <w:r>
              <w:rPr>
                <w:rFonts w:ascii="Arial" w:cs="Arial" w:eastAsia="Arial" w:hAnsi="Arial"/>
                <w:sz w:val="16"/>
                <w:szCs w:val="16"/>
                <w:b w:val="1"/>
                <w:bCs w:val="1"/>
                <w:color w:val="FFFFFF"/>
              </w:rPr>
              <w:t>Position</w:t>
            </w:r>
          </w:p>
        </w:tc>
      </w:tr>
      <w:tr>
        <w:trPr>
          <w:trHeight w:val="62"/>
        </w:trPr>
        <w:tc>
          <w:tcPr>
            <w:tcW w:w="3020" w:type="dxa"/>
            <w:vAlign w:val="bottom"/>
            <w:shd w:val="clear" w:color="auto" w:fill="000000"/>
          </w:tcPr>
          <w:p>
            <w:pPr>
              <w:spacing w:after="0"/>
              <w:rPr>
                <w:sz w:val="5"/>
                <w:szCs w:val="5"/>
                <w:color w:val="auto"/>
              </w:rPr>
            </w:pPr>
          </w:p>
        </w:tc>
        <w:tc>
          <w:tcPr>
            <w:tcW w:w="660" w:type="dxa"/>
            <w:vAlign w:val="bottom"/>
            <w:shd w:val="clear" w:color="auto" w:fill="2B338D"/>
          </w:tcPr>
          <w:p>
            <w:pPr>
              <w:spacing w:after="0"/>
              <w:rPr>
                <w:sz w:val="5"/>
                <w:szCs w:val="5"/>
                <w:color w:val="auto"/>
              </w:rPr>
            </w:pPr>
          </w:p>
        </w:tc>
        <w:tc>
          <w:tcPr>
            <w:tcW w:w="7560" w:type="dxa"/>
            <w:vAlign w:val="bottom"/>
            <w:shd w:val="clear" w:color="auto" w:fill="009ADA"/>
          </w:tcPr>
          <w:p>
            <w:pPr>
              <w:spacing w:after="0"/>
              <w:rPr>
                <w:sz w:val="5"/>
                <w:szCs w:val="5"/>
                <w:color w:val="auto"/>
              </w:rPr>
            </w:pPr>
          </w:p>
        </w:tc>
      </w:tr>
      <w:tr>
        <w:trPr>
          <w:trHeight w:val="231"/>
        </w:trPr>
        <w:tc>
          <w:tcPr>
            <w:tcW w:w="3020" w:type="dxa"/>
            <w:vAlign w:val="bottom"/>
          </w:tcPr>
          <w:p>
            <w:pPr>
              <w:ind w:left="100"/>
              <w:spacing w:after="0"/>
              <w:rPr>
                <w:sz w:val="20"/>
                <w:szCs w:val="20"/>
                <w:color w:val="auto"/>
              </w:rPr>
            </w:pPr>
            <w:r>
              <w:rPr>
                <w:rFonts w:ascii="Arial" w:cs="Arial" w:eastAsia="Arial" w:hAnsi="Arial"/>
                <w:sz w:val="14"/>
                <w:szCs w:val="14"/>
                <w:b w:val="1"/>
                <w:bCs w:val="1"/>
                <w:color w:val="auto"/>
              </w:rPr>
              <w:t>Jay Chaudhry</w:t>
            </w:r>
          </w:p>
        </w:tc>
        <w:tc>
          <w:tcPr>
            <w:tcW w:w="660" w:type="dxa"/>
            <w:vAlign w:val="bottom"/>
          </w:tcPr>
          <w:p>
            <w:pPr>
              <w:jc w:val="center"/>
              <w:spacing w:after="0"/>
              <w:rPr>
                <w:sz w:val="20"/>
                <w:szCs w:val="20"/>
                <w:color w:val="auto"/>
              </w:rPr>
            </w:pPr>
            <w:r>
              <w:rPr>
                <w:rFonts w:ascii="Arial" w:cs="Arial" w:eastAsia="Arial" w:hAnsi="Arial"/>
                <w:sz w:val="14"/>
                <w:szCs w:val="14"/>
                <w:color w:val="auto"/>
              </w:rPr>
              <w:t>63</w:t>
            </w:r>
          </w:p>
        </w:tc>
        <w:tc>
          <w:tcPr>
            <w:tcW w:w="7560" w:type="dxa"/>
            <w:vAlign w:val="bottom"/>
          </w:tcPr>
          <w:p>
            <w:pPr>
              <w:ind w:left="100"/>
              <w:spacing w:after="0"/>
              <w:rPr>
                <w:sz w:val="20"/>
                <w:szCs w:val="20"/>
                <w:color w:val="auto"/>
              </w:rPr>
            </w:pPr>
            <w:r>
              <w:rPr>
                <w:rFonts w:ascii="Arial" w:cs="Arial" w:eastAsia="Arial" w:hAnsi="Arial"/>
                <w:sz w:val="14"/>
                <w:szCs w:val="14"/>
                <w:color w:val="auto"/>
              </w:rPr>
              <w:t>President, Chief Executive Officer and Chairman of the Board</w:t>
            </w:r>
          </w:p>
        </w:tc>
      </w:tr>
      <w:tr>
        <w:trPr>
          <w:trHeight w:val="53"/>
        </w:trPr>
        <w:tc>
          <w:tcPr>
            <w:tcW w:w="30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7560" w:type="dxa"/>
            <w:vAlign w:val="bottom"/>
            <w:tcBorders>
              <w:bottom w:val="single" w:sz="8" w:color="auto"/>
            </w:tcBorders>
          </w:tcPr>
          <w:p>
            <w:pPr>
              <w:spacing w:after="0"/>
              <w:rPr>
                <w:sz w:val="4"/>
                <w:szCs w:val="4"/>
                <w:color w:val="auto"/>
              </w:rPr>
            </w:pPr>
          </w:p>
        </w:tc>
      </w:tr>
      <w:tr>
        <w:trPr>
          <w:trHeight w:val="224"/>
        </w:trPr>
        <w:tc>
          <w:tcPr>
            <w:tcW w:w="3020" w:type="dxa"/>
            <w:vAlign w:val="bottom"/>
          </w:tcPr>
          <w:p>
            <w:pPr>
              <w:ind w:left="100"/>
              <w:spacing w:after="0"/>
              <w:rPr>
                <w:sz w:val="20"/>
                <w:szCs w:val="20"/>
                <w:color w:val="auto"/>
              </w:rPr>
            </w:pPr>
            <w:r>
              <w:rPr>
                <w:rFonts w:ascii="Arial" w:cs="Arial" w:eastAsia="Arial" w:hAnsi="Arial"/>
                <w:sz w:val="14"/>
                <w:szCs w:val="14"/>
                <w:b w:val="1"/>
                <w:bCs w:val="1"/>
                <w:color w:val="auto"/>
              </w:rPr>
              <w:t>Remo Canessa</w:t>
            </w:r>
          </w:p>
        </w:tc>
        <w:tc>
          <w:tcPr>
            <w:tcW w:w="660" w:type="dxa"/>
            <w:vAlign w:val="bottom"/>
          </w:tcPr>
          <w:p>
            <w:pPr>
              <w:jc w:val="center"/>
              <w:spacing w:after="0"/>
              <w:rPr>
                <w:sz w:val="20"/>
                <w:szCs w:val="20"/>
                <w:color w:val="auto"/>
              </w:rPr>
            </w:pPr>
            <w:r>
              <w:rPr>
                <w:rFonts w:ascii="Arial" w:cs="Arial" w:eastAsia="Arial" w:hAnsi="Arial"/>
                <w:sz w:val="14"/>
                <w:szCs w:val="14"/>
                <w:color w:val="auto"/>
              </w:rPr>
              <w:t>64</w:t>
            </w:r>
          </w:p>
        </w:tc>
        <w:tc>
          <w:tcPr>
            <w:tcW w:w="7560" w:type="dxa"/>
            <w:vAlign w:val="bottom"/>
          </w:tcPr>
          <w:p>
            <w:pPr>
              <w:ind w:left="100"/>
              <w:spacing w:after="0"/>
              <w:rPr>
                <w:sz w:val="20"/>
                <w:szCs w:val="20"/>
                <w:color w:val="auto"/>
              </w:rPr>
            </w:pPr>
            <w:r>
              <w:rPr>
                <w:rFonts w:ascii="Arial" w:cs="Arial" w:eastAsia="Arial" w:hAnsi="Arial"/>
                <w:sz w:val="14"/>
                <w:szCs w:val="14"/>
                <w:color w:val="auto"/>
              </w:rPr>
              <w:t>Chief Financial Officer</w:t>
            </w:r>
          </w:p>
        </w:tc>
      </w:tr>
      <w:tr>
        <w:trPr>
          <w:trHeight w:val="53"/>
        </w:trPr>
        <w:tc>
          <w:tcPr>
            <w:tcW w:w="30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7560" w:type="dxa"/>
            <w:vAlign w:val="bottom"/>
            <w:tcBorders>
              <w:bottom w:val="single" w:sz="8" w:color="auto"/>
            </w:tcBorders>
          </w:tcPr>
          <w:p>
            <w:pPr>
              <w:spacing w:after="0"/>
              <w:rPr>
                <w:sz w:val="4"/>
                <w:szCs w:val="4"/>
                <w:color w:val="auto"/>
              </w:rPr>
            </w:pPr>
          </w:p>
        </w:tc>
      </w:tr>
      <w:tr>
        <w:trPr>
          <w:trHeight w:val="224"/>
        </w:trPr>
        <w:tc>
          <w:tcPr>
            <w:tcW w:w="3020" w:type="dxa"/>
            <w:vAlign w:val="bottom"/>
          </w:tcPr>
          <w:p>
            <w:pPr>
              <w:ind w:left="100"/>
              <w:spacing w:after="0"/>
              <w:rPr>
                <w:sz w:val="20"/>
                <w:szCs w:val="20"/>
                <w:color w:val="auto"/>
              </w:rPr>
            </w:pPr>
            <w:r>
              <w:rPr>
                <w:rFonts w:ascii="Arial" w:cs="Arial" w:eastAsia="Arial" w:hAnsi="Arial"/>
                <w:sz w:val="14"/>
                <w:szCs w:val="14"/>
                <w:b w:val="1"/>
                <w:bCs w:val="1"/>
                <w:color w:val="auto"/>
              </w:rPr>
              <w:t>Amit Sinha, Ph.D.</w:t>
            </w:r>
          </w:p>
        </w:tc>
        <w:tc>
          <w:tcPr>
            <w:tcW w:w="660" w:type="dxa"/>
            <w:vAlign w:val="bottom"/>
          </w:tcPr>
          <w:p>
            <w:pPr>
              <w:jc w:val="center"/>
              <w:spacing w:after="0"/>
              <w:rPr>
                <w:sz w:val="20"/>
                <w:szCs w:val="20"/>
                <w:color w:val="auto"/>
              </w:rPr>
            </w:pPr>
            <w:r>
              <w:rPr>
                <w:rFonts w:ascii="Arial" w:cs="Arial" w:eastAsia="Arial" w:hAnsi="Arial"/>
                <w:sz w:val="14"/>
                <w:szCs w:val="14"/>
                <w:color w:val="auto"/>
              </w:rPr>
              <w:t>45</w:t>
            </w:r>
          </w:p>
        </w:tc>
        <w:tc>
          <w:tcPr>
            <w:tcW w:w="7560" w:type="dxa"/>
            <w:vAlign w:val="bottom"/>
          </w:tcPr>
          <w:p>
            <w:pPr>
              <w:ind w:left="100"/>
              <w:spacing w:after="0"/>
              <w:rPr>
                <w:sz w:val="20"/>
                <w:szCs w:val="20"/>
                <w:color w:val="auto"/>
              </w:rPr>
            </w:pPr>
            <w:r>
              <w:rPr>
                <w:rFonts w:ascii="Arial" w:cs="Arial" w:eastAsia="Arial" w:hAnsi="Arial"/>
                <w:sz w:val="14"/>
                <w:szCs w:val="14"/>
                <w:color w:val="auto"/>
              </w:rPr>
              <w:t>President of Research and Development, Operations and Customer Service, Chief Technology Officer and Director</w:t>
            </w:r>
          </w:p>
        </w:tc>
      </w:tr>
      <w:tr>
        <w:trPr>
          <w:trHeight w:val="53"/>
        </w:trPr>
        <w:tc>
          <w:tcPr>
            <w:tcW w:w="30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7560" w:type="dxa"/>
            <w:vAlign w:val="bottom"/>
            <w:tcBorders>
              <w:bottom w:val="single" w:sz="8" w:color="auto"/>
            </w:tcBorders>
          </w:tcPr>
          <w:p>
            <w:pPr>
              <w:spacing w:after="0"/>
              <w:rPr>
                <w:sz w:val="4"/>
                <w:szCs w:val="4"/>
                <w:color w:val="auto"/>
              </w:rPr>
            </w:pPr>
          </w:p>
        </w:tc>
      </w:tr>
      <w:tr>
        <w:trPr>
          <w:trHeight w:val="224"/>
        </w:trPr>
        <w:tc>
          <w:tcPr>
            <w:tcW w:w="3020" w:type="dxa"/>
            <w:vAlign w:val="bottom"/>
          </w:tcPr>
          <w:p>
            <w:pPr>
              <w:ind w:left="100"/>
              <w:spacing w:after="0"/>
              <w:rPr>
                <w:sz w:val="20"/>
                <w:szCs w:val="20"/>
                <w:color w:val="auto"/>
              </w:rPr>
            </w:pPr>
            <w:r>
              <w:rPr>
                <w:rFonts w:ascii="Arial" w:cs="Arial" w:eastAsia="Arial" w:hAnsi="Arial"/>
                <w:sz w:val="14"/>
                <w:szCs w:val="14"/>
                <w:b w:val="1"/>
                <w:bCs w:val="1"/>
                <w:color w:val="auto"/>
              </w:rPr>
              <w:t>Dali Rajic</w:t>
            </w:r>
          </w:p>
        </w:tc>
        <w:tc>
          <w:tcPr>
            <w:tcW w:w="660" w:type="dxa"/>
            <w:vAlign w:val="bottom"/>
          </w:tcPr>
          <w:p>
            <w:pPr>
              <w:jc w:val="center"/>
              <w:spacing w:after="0"/>
              <w:rPr>
                <w:sz w:val="20"/>
                <w:szCs w:val="20"/>
                <w:color w:val="auto"/>
              </w:rPr>
            </w:pPr>
            <w:r>
              <w:rPr>
                <w:rFonts w:ascii="Arial" w:cs="Arial" w:eastAsia="Arial" w:hAnsi="Arial"/>
                <w:sz w:val="14"/>
                <w:szCs w:val="14"/>
                <w:color w:val="auto"/>
              </w:rPr>
              <w:t>48</w:t>
            </w:r>
          </w:p>
        </w:tc>
        <w:tc>
          <w:tcPr>
            <w:tcW w:w="7560" w:type="dxa"/>
            <w:vAlign w:val="bottom"/>
          </w:tcPr>
          <w:p>
            <w:pPr>
              <w:ind w:left="100"/>
              <w:spacing w:after="0"/>
              <w:rPr>
                <w:sz w:val="20"/>
                <w:szCs w:val="20"/>
                <w:color w:val="auto"/>
              </w:rPr>
            </w:pPr>
            <w:r>
              <w:rPr>
                <w:rFonts w:ascii="Arial" w:cs="Arial" w:eastAsia="Arial" w:hAnsi="Arial"/>
                <w:sz w:val="14"/>
                <w:szCs w:val="14"/>
                <w:color w:val="auto"/>
              </w:rPr>
              <w:t>President Go-To-Market and Chief Revenue Officer</w:t>
            </w:r>
          </w:p>
        </w:tc>
      </w:tr>
      <w:tr>
        <w:trPr>
          <w:trHeight w:val="53"/>
        </w:trPr>
        <w:tc>
          <w:tcPr>
            <w:tcW w:w="30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7560" w:type="dxa"/>
            <w:vAlign w:val="bottom"/>
            <w:tcBorders>
              <w:bottom w:val="single" w:sz="8" w:color="auto"/>
            </w:tcBorders>
          </w:tcPr>
          <w:p>
            <w:pPr>
              <w:spacing w:after="0"/>
              <w:rPr>
                <w:sz w:val="4"/>
                <w:szCs w:val="4"/>
                <w:color w:val="auto"/>
              </w:rPr>
            </w:pPr>
          </w:p>
        </w:tc>
      </w:tr>
      <w:tr>
        <w:trPr>
          <w:trHeight w:val="224"/>
        </w:trPr>
        <w:tc>
          <w:tcPr>
            <w:tcW w:w="3020" w:type="dxa"/>
            <w:vAlign w:val="bottom"/>
          </w:tcPr>
          <w:p>
            <w:pPr>
              <w:ind w:left="100"/>
              <w:spacing w:after="0"/>
              <w:rPr>
                <w:sz w:val="20"/>
                <w:szCs w:val="20"/>
                <w:color w:val="auto"/>
              </w:rPr>
            </w:pPr>
            <w:r>
              <w:rPr>
                <w:rFonts w:ascii="Arial" w:cs="Arial" w:eastAsia="Arial" w:hAnsi="Arial"/>
                <w:sz w:val="14"/>
                <w:szCs w:val="14"/>
                <w:b w:val="1"/>
                <w:bCs w:val="1"/>
                <w:color w:val="auto"/>
              </w:rPr>
              <w:t>Robert Schlossman</w:t>
            </w:r>
          </w:p>
        </w:tc>
        <w:tc>
          <w:tcPr>
            <w:tcW w:w="660" w:type="dxa"/>
            <w:vAlign w:val="bottom"/>
          </w:tcPr>
          <w:p>
            <w:pPr>
              <w:jc w:val="center"/>
              <w:spacing w:after="0"/>
              <w:rPr>
                <w:sz w:val="20"/>
                <w:szCs w:val="20"/>
                <w:color w:val="auto"/>
              </w:rPr>
            </w:pPr>
            <w:r>
              <w:rPr>
                <w:rFonts w:ascii="Arial" w:cs="Arial" w:eastAsia="Arial" w:hAnsi="Arial"/>
                <w:sz w:val="14"/>
                <w:szCs w:val="14"/>
                <w:color w:val="auto"/>
              </w:rPr>
              <w:t>53</w:t>
            </w:r>
          </w:p>
        </w:tc>
        <w:tc>
          <w:tcPr>
            <w:tcW w:w="7560" w:type="dxa"/>
            <w:vAlign w:val="bottom"/>
          </w:tcPr>
          <w:p>
            <w:pPr>
              <w:ind w:left="100"/>
              <w:spacing w:after="0"/>
              <w:rPr>
                <w:sz w:val="20"/>
                <w:szCs w:val="20"/>
                <w:color w:val="auto"/>
              </w:rPr>
            </w:pPr>
            <w:r>
              <w:rPr>
                <w:rFonts w:ascii="Arial" w:cs="Arial" w:eastAsia="Arial" w:hAnsi="Arial"/>
                <w:sz w:val="14"/>
                <w:szCs w:val="14"/>
                <w:color w:val="auto"/>
              </w:rPr>
              <w:t>Chief Legal Officer and Secretary</w:t>
            </w:r>
          </w:p>
        </w:tc>
      </w:tr>
      <w:tr>
        <w:trPr>
          <w:trHeight w:val="53"/>
        </w:trPr>
        <w:tc>
          <w:tcPr>
            <w:tcW w:w="30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7560" w:type="dxa"/>
            <w:vAlign w:val="bottom"/>
            <w:tcBorders>
              <w:bottom w:val="single" w:sz="8" w:color="auto"/>
            </w:tcBorders>
          </w:tcPr>
          <w:p>
            <w:pPr>
              <w:spacing w:after="0"/>
              <w:rPr>
                <w:sz w:val="4"/>
                <w:szCs w:val="4"/>
                <w:color w:val="auto"/>
              </w:rPr>
            </w:pPr>
          </w:p>
        </w:tc>
      </w:tr>
    </w:tbl>
    <w:p>
      <w:pPr>
        <w:spacing w:after="0" w:line="37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For the biographies of </w:t>
      </w:r>
      <w:r>
        <w:rPr>
          <w:rFonts w:ascii="Arial" w:cs="Arial" w:eastAsia="Arial" w:hAnsi="Arial"/>
          <w:sz w:val="16"/>
          <w:szCs w:val="16"/>
          <w:b w:val="1"/>
          <w:bCs w:val="1"/>
          <w:color w:val="auto"/>
        </w:rPr>
        <w:t>Mr. Chaudhry</w:t>
      </w:r>
      <w:r>
        <w:rPr>
          <w:rFonts w:ascii="Arial" w:cs="Arial" w:eastAsia="Arial" w:hAnsi="Arial"/>
          <w:sz w:val="16"/>
          <w:szCs w:val="16"/>
          <w:color w:val="auto"/>
        </w:rPr>
        <w:t xml:space="preserve"> and </w:t>
      </w:r>
      <w:r>
        <w:rPr>
          <w:rFonts w:ascii="Arial" w:cs="Arial" w:eastAsia="Arial" w:hAnsi="Arial"/>
          <w:sz w:val="16"/>
          <w:szCs w:val="16"/>
          <w:b w:val="1"/>
          <w:bCs w:val="1"/>
          <w:color w:val="auto"/>
        </w:rPr>
        <w:t>Dr. Sinha</w:t>
      </w:r>
      <w:r>
        <w:rPr>
          <w:rFonts w:ascii="Arial" w:cs="Arial" w:eastAsia="Arial" w:hAnsi="Arial"/>
          <w:sz w:val="16"/>
          <w:szCs w:val="16"/>
          <w:color w:val="auto"/>
        </w:rPr>
        <w:t xml:space="preserve">, see </w:t>
      </w:r>
      <w:r>
        <w:rPr>
          <w:rFonts w:ascii="Arial" w:cs="Arial" w:eastAsia="Arial" w:hAnsi="Arial"/>
          <w:sz w:val="16"/>
          <w:szCs w:val="16"/>
          <w:i w:val="1"/>
          <w:iCs w:val="1"/>
          <w:color w:val="auto"/>
        </w:rPr>
        <w:t>“Board of Directors and Corporate Governance—Continuing Directors.”</w:t>
      </w:r>
    </w:p>
    <w:p>
      <w:pPr>
        <w:spacing w:after="0" w:line="235" w:lineRule="exact"/>
        <w:rPr>
          <w:sz w:val="20"/>
          <w:szCs w:val="20"/>
          <w:color w:val="auto"/>
        </w:rPr>
      </w:pPr>
    </w:p>
    <w:p>
      <w:pPr>
        <w:ind w:right="200"/>
        <w:spacing w:after="0" w:line="344" w:lineRule="auto"/>
        <w:rPr>
          <w:sz w:val="20"/>
          <w:szCs w:val="20"/>
          <w:color w:val="auto"/>
        </w:rPr>
      </w:pPr>
      <w:r>
        <w:rPr>
          <w:rFonts w:ascii="Arial" w:cs="Arial" w:eastAsia="Arial" w:hAnsi="Arial"/>
          <w:sz w:val="16"/>
          <w:szCs w:val="16"/>
          <w:b w:val="1"/>
          <w:bCs w:val="1"/>
          <w:color w:val="auto"/>
        </w:rPr>
        <w:t xml:space="preserve">Remo E. Canessa </w:t>
      </w:r>
      <w:r>
        <w:rPr>
          <w:rFonts w:ascii="Arial" w:cs="Arial" w:eastAsia="Arial" w:hAnsi="Arial"/>
          <w:sz w:val="16"/>
          <w:szCs w:val="16"/>
          <w:color w:val="auto"/>
        </w:rPr>
        <w:t>has served as our chief financial officer since February 2017. Prior to joining us, he served as chief financial officer of Illumio Inc., a</w:t>
      </w:r>
      <w:r>
        <w:rPr>
          <w:rFonts w:ascii="Arial" w:cs="Arial" w:eastAsia="Arial" w:hAnsi="Arial"/>
          <w:sz w:val="16"/>
          <w:szCs w:val="16"/>
          <w:b w:val="1"/>
          <w:bCs w:val="1"/>
          <w:color w:val="auto"/>
        </w:rPr>
        <w:t xml:space="preserve"> </w:t>
      </w:r>
      <w:r>
        <w:rPr>
          <w:rFonts w:ascii="Arial" w:cs="Arial" w:eastAsia="Arial" w:hAnsi="Arial"/>
          <w:sz w:val="16"/>
          <w:szCs w:val="16"/>
          <w:color w:val="auto"/>
        </w:rPr>
        <w:t>private cybersecurity company, from July 2016 to February 2017. Mr. Canessa is a certified public accountant (inactive), and he holds a B.A. in economics from the University of California, Berkeley and an M.B.A. from Santa Clara University. Mr. Canessa previously served on the board of directors of Aerohive Networks, Inc., a cloud-managed mobile networking platform provider, where he was chairman of the audit committee and a member of the compensation committee.</w:t>
      </w:r>
    </w:p>
    <w:p>
      <w:pPr>
        <w:spacing w:after="0" w:line="126" w:lineRule="exact"/>
        <w:rPr>
          <w:sz w:val="20"/>
          <w:szCs w:val="20"/>
          <w:color w:val="auto"/>
        </w:rPr>
      </w:pPr>
    </w:p>
    <w:p>
      <w:pPr>
        <w:ind w:right="80"/>
        <w:spacing w:after="0" w:line="343" w:lineRule="auto"/>
        <w:rPr>
          <w:sz w:val="20"/>
          <w:szCs w:val="20"/>
          <w:color w:val="auto"/>
        </w:rPr>
      </w:pPr>
      <w:r>
        <w:rPr>
          <w:rFonts w:ascii="Arial" w:cs="Arial" w:eastAsia="Arial" w:hAnsi="Arial"/>
          <w:sz w:val="16"/>
          <w:szCs w:val="16"/>
          <w:b w:val="1"/>
          <w:bCs w:val="1"/>
          <w:color w:val="auto"/>
        </w:rPr>
        <w:t xml:space="preserve">Dali Rajic </w:t>
      </w:r>
      <w:r>
        <w:rPr>
          <w:rFonts w:ascii="Arial" w:cs="Arial" w:eastAsia="Arial" w:hAnsi="Arial"/>
          <w:sz w:val="16"/>
          <w:szCs w:val="16"/>
          <w:color w:val="auto"/>
        </w:rPr>
        <w:t>has served as our president go-to-market and chief revenue officer since September 2019. Prior to joining us, he served as chief customer officer</w:t>
      </w:r>
      <w:r>
        <w:rPr>
          <w:rFonts w:ascii="Arial" w:cs="Arial" w:eastAsia="Arial" w:hAnsi="Arial"/>
          <w:sz w:val="16"/>
          <w:szCs w:val="16"/>
          <w:b w:val="1"/>
          <w:bCs w:val="1"/>
          <w:color w:val="auto"/>
        </w:rPr>
        <w:t xml:space="preserve"> </w:t>
      </w:r>
      <w:r>
        <w:rPr>
          <w:rFonts w:ascii="Arial" w:cs="Arial" w:eastAsia="Arial" w:hAnsi="Arial"/>
          <w:sz w:val="16"/>
          <w:szCs w:val="16"/>
          <w:color w:val="auto"/>
        </w:rPr>
        <w:t>from February 2018 and as chief revenue officer from August 2016 to September 2019 at AppDynamics, Inc., an application performance management company and subsidiary of Cisco Systems, Inc. From April 2012 to August 2016, Mr. Rajic served in multiple sales executive roles at AppDynamics.</w:t>
      </w:r>
    </w:p>
    <w:p>
      <w:pPr>
        <w:spacing w:after="0" w:line="1" w:lineRule="exact"/>
        <w:rPr>
          <w:sz w:val="20"/>
          <w:szCs w:val="20"/>
          <w:color w:val="auto"/>
        </w:rPr>
      </w:pPr>
    </w:p>
    <w:p>
      <w:pPr>
        <w:ind w:right="260"/>
        <w:spacing w:after="0" w:line="348" w:lineRule="auto"/>
        <w:rPr>
          <w:sz w:val="20"/>
          <w:szCs w:val="20"/>
          <w:color w:val="auto"/>
        </w:rPr>
      </w:pPr>
      <w:r>
        <w:rPr>
          <w:rFonts w:ascii="Arial" w:cs="Arial" w:eastAsia="Arial" w:hAnsi="Arial"/>
          <w:sz w:val="16"/>
          <w:szCs w:val="16"/>
          <w:color w:val="auto"/>
        </w:rPr>
        <w:t>Mr. Rajic holds a B.S. in international marketing from California State Polytechnic University, Pomona and an M.B.A. from the Kellogg Graduate School of Management at Northwestern University.</w:t>
      </w:r>
    </w:p>
    <w:p>
      <w:pPr>
        <w:spacing w:after="0" w:line="121" w:lineRule="exact"/>
        <w:rPr>
          <w:sz w:val="20"/>
          <w:szCs w:val="20"/>
          <w:color w:val="auto"/>
        </w:rPr>
      </w:pPr>
    </w:p>
    <w:p>
      <w:pPr>
        <w:ind w:right="580"/>
        <w:spacing w:after="0" w:line="374" w:lineRule="auto"/>
        <w:rPr>
          <w:sz w:val="20"/>
          <w:szCs w:val="20"/>
          <w:color w:val="auto"/>
        </w:rPr>
      </w:pPr>
      <w:r>
        <w:rPr>
          <w:rFonts w:ascii="Arial" w:cs="Arial" w:eastAsia="Arial" w:hAnsi="Arial"/>
          <w:sz w:val="16"/>
          <w:szCs w:val="16"/>
          <w:b w:val="1"/>
          <w:bCs w:val="1"/>
          <w:color w:val="auto"/>
        </w:rPr>
        <w:t xml:space="preserve">Robert Schlossman </w:t>
      </w:r>
      <w:r>
        <w:rPr>
          <w:rFonts w:ascii="Arial" w:cs="Arial" w:eastAsia="Arial" w:hAnsi="Arial"/>
          <w:sz w:val="16"/>
          <w:szCs w:val="16"/>
          <w:color w:val="auto"/>
        </w:rPr>
        <w:t>has served as our chief legal officer and our secretary since February 2016. Mr. Schlossman holds a J.D. from the University of</w:t>
      </w:r>
      <w:r>
        <w:rPr>
          <w:rFonts w:ascii="Arial" w:cs="Arial" w:eastAsia="Arial" w:hAnsi="Arial"/>
          <w:sz w:val="16"/>
          <w:szCs w:val="16"/>
          <w:b w:val="1"/>
          <w:bCs w:val="1"/>
          <w:color w:val="auto"/>
        </w:rPr>
        <w:t xml:space="preserve"> </w:t>
      </w:r>
      <w:r>
        <w:rPr>
          <w:rFonts w:ascii="Arial" w:cs="Arial" w:eastAsia="Arial" w:hAnsi="Arial"/>
          <w:sz w:val="16"/>
          <w:szCs w:val="16"/>
          <w:color w:val="auto"/>
        </w:rPr>
        <w:t>California, Berkeley School of Law, as well as an M.A. and B.A. in English from Stanford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238760</wp:posOffset>
            </wp:positionV>
            <wp:extent cx="342900" cy="21463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42900" cy="214630"/>
                    </a:xfrm>
                    <a:prstGeom prst="rect">
                      <a:avLst/>
                    </a:prstGeom>
                    <a:noFill/>
                  </pic:spPr>
                </pic:pic>
              </a:graphicData>
            </a:graphic>
          </wp:anchor>
        </w:drawing>
      </w:r>
    </w:p>
    <w:p>
      <w:pPr>
        <w:spacing w:after="0" w:line="294" w:lineRule="exact"/>
        <w:rPr>
          <w:sz w:val="20"/>
          <w:szCs w:val="20"/>
          <w:color w:val="auto"/>
        </w:rPr>
      </w:pPr>
    </w:p>
    <w:p>
      <w:pPr>
        <w:jc w:val="both"/>
        <w:ind w:left="5540"/>
        <w:spacing w:after="0"/>
        <w:tabs>
          <w:tab w:leader="none" w:pos="9780" w:val="left"/>
        </w:tabs>
        <w:rPr>
          <w:sz w:val="20"/>
          <w:szCs w:val="20"/>
          <w:color w:val="auto"/>
        </w:rPr>
      </w:pPr>
      <w:r>
        <w:rPr>
          <w:rFonts w:ascii="Arial" w:cs="Arial" w:eastAsia="Arial" w:hAnsi="Arial"/>
          <w:sz w:val="29"/>
          <w:szCs w:val="29"/>
          <w:color w:val="auto"/>
          <w:vertAlign w:val="superscript"/>
        </w:rPr>
        <w:t>35</w:t>
      </w:r>
      <w:r>
        <w:rPr>
          <w:sz w:val="20"/>
          <w:szCs w:val="20"/>
          <w:color w:val="auto"/>
        </w:rPr>
        <w:tab/>
      </w:r>
      <w:r>
        <w:rPr>
          <w:rFonts w:ascii="Arial" w:cs="Arial" w:eastAsia="Arial" w:hAnsi="Arial"/>
          <w:sz w:val="14"/>
          <w:szCs w:val="14"/>
          <w:color w:val="auto"/>
        </w:rPr>
        <w:t>2021 Proxy Statement</w:t>
      </w:r>
    </w:p>
    <w:p>
      <w:pPr>
        <w:sectPr>
          <w:pgSz w:w="11900" w:h="16838" w:orient="portrait"/>
          <w:cols w:equalWidth="0" w:num="1">
            <w:col w:w="11240"/>
          </w:cols>
          <w:pgMar w:left="320" w:top="172" w:right="339" w:bottom="1440" w:gutter="0" w:footer="0" w:header="0"/>
        </w:sectPr>
      </w:pPr>
    </w:p>
    <w:bookmarkStart w:id="39" w:name="page40"/>
    <w:bookmarkEnd w:id="39"/>
    <w:p>
      <w:pPr>
        <w:ind w:left="280"/>
        <w:spacing w:after="0"/>
        <w:rPr>
          <w:sz w:val="20"/>
          <w:szCs w:val="20"/>
          <w:color w:val="auto"/>
        </w:rPr>
      </w:pPr>
      <w:r>
        <w:rPr>
          <w:rFonts w:ascii="Arial" w:cs="Arial" w:eastAsia="Arial" w:hAnsi="Arial"/>
          <w:sz w:val="13"/>
          <w:szCs w:val="13"/>
          <w:b w:val="1"/>
          <w:bCs w:val="1"/>
          <w:color w:val="929292"/>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7470" cy="596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7470" cy="59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54"/>
          <w:szCs w:val="54"/>
          <w:color w:val="auto"/>
        </w:rPr>
        <w:t>Executive Compensation</w:t>
      </w:r>
    </w:p>
    <w:p>
      <w:pPr>
        <w:spacing w:after="0" w:line="67" w:lineRule="exact"/>
        <w:rPr>
          <w:sz w:val="20"/>
          <w:szCs w:val="20"/>
          <w:color w:val="auto"/>
        </w:rPr>
      </w:pPr>
    </w:p>
    <w:p>
      <w:pPr>
        <w:spacing w:after="0"/>
        <w:rPr>
          <w:sz w:val="20"/>
          <w:szCs w:val="20"/>
          <w:color w:val="auto"/>
        </w:rPr>
      </w:pPr>
      <w:r>
        <w:rPr>
          <w:rFonts w:ascii="Arial" w:cs="Arial" w:eastAsia="Arial" w:hAnsi="Arial"/>
          <w:sz w:val="22"/>
          <w:szCs w:val="22"/>
          <w:b w:val="1"/>
          <w:bCs w:val="1"/>
          <w:color w:val="009ADA"/>
        </w:rPr>
        <w:t>Compensation Discussion and Analysis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color w:val="2B338D"/>
        </w:rPr>
        <w:t>Introduction</w:t>
      </w:r>
    </w:p>
    <w:p>
      <w:pPr>
        <w:spacing w:after="0" w:line="147" w:lineRule="exact"/>
        <w:rPr>
          <w:sz w:val="20"/>
          <w:szCs w:val="20"/>
          <w:color w:val="auto"/>
        </w:rPr>
      </w:pPr>
    </w:p>
    <w:p>
      <w:pPr>
        <w:jc w:val="both"/>
        <w:ind w:right="320"/>
        <w:spacing w:after="0" w:line="341" w:lineRule="auto"/>
        <w:rPr>
          <w:sz w:val="20"/>
          <w:szCs w:val="20"/>
          <w:color w:val="auto"/>
        </w:rPr>
      </w:pPr>
      <w:r>
        <w:rPr>
          <w:rFonts w:ascii="Arial" w:cs="Arial" w:eastAsia="Arial" w:hAnsi="Arial"/>
          <w:sz w:val="16"/>
          <w:szCs w:val="16"/>
          <w:color w:val="auto"/>
        </w:rPr>
        <w:t>This Compensation Discussion and Analysis provides information regarding the fiscal 2021 compensation program for our principal executive officer, our principal financial officer, and our three other executive officers at fiscal year-end who were our most highly-compensated executive officers (our “Named Executive Officers”). For fiscal 2021, our Named Executive Officers were:</w:t>
      </w:r>
    </w:p>
    <w:p>
      <w:pPr>
        <w:spacing w:after="0" w:line="147" w:lineRule="exact"/>
        <w:rPr>
          <w:sz w:val="20"/>
          <w:szCs w:val="20"/>
          <w:color w:val="auto"/>
        </w:rPr>
      </w:pPr>
    </w:p>
    <w:p>
      <w:pPr>
        <w:ind w:left="460" w:hanging="128"/>
        <w:spacing w:after="0"/>
        <w:tabs>
          <w:tab w:leader="none" w:pos="4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Jay Chaudhry, our President, Chief Executive Officer and Chairman of the Board (our “CEO”);</w:t>
      </w:r>
    </w:p>
    <w:p>
      <w:pPr>
        <w:spacing w:after="0" w:line="180" w:lineRule="exact"/>
        <w:rPr>
          <w:rFonts w:ascii="Arial" w:cs="Arial" w:eastAsia="Arial" w:hAnsi="Arial"/>
          <w:sz w:val="16"/>
          <w:szCs w:val="16"/>
          <w:color w:val="auto"/>
        </w:rPr>
      </w:pPr>
    </w:p>
    <w:p>
      <w:pPr>
        <w:ind w:left="460" w:hanging="128"/>
        <w:spacing w:after="0"/>
        <w:tabs>
          <w:tab w:leader="none" w:pos="4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Remo E. Canessa, our Chief Financial Officer;</w:t>
      </w:r>
    </w:p>
    <w:p>
      <w:pPr>
        <w:spacing w:after="0" w:line="180" w:lineRule="exact"/>
        <w:rPr>
          <w:rFonts w:ascii="Arial" w:cs="Arial" w:eastAsia="Arial" w:hAnsi="Arial"/>
          <w:sz w:val="16"/>
          <w:szCs w:val="16"/>
          <w:color w:val="auto"/>
        </w:rPr>
      </w:pPr>
    </w:p>
    <w:p>
      <w:pPr>
        <w:ind w:left="460" w:hanging="128"/>
        <w:spacing w:after="0"/>
        <w:tabs>
          <w:tab w:leader="none" w:pos="4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Amit Sinha, Ph.D., our President of Research &amp; Development, Operations &amp; Customer Service, Chief Technology Officer and Director;</w:t>
      </w:r>
    </w:p>
    <w:p>
      <w:pPr>
        <w:spacing w:after="0" w:line="180" w:lineRule="exact"/>
        <w:rPr>
          <w:rFonts w:ascii="Arial" w:cs="Arial" w:eastAsia="Arial" w:hAnsi="Arial"/>
          <w:sz w:val="16"/>
          <w:szCs w:val="16"/>
          <w:color w:val="auto"/>
        </w:rPr>
      </w:pPr>
    </w:p>
    <w:p>
      <w:pPr>
        <w:ind w:left="460" w:hanging="128"/>
        <w:spacing w:after="0"/>
        <w:tabs>
          <w:tab w:leader="none" w:pos="4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Dali Rajic, our President Go-To-Market and Chief Revenue Officer (our "CRO"); and</w:t>
      </w:r>
    </w:p>
    <w:p>
      <w:pPr>
        <w:spacing w:after="0" w:line="180" w:lineRule="exact"/>
        <w:rPr>
          <w:rFonts w:ascii="Arial" w:cs="Arial" w:eastAsia="Arial" w:hAnsi="Arial"/>
          <w:sz w:val="16"/>
          <w:szCs w:val="16"/>
          <w:color w:val="auto"/>
        </w:rPr>
      </w:pPr>
    </w:p>
    <w:p>
      <w:pPr>
        <w:ind w:left="460" w:hanging="128"/>
        <w:spacing w:after="0"/>
        <w:tabs>
          <w:tab w:leader="none" w:pos="4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Robert Schlossman, our Chief Legal Officer and Secretary.</w:t>
      </w:r>
    </w:p>
    <w:p>
      <w:pPr>
        <w:spacing w:after="0" w:line="235" w:lineRule="exact"/>
        <w:rPr>
          <w:sz w:val="20"/>
          <w:szCs w:val="20"/>
          <w:color w:val="auto"/>
        </w:rPr>
      </w:pPr>
    </w:p>
    <w:p>
      <w:pPr>
        <w:jc w:val="both"/>
        <w:spacing w:after="0" w:line="339" w:lineRule="auto"/>
        <w:rPr>
          <w:sz w:val="20"/>
          <w:szCs w:val="20"/>
          <w:color w:val="auto"/>
        </w:rPr>
      </w:pPr>
      <w:r>
        <w:rPr>
          <w:rFonts w:ascii="Arial" w:cs="Arial" w:eastAsia="Arial" w:hAnsi="Arial"/>
          <w:sz w:val="16"/>
          <w:szCs w:val="16"/>
          <w:color w:val="auto"/>
        </w:rPr>
        <w:t>This Compensation Discussion and Analysis describes the material elements of our executive compensation program during fiscal 2021. It also provides an overview of our executive compensation philosophy, including our principal compensation policies and practices. Finally, it analyzes how and why the compensation committee of our board of directors (the “compensation committee”) arrived at the specific compensation decisions for our Named Executive Officers in fiscal 2021 and discusses the key factors that the compensation committee considered in determining their compensation.</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2B338D"/>
        </w:rPr>
        <w:t>EXECUTIVE SUMMARY</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Who We Are</w:t>
      </w:r>
    </w:p>
    <w:p>
      <w:pPr>
        <w:spacing w:after="0" w:line="147" w:lineRule="exact"/>
        <w:rPr>
          <w:sz w:val="20"/>
          <w:szCs w:val="20"/>
          <w:color w:val="auto"/>
        </w:rPr>
      </w:pPr>
    </w:p>
    <w:p>
      <w:pPr>
        <w:ind w:right="60"/>
        <w:spacing w:after="0" w:line="337" w:lineRule="auto"/>
        <w:rPr>
          <w:sz w:val="20"/>
          <w:szCs w:val="20"/>
          <w:color w:val="auto"/>
        </w:rPr>
      </w:pPr>
      <w:r>
        <w:rPr>
          <w:rFonts w:ascii="Arial" w:cs="Arial" w:eastAsia="Arial" w:hAnsi="Arial"/>
          <w:sz w:val="16"/>
          <w:szCs w:val="16"/>
          <w:color w:val="auto"/>
        </w:rPr>
        <w:t>We anticipate, secure, and simplify the experience of doing business, transforming today and tomorrow. We were incorporated in 2007, during the early stages of cloud adoption and mobility, based on a vision that the internet would become the new corporate network as the cloud becomes the new data center. We predicted that with rapid cloud adoption and increasing workforce mobility, traditional perimeter security approaches would provide inadequate protection for users and data and an increasingly poor user experience. We pioneered a cloud platform, the Zscaler Zero Trust Exchange, that represents a fundamental shift in the architectural design and approach to networking and security. Many of the largest enterprises and government agencies in the world rely on our solutions to help them accelerate their move to the cloud.</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Focus on Growth</w:t>
      </w:r>
    </w:p>
    <w:p>
      <w:pPr>
        <w:spacing w:after="0" w:line="147" w:lineRule="exact"/>
        <w:rPr>
          <w:sz w:val="20"/>
          <w:szCs w:val="20"/>
          <w:color w:val="auto"/>
        </w:rPr>
      </w:pPr>
    </w:p>
    <w:p>
      <w:pPr>
        <w:spacing w:after="0" w:line="337" w:lineRule="auto"/>
        <w:rPr>
          <w:sz w:val="20"/>
          <w:szCs w:val="20"/>
          <w:color w:val="auto"/>
        </w:rPr>
      </w:pPr>
      <w:r>
        <w:rPr>
          <w:rFonts w:ascii="Arial" w:cs="Arial" w:eastAsia="Arial" w:hAnsi="Arial"/>
          <w:sz w:val="16"/>
          <w:szCs w:val="16"/>
          <w:color w:val="auto"/>
        </w:rPr>
        <w:t>We believe that organizations are still in the early stages of embracing cloud-based business solutions and adopting the security and networking solutions, including our products, that are necessary to secure and manage cloud-based operations. To be successful in this emerging market, we believe that delivering growth and capturing market share are paramount. We want all our employees and executives, particularly our CEO and CRO, who have the most influence over sales activities, to be highly focused on maximizing growth. To that end, we focus our compensation program on performance metrics that are key to achieving growth, specifically revenue and calculated billings. We strongly believe that establishing and meeting aggressive growth targets in the short term is the best way to deliver long-term stockholder value in a highly competitive and emerging market.</w:t>
      </w:r>
    </w:p>
    <w:p>
      <w:pPr>
        <w:spacing w:after="0" w:line="151" w:lineRule="exact"/>
        <w:rPr>
          <w:sz w:val="20"/>
          <w:szCs w:val="20"/>
          <w:color w:val="auto"/>
        </w:rPr>
      </w:pPr>
    </w:p>
    <w:p>
      <w:pPr>
        <w:jc w:val="both"/>
        <w:ind w:right="40"/>
        <w:spacing w:after="0" w:line="341" w:lineRule="auto"/>
        <w:rPr>
          <w:sz w:val="20"/>
          <w:szCs w:val="20"/>
          <w:color w:val="auto"/>
        </w:rPr>
      </w:pPr>
      <w:r>
        <w:rPr>
          <w:rFonts w:ascii="Arial" w:cs="Arial" w:eastAsia="Arial" w:hAnsi="Arial"/>
          <w:sz w:val="16"/>
          <w:szCs w:val="16"/>
          <w:color w:val="auto"/>
        </w:rPr>
        <w:t>Given our belief that growth and capturing market share are paramount to our success, we believe that recruiting and retaining talented executives is critical to delivering long-term stockholder value. The labor market is extremely competitive for skilled executives with experience leading high-growth companies. A historically large number of well financed private enterprises, companies pursuing initial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255270</wp:posOffset>
            </wp:positionV>
            <wp:extent cx="342900" cy="21463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42900" cy="214630"/>
                    </a:xfrm>
                    <a:prstGeom prst="rect">
                      <a:avLst/>
                    </a:prstGeom>
                    <a:noFill/>
                  </pic:spPr>
                </pic:pic>
              </a:graphicData>
            </a:graphic>
          </wp:anchor>
        </w:drawing>
      </w:r>
    </w:p>
    <w:p>
      <w:pPr>
        <w:spacing w:after="0" w:line="320" w:lineRule="exact"/>
        <w:rPr>
          <w:sz w:val="20"/>
          <w:szCs w:val="20"/>
          <w:color w:val="auto"/>
        </w:rPr>
      </w:pPr>
    </w:p>
    <w:p>
      <w:pPr>
        <w:ind w:left="5540"/>
        <w:spacing w:after="0"/>
        <w:tabs>
          <w:tab w:leader="none" w:pos="9780" w:val="left"/>
        </w:tabs>
        <w:rPr>
          <w:sz w:val="20"/>
          <w:szCs w:val="20"/>
          <w:color w:val="auto"/>
        </w:rPr>
      </w:pPr>
      <w:r>
        <w:rPr>
          <w:rFonts w:ascii="Arial" w:cs="Arial" w:eastAsia="Arial" w:hAnsi="Arial"/>
          <w:sz w:val="29"/>
          <w:szCs w:val="29"/>
          <w:color w:val="auto"/>
          <w:vertAlign w:val="superscript"/>
        </w:rPr>
        <w:t>36</w:t>
      </w:r>
      <w:r>
        <w:rPr>
          <w:sz w:val="20"/>
          <w:szCs w:val="20"/>
          <w:color w:val="auto"/>
        </w:rPr>
        <w:tab/>
      </w:r>
      <w:r>
        <w:rPr>
          <w:rFonts w:ascii="Arial" w:cs="Arial" w:eastAsia="Arial" w:hAnsi="Arial"/>
          <w:sz w:val="14"/>
          <w:szCs w:val="14"/>
          <w:color w:val="auto"/>
        </w:rPr>
        <w:t>2021 Proxy Statement</w:t>
      </w:r>
    </w:p>
    <w:p>
      <w:pPr>
        <w:sectPr>
          <w:pgSz w:w="11900" w:h="16838" w:orient="portrait"/>
          <w:cols w:equalWidth="0" w:num="1">
            <w:col w:w="11240"/>
          </w:cols>
          <w:pgMar w:left="320" w:top="172" w:right="339" w:bottom="1440" w:gutter="0" w:footer="0" w:header="0"/>
        </w:sectPr>
      </w:pPr>
    </w:p>
    <w:bookmarkStart w:id="40" w:name="page41"/>
    <w:bookmarkEnd w:id="40"/>
    <w:p>
      <w:pPr>
        <w:ind w:left="280"/>
        <w:spacing w:after="0"/>
        <w:rPr>
          <w:sz w:val="20"/>
          <w:szCs w:val="20"/>
          <w:color w:val="auto"/>
        </w:rPr>
      </w:pPr>
      <w:r>
        <w:rPr>
          <w:rFonts w:ascii="Arial" w:cs="Arial" w:eastAsia="Arial" w:hAnsi="Arial"/>
          <w:sz w:val="13"/>
          <w:szCs w:val="13"/>
          <w:b w:val="1"/>
          <w:bCs w:val="1"/>
          <w:color w:val="929292"/>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7470" cy="596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7470" cy="59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line="338" w:lineRule="auto"/>
        <w:rPr>
          <w:sz w:val="20"/>
          <w:szCs w:val="20"/>
          <w:color w:val="auto"/>
        </w:rPr>
      </w:pPr>
      <w:r>
        <w:rPr>
          <w:rFonts w:ascii="Arial" w:cs="Arial" w:eastAsia="Arial" w:hAnsi="Arial"/>
          <w:sz w:val="16"/>
          <w:szCs w:val="16"/>
          <w:color w:val="auto"/>
        </w:rPr>
        <w:t>public offerings, recently public companies, and large established organizations with plans to enter new technology markets are aggressively pursuing executives, like ours, who have demonstrated the ability to dramatically scale a business, develop and sell new technology, disrupt legacy industries, produce strong financial results and deliver sustained value to stockholders. In order to retain our existing executives and recruit new leaders, the compensation committee believes that the Company must provide executives with attractive compensation packages which provide a compelling incentive to join the Company and remain employed for an extended period of time.</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Business Highlights</w:t>
      </w:r>
    </w:p>
    <w:p>
      <w:pPr>
        <w:spacing w:after="0" w:line="147" w:lineRule="exact"/>
        <w:rPr>
          <w:sz w:val="20"/>
          <w:szCs w:val="20"/>
          <w:color w:val="auto"/>
        </w:rPr>
      </w:pPr>
    </w:p>
    <w:p>
      <w:pPr>
        <w:ind w:right="800"/>
        <w:spacing w:after="0" w:line="348" w:lineRule="auto"/>
        <w:rPr>
          <w:sz w:val="20"/>
          <w:szCs w:val="20"/>
          <w:color w:val="auto"/>
        </w:rPr>
      </w:pPr>
      <w:r>
        <w:rPr>
          <w:rFonts w:ascii="Arial" w:cs="Arial" w:eastAsia="Arial" w:hAnsi="Arial"/>
          <w:sz w:val="16"/>
          <w:szCs w:val="16"/>
          <w:color w:val="auto"/>
        </w:rPr>
        <w:t>Our focus on growth in compensating and incentivizing our employees, including our executives, has succeeded in delivering both robust financial performance and also near-term and long-term value to our stockholders.</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color w:val="009ADA"/>
        </w:rPr>
        <w:t>Fiscal 2021 Financial Performance</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Fiscal 2021 was a strong year for us marked by significant achievement and growth across all of our key metrics. Fiscal 2021 highlights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15175" cy="145732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15175" cy="1457325"/>
                    </a:xfrm>
                    <a:prstGeom prst="rect">
                      <a:avLst/>
                    </a:prstGeom>
                    <a:noFill/>
                  </pic:spPr>
                </pic:pic>
              </a:graphicData>
            </a:graphic>
          </wp:anchor>
        </w:drawing>
      </w:r>
    </w:p>
    <w:p>
      <w:pPr>
        <w:spacing w:after="0" w:line="113" w:lineRule="exact"/>
        <w:rPr>
          <w:sz w:val="20"/>
          <w:szCs w:val="20"/>
          <w:color w:val="auto"/>
        </w:rPr>
      </w:pPr>
    </w:p>
    <w:tbl>
      <w:tblPr>
        <w:tblLayout w:type="fixed"/>
        <w:tblInd w:w="180" w:type="dxa"/>
        <w:tblCellMar>
          <w:top w:w="0" w:type="dxa"/>
          <w:left w:w="0" w:type="dxa"/>
          <w:bottom w:w="0" w:type="dxa"/>
          <w:right w:w="0" w:type="dxa"/>
        </w:tblCellMar>
      </w:tblPr>
      <w:tr>
        <w:trPr>
          <w:trHeight w:val="283"/>
        </w:trPr>
        <w:tc>
          <w:tcPr>
            <w:tcW w:w="3020" w:type="dxa"/>
            <w:vAlign w:val="bottom"/>
          </w:tcPr>
          <w:p>
            <w:pPr>
              <w:spacing w:after="0"/>
              <w:rPr>
                <w:sz w:val="20"/>
                <w:szCs w:val="20"/>
                <w:color w:val="auto"/>
              </w:rPr>
            </w:pPr>
            <w:r>
              <w:rPr>
                <w:rFonts w:ascii="Arial" w:cs="Arial" w:eastAsia="Arial" w:hAnsi="Arial"/>
                <w:sz w:val="22"/>
                <w:szCs w:val="22"/>
                <w:b w:val="1"/>
                <w:bCs w:val="1"/>
                <w:color w:val="FFFFFF"/>
              </w:rPr>
              <w:t>Revenue</w:t>
            </w:r>
          </w:p>
        </w:tc>
        <w:tc>
          <w:tcPr>
            <w:tcW w:w="3800" w:type="dxa"/>
            <w:vAlign w:val="bottom"/>
          </w:tcPr>
          <w:p>
            <w:pPr>
              <w:ind w:left="780"/>
              <w:spacing w:after="0"/>
              <w:rPr>
                <w:sz w:val="20"/>
                <w:szCs w:val="20"/>
                <w:color w:val="auto"/>
              </w:rPr>
            </w:pPr>
            <w:r>
              <w:rPr>
                <w:rFonts w:ascii="Arial" w:cs="Arial" w:eastAsia="Arial" w:hAnsi="Arial"/>
                <w:sz w:val="22"/>
                <w:szCs w:val="22"/>
                <w:b w:val="1"/>
                <w:bCs w:val="1"/>
                <w:color w:val="FFFFFF"/>
              </w:rPr>
              <w:t>Calculated Billings*</w:t>
            </w:r>
          </w:p>
        </w:tc>
        <w:tc>
          <w:tcPr>
            <w:tcW w:w="3020" w:type="dxa"/>
            <w:vAlign w:val="bottom"/>
          </w:tcPr>
          <w:p>
            <w:pPr>
              <w:ind w:left="800"/>
              <w:spacing w:after="0"/>
              <w:rPr>
                <w:sz w:val="20"/>
                <w:szCs w:val="20"/>
                <w:color w:val="auto"/>
              </w:rPr>
            </w:pPr>
            <w:r>
              <w:rPr>
                <w:rFonts w:ascii="Arial" w:cs="Arial" w:eastAsia="Arial" w:hAnsi="Arial"/>
                <w:sz w:val="22"/>
                <w:szCs w:val="22"/>
                <w:b w:val="1"/>
                <w:bCs w:val="1"/>
                <w:color w:val="FFFFFF"/>
              </w:rPr>
              <w:t>Stock Price</w:t>
            </w:r>
          </w:p>
        </w:tc>
      </w:tr>
      <w:tr>
        <w:trPr>
          <w:trHeight w:val="788"/>
        </w:trPr>
        <w:tc>
          <w:tcPr>
            <w:tcW w:w="3020" w:type="dxa"/>
            <w:vAlign w:val="bottom"/>
          </w:tcPr>
          <w:p>
            <w:pPr>
              <w:spacing w:after="0" w:line="787" w:lineRule="exact"/>
              <w:rPr>
                <w:sz w:val="20"/>
                <w:szCs w:val="20"/>
                <w:color w:val="auto"/>
              </w:rPr>
            </w:pPr>
            <w:r>
              <w:rPr>
                <w:rFonts w:ascii="Arial" w:cs="Arial" w:eastAsia="Arial" w:hAnsi="Arial"/>
                <w:sz w:val="72"/>
                <w:szCs w:val="72"/>
                <w:color w:val="FFFFFF"/>
              </w:rPr>
              <w:t xml:space="preserve">56% </w:t>
            </w:r>
            <w:r>
              <w:rPr>
                <w:rFonts w:ascii="Arial" w:cs="Arial" w:eastAsia="Arial" w:hAnsi="Arial"/>
                <w:sz w:val="35"/>
                <w:szCs w:val="35"/>
                <w:color w:val="FFFFFF"/>
              </w:rPr>
              <w:t>Y/Y</w:t>
            </w:r>
          </w:p>
        </w:tc>
        <w:tc>
          <w:tcPr>
            <w:tcW w:w="3800" w:type="dxa"/>
            <w:vAlign w:val="bottom"/>
          </w:tcPr>
          <w:p>
            <w:pPr>
              <w:ind w:left="780"/>
              <w:spacing w:after="0" w:line="787" w:lineRule="exact"/>
              <w:rPr>
                <w:sz w:val="20"/>
                <w:szCs w:val="20"/>
                <w:color w:val="auto"/>
              </w:rPr>
            </w:pPr>
            <w:r>
              <w:rPr>
                <w:rFonts w:ascii="Arial" w:cs="Arial" w:eastAsia="Arial" w:hAnsi="Arial"/>
                <w:sz w:val="72"/>
                <w:szCs w:val="72"/>
                <w:color w:val="FFFFFF"/>
              </w:rPr>
              <w:t xml:space="preserve">70% </w:t>
            </w:r>
            <w:r>
              <w:rPr>
                <w:rFonts w:ascii="Arial" w:cs="Arial" w:eastAsia="Arial" w:hAnsi="Arial"/>
                <w:sz w:val="35"/>
                <w:szCs w:val="35"/>
                <w:color w:val="FFFFFF"/>
              </w:rPr>
              <w:t>Y/Y</w:t>
            </w:r>
          </w:p>
        </w:tc>
        <w:tc>
          <w:tcPr>
            <w:tcW w:w="3020" w:type="dxa"/>
            <w:vAlign w:val="bottom"/>
          </w:tcPr>
          <w:p>
            <w:pPr>
              <w:ind w:left="800"/>
              <w:spacing w:after="0" w:line="787" w:lineRule="exact"/>
              <w:rPr>
                <w:sz w:val="20"/>
                <w:szCs w:val="20"/>
                <w:color w:val="auto"/>
              </w:rPr>
            </w:pPr>
            <w:r>
              <w:rPr>
                <w:rFonts w:ascii="Arial" w:cs="Arial" w:eastAsia="Arial" w:hAnsi="Arial"/>
                <w:sz w:val="72"/>
                <w:szCs w:val="72"/>
                <w:color w:val="FFFFFF"/>
                <w:w w:val="99"/>
              </w:rPr>
              <w:t xml:space="preserve">82% </w:t>
            </w:r>
            <w:r>
              <w:rPr>
                <w:rFonts w:ascii="Arial" w:cs="Arial" w:eastAsia="Arial" w:hAnsi="Arial"/>
                <w:sz w:val="35"/>
                <w:szCs w:val="35"/>
                <w:color w:val="FFFFFF"/>
                <w:w w:val="99"/>
              </w:rPr>
              <w:t>Y/Y</w:t>
            </w:r>
          </w:p>
        </w:tc>
      </w:tr>
      <w:tr>
        <w:trPr>
          <w:trHeight w:val="261"/>
        </w:trPr>
        <w:tc>
          <w:tcPr>
            <w:tcW w:w="3020" w:type="dxa"/>
            <w:vAlign w:val="bottom"/>
          </w:tcPr>
          <w:p>
            <w:pPr>
              <w:spacing w:after="0"/>
              <w:rPr>
                <w:sz w:val="20"/>
                <w:szCs w:val="20"/>
                <w:color w:val="auto"/>
              </w:rPr>
            </w:pPr>
            <w:r>
              <w:rPr>
                <w:rFonts w:ascii="Arial" w:cs="Arial" w:eastAsia="Arial" w:hAnsi="Arial"/>
                <w:sz w:val="20"/>
                <w:szCs w:val="20"/>
                <w:b w:val="1"/>
                <w:bCs w:val="1"/>
                <w:color w:val="FFFFFF"/>
              </w:rPr>
              <w:t>$673M Revenue</w:t>
            </w:r>
          </w:p>
        </w:tc>
        <w:tc>
          <w:tcPr>
            <w:tcW w:w="3800" w:type="dxa"/>
            <w:vAlign w:val="bottom"/>
          </w:tcPr>
          <w:p>
            <w:pPr>
              <w:ind w:left="780"/>
              <w:spacing w:after="0"/>
              <w:rPr>
                <w:sz w:val="20"/>
                <w:szCs w:val="20"/>
                <w:color w:val="auto"/>
              </w:rPr>
            </w:pPr>
            <w:r>
              <w:rPr>
                <w:rFonts w:ascii="Arial" w:cs="Arial" w:eastAsia="Arial" w:hAnsi="Arial"/>
                <w:sz w:val="20"/>
                <w:szCs w:val="20"/>
                <w:b w:val="1"/>
                <w:bCs w:val="1"/>
                <w:color w:val="FFFFFF"/>
              </w:rPr>
              <w:t>$934M Billings*</w:t>
            </w:r>
          </w:p>
        </w:tc>
        <w:tc>
          <w:tcPr>
            <w:tcW w:w="3020" w:type="dxa"/>
            <w:vAlign w:val="bottom"/>
          </w:tcPr>
          <w:p>
            <w:pPr>
              <w:ind w:left="800"/>
              <w:spacing w:after="0"/>
              <w:rPr>
                <w:sz w:val="20"/>
                <w:szCs w:val="20"/>
                <w:color w:val="auto"/>
              </w:rPr>
            </w:pPr>
            <w:r>
              <w:rPr>
                <w:rFonts w:ascii="Arial" w:cs="Arial" w:eastAsia="Arial" w:hAnsi="Arial"/>
                <w:sz w:val="20"/>
                <w:szCs w:val="20"/>
                <w:b w:val="1"/>
                <w:bCs w:val="1"/>
                <w:color w:val="FFFFFF"/>
              </w:rPr>
              <w:t>$235.91 Per Share</w:t>
            </w:r>
          </w:p>
        </w:tc>
      </w:tr>
    </w:tbl>
    <w:p>
      <w:pPr>
        <w:spacing w:after="0" w:line="55" w:lineRule="exact"/>
        <w:rPr>
          <w:sz w:val="20"/>
          <w:szCs w:val="20"/>
          <w:color w:val="auto"/>
        </w:rPr>
      </w:pPr>
    </w:p>
    <w:p>
      <w:pPr>
        <w:sectPr>
          <w:pgSz w:w="11900" w:h="16838" w:orient="portrait"/>
          <w:cols w:equalWidth="0" w:num="1">
            <w:col w:w="11240"/>
          </w:cols>
          <w:pgMar w:left="320" w:top="172" w:right="339" w:bottom="1440" w:gutter="0" w:footer="0" w:header="0"/>
        </w:sectPr>
      </w:pPr>
    </w:p>
    <w:p>
      <w:pPr>
        <w:ind w:left="180"/>
        <w:spacing w:after="0" w:line="278" w:lineRule="auto"/>
        <w:rPr>
          <w:sz w:val="20"/>
          <w:szCs w:val="20"/>
          <w:color w:val="auto"/>
        </w:rPr>
      </w:pPr>
      <w:r>
        <w:rPr>
          <w:rFonts w:ascii="Arial" w:cs="Arial" w:eastAsia="Arial" w:hAnsi="Arial"/>
          <w:sz w:val="14"/>
          <w:szCs w:val="14"/>
          <w:color w:val="FFFFFF"/>
        </w:rPr>
        <w:t>Total revenue was $673 million, an increase of 56% year-over-year</w:t>
      </w:r>
    </w:p>
    <w:p>
      <w:pPr>
        <w:spacing w:after="0" w:line="20" w:lineRule="exact"/>
        <w:rPr>
          <w:sz w:val="20"/>
          <w:szCs w:val="20"/>
          <w:color w:val="auto"/>
        </w:rPr>
      </w:pPr>
      <w:r>
        <w:rPr>
          <w:sz w:val="20"/>
          <w:szCs w:val="20"/>
          <w:color w:val="auto"/>
        </w:rPr>
        <w:br w:type="column"/>
      </w:r>
    </w:p>
    <w:p>
      <w:pPr>
        <w:spacing w:after="0" w:line="278" w:lineRule="auto"/>
        <w:rPr>
          <w:sz w:val="20"/>
          <w:szCs w:val="20"/>
          <w:color w:val="auto"/>
        </w:rPr>
      </w:pPr>
      <w:r>
        <w:rPr>
          <w:rFonts w:ascii="Arial" w:cs="Arial" w:eastAsia="Arial" w:hAnsi="Arial"/>
          <w:sz w:val="14"/>
          <w:szCs w:val="14"/>
          <w:color w:val="FFFFFF"/>
        </w:rPr>
        <w:t>Calculated billings was $934 million, an increase of 70% year-over-year</w:t>
      </w:r>
    </w:p>
    <w:p>
      <w:pPr>
        <w:spacing w:after="0" w:line="20" w:lineRule="exact"/>
        <w:rPr>
          <w:sz w:val="20"/>
          <w:szCs w:val="20"/>
          <w:color w:val="auto"/>
        </w:rPr>
      </w:pPr>
      <w:r>
        <w:rPr>
          <w:sz w:val="20"/>
          <w:szCs w:val="20"/>
          <w:color w:val="auto"/>
        </w:rPr>
        <w:br w:type="column"/>
      </w:r>
    </w:p>
    <w:p>
      <w:pPr>
        <w:ind w:right="60"/>
        <w:spacing w:after="0" w:line="265" w:lineRule="auto"/>
        <w:rPr>
          <w:sz w:val="20"/>
          <w:szCs w:val="20"/>
          <w:color w:val="auto"/>
        </w:rPr>
      </w:pPr>
      <w:r>
        <w:rPr>
          <w:rFonts w:ascii="Arial" w:cs="Arial" w:eastAsia="Arial" w:hAnsi="Arial"/>
          <w:sz w:val="14"/>
          <w:szCs w:val="14"/>
          <w:color w:val="FFFFFF"/>
        </w:rPr>
        <w:t>The closing market price of our common stock on the last trading day of fiscal 2021 was 235.91, per share, an increase of 82% year-over-year from the closing market price on July 31, 2020, the last day of fiscal 2020</w:t>
      </w:r>
    </w:p>
    <w:p>
      <w:pPr>
        <w:spacing w:after="0" w:line="153" w:lineRule="exact"/>
        <w:rPr>
          <w:sz w:val="20"/>
          <w:szCs w:val="20"/>
          <w:color w:val="auto"/>
        </w:rPr>
      </w:pPr>
    </w:p>
    <w:p>
      <w:pPr>
        <w:sectPr>
          <w:pgSz w:w="11900" w:h="16838" w:orient="portrait"/>
          <w:cols w:equalWidth="0" w:num="3">
            <w:col w:w="3460" w:space="520"/>
            <w:col w:w="3240" w:space="580"/>
            <w:col w:w="3440"/>
          </w:cols>
          <w:pgMar w:left="320" w:top="172" w:right="339" w:bottom="1440" w:gutter="0" w:footer="0" w:header="0"/>
          <w:type w:val="continuous"/>
        </w:sectPr>
      </w:pPr>
    </w:p>
    <w:p>
      <w:pPr>
        <w:ind w:left="180" w:right="100" w:hanging="172"/>
        <w:spacing w:after="0" w:line="242" w:lineRule="auto"/>
        <w:tabs>
          <w:tab w:leader="none" w:pos="175" w:val="left"/>
        </w:tabs>
        <w:numPr>
          <w:ilvl w:val="0"/>
          <w:numId w:val="35"/>
        </w:numPr>
        <w:rPr>
          <w:rFonts w:ascii="Arial" w:cs="Arial" w:eastAsia="Arial" w:hAnsi="Arial"/>
          <w:sz w:val="13"/>
          <w:szCs w:val="13"/>
          <w:color w:val="auto"/>
        </w:rPr>
      </w:pPr>
      <w:r>
        <w:rPr>
          <w:rFonts w:ascii="Arial" w:cs="Arial" w:eastAsia="Arial" w:hAnsi="Arial"/>
          <w:sz w:val="13"/>
          <w:szCs w:val="13"/>
          <w:color w:val="auto"/>
        </w:rPr>
        <w:t>Calculated billings is a non-GAAP financial measure that we believe is a key metric to measure our periodic performance. Calculated billings represents our total revenue plus the change in deferred revenue in a period. See Appendix A for the calculation of calculated billings.</w:t>
      </w:r>
    </w:p>
    <w:p>
      <w:pPr>
        <w:spacing w:after="0" w:line="300" w:lineRule="exact"/>
        <w:rPr>
          <w:sz w:val="20"/>
          <w:szCs w:val="20"/>
          <w:color w:val="auto"/>
        </w:rPr>
      </w:pPr>
    </w:p>
    <w:p>
      <w:pPr>
        <w:spacing w:after="0"/>
        <w:rPr>
          <w:sz w:val="20"/>
          <w:szCs w:val="20"/>
          <w:color w:val="auto"/>
        </w:rPr>
      </w:pPr>
      <w:r>
        <w:rPr>
          <w:rFonts w:ascii="Arial" w:cs="Arial" w:eastAsia="Arial" w:hAnsi="Arial"/>
          <w:sz w:val="16"/>
          <w:szCs w:val="16"/>
          <w:color w:val="009ADA"/>
        </w:rPr>
        <w:t>Long-Term Financial Performance</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Since fiscal 2018, the fiscal year of our initial public offering, we have achieved substantial growth across all of our key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4839970</wp:posOffset>
            </wp:positionH>
            <wp:positionV relativeFrom="paragraph">
              <wp:posOffset>79375</wp:posOffset>
            </wp:positionV>
            <wp:extent cx="2280285" cy="14916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280285" cy="1491615"/>
                    </a:xfrm>
                    <a:prstGeom prst="rect">
                      <a:avLst/>
                    </a:prstGeom>
                    <a:noFill/>
                  </pic:spPr>
                </pic:pic>
              </a:graphicData>
            </a:graphic>
          </wp:anchor>
        </w:drawing>
      </w:r>
    </w:p>
    <w:p>
      <w:pPr>
        <w:sectPr>
          <w:pgSz w:w="11900" w:h="16838" w:orient="portrait"/>
          <w:cols w:equalWidth="0" w:num="1">
            <w:col w:w="11240"/>
          </w:cols>
          <w:pgMar w:left="320" w:top="172" w:right="339" w:bottom="1440" w:gutter="0" w:footer="0" w:header="0"/>
          <w:type w:val="continuous"/>
        </w:sectPr>
      </w:pP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91"/>
        </w:trPr>
        <w:tc>
          <w:tcPr>
            <w:tcW w:w="3580" w:type="dxa"/>
            <w:vAlign w:val="bottom"/>
            <w:shd w:val="clear" w:color="auto" w:fill="000000"/>
          </w:tcPr>
          <w:p>
            <w:pPr>
              <w:ind w:left="180"/>
              <w:spacing w:after="0"/>
              <w:rPr>
                <w:sz w:val="20"/>
                <w:szCs w:val="20"/>
                <w:color w:val="auto"/>
              </w:rPr>
            </w:pPr>
            <w:r>
              <w:rPr>
                <w:rFonts w:ascii="Arial" w:cs="Arial" w:eastAsia="Arial" w:hAnsi="Arial"/>
                <w:sz w:val="22"/>
                <w:szCs w:val="22"/>
                <w:b w:val="1"/>
                <w:bCs w:val="1"/>
                <w:color w:val="FFFFFF"/>
              </w:rPr>
              <w:t>Revenue</w:t>
            </w:r>
          </w:p>
        </w:tc>
        <w:tc>
          <w:tcPr>
            <w:tcW w:w="220" w:type="dxa"/>
            <w:vAlign w:val="bottom"/>
          </w:tcPr>
          <w:p>
            <w:pPr>
              <w:spacing w:after="0"/>
              <w:rPr>
                <w:sz w:val="24"/>
                <w:szCs w:val="24"/>
                <w:color w:val="auto"/>
              </w:rPr>
            </w:pPr>
          </w:p>
        </w:tc>
        <w:tc>
          <w:tcPr>
            <w:tcW w:w="3600" w:type="dxa"/>
            <w:vAlign w:val="bottom"/>
            <w:shd w:val="clear" w:color="auto" w:fill="2B338D"/>
          </w:tcPr>
          <w:p>
            <w:pPr>
              <w:ind w:left="180"/>
              <w:spacing w:after="0"/>
              <w:rPr>
                <w:sz w:val="20"/>
                <w:szCs w:val="20"/>
                <w:color w:val="auto"/>
              </w:rPr>
            </w:pPr>
            <w:r>
              <w:rPr>
                <w:rFonts w:ascii="Arial" w:cs="Arial" w:eastAsia="Arial" w:hAnsi="Arial"/>
                <w:sz w:val="22"/>
                <w:szCs w:val="22"/>
                <w:b w:val="1"/>
                <w:bCs w:val="1"/>
                <w:color w:val="FFFFFF"/>
              </w:rPr>
              <w:t>Calculated Billings*</w:t>
            </w:r>
          </w:p>
        </w:tc>
      </w:tr>
      <w:tr>
        <w:trPr>
          <w:trHeight w:val="788"/>
        </w:trPr>
        <w:tc>
          <w:tcPr>
            <w:tcW w:w="3580" w:type="dxa"/>
            <w:vAlign w:val="bottom"/>
            <w:shd w:val="clear" w:color="auto" w:fill="000000"/>
          </w:tcPr>
          <w:p>
            <w:pPr>
              <w:ind w:left="180"/>
              <w:spacing w:after="0" w:line="787" w:lineRule="exact"/>
              <w:rPr>
                <w:sz w:val="20"/>
                <w:szCs w:val="20"/>
                <w:color w:val="auto"/>
              </w:rPr>
            </w:pPr>
            <w:r>
              <w:rPr>
                <w:rFonts w:ascii="Arial" w:cs="Arial" w:eastAsia="Arial" w:hAnsi="Arial"/>
                <w:sz w:val="72"/>
                <w:szCs w:val="72"/>
                <w:color w:val="FFFFFF"/>
              </w:rPr>
              <w:t>254%</w:t>
            </w:r>
          </w:p>
        </w:tc>
        <w:tc>
          <w:tcPr>
            <w:tcW w:w="220" w:type="dxa"/>
            <w:vAlign w:val="bottom"/>
          </w:tcPr>
          <w:p>
            <w:pPr>
              <w:spacing w:after="0"/>
              <w:rPr>
                <w:sz w:val="24"/>
                <w:szCs w:val="24"/>
                <w:color w:val="auto"/>
              </w:rPr>
            </w:pPr>
          </w:p>
        </w:tc>
        <w:tc>
          <w:tcPr>
            <w:tcW w:w="3600" w:type="dxa"/>
            <w:vAlign w:val="bottom"/>
            <w:shd w:val="clear" w:color="auto" w:fill="2B338D"/>
          </w:tcPr>
          <w:p>
            <w:pPr>
              <w:ind w:left="180"/>
              <w:spacing w:after="0" w:line="787" w:lineRule="exact"/>
              <w:rPr>
                <w:sz w:val="20"/>
                <w:szCs w:val="20"/>
                <w:color w:val="auto"/>
              </w:rPr>
            </w:pPr>
            <w:r>
              <w:rPr>
                <w:rFonts w:ascii="Arial" w:cs="Arial" w:eastAsia="Arial" w:hAnsi="Arial"/>
                <w:sz w:val="72"/>
                <w:szCs w:val="72"/>
                <w:color w:val="FFFFFF"/>
              </w:rPr>
              <w:t>262%</w:t>
            </w:r>
          </w:p>
        </w:tc>
      </w:tr>
      <w:tr>
        <w:trPr>
          <w:trHeight w:val="261"/>
        </w:trPr>
        <w:tc>
          <w:tcPr>
            <w:tcW w:w="3580" w:type="dxa"/>
            <w:vAlign w:val="bottom"/>
            <w:shd w:val="clear" w:color="auto" w:fill="000000"/>
          </w:tcPr>
          <w:p>
            <w:pPr>
              <w:ind w:left="180"/>
              <w:spacing w:after="0"/>
              <w:rPr>
                <w:sz w:val="20"/>
                <w:szCs w:val="20"/>
                <w:color w:val="auto"/>
              </w:rPr>
            </w:pPr>
            <w:r>
              <w:rPr>
                <w:rFonts w:ascii="Arial" w:cs="Arial" w:eastAsia="Arial" w:hAnsi="Arial"/>
                <w:sz w:val="20"/>
                <w:szCs w:val="20"/>
                <w:b w:val="1"/>
                <w:bCs w:val="1"/>
                <w:color w:val="FFFFFF"/>
              </w:rPr>
              <w:t>$190M à $673M</w:t>
            </w:r>
          </w:p>
        </w:tc>
        <w:tc>
          <w:tcPr>
            <w:tcW w:w="220" w:type="dxa"/>
            <w:vAlign w:val="bottom"/>
          </w:tcPr>
          <w:p>
            <w:pPr>
              <w:spacing w:after="0"/>
              <w:rPr>
                <w:sz w:val="22"/>
                <w:szCs w:val="22"/>
                <w:color w:val="auto"/>
              </w:rPr>
            </w:pPr>
          </w:p>
        </w:tc>
        <w:tc>
          <w:tcPr>
            <w:tcW w:w="3600" w:type="dxa"/>
            <w:vAlign w:val="bottom"/>
            <w:shd w:val="clear" w:color="auto" w:fill="2B338D"/>
          </w:tcPr>
          <w:p>
            <w:pPr>
              <w:ind w:left="180"/>
              <w:spacing w:after="0"/>
              <w:rPr>
                <w:sz w:val="20"/>
                <w:szCs w:val="20"/>
                <w:color w:val="auto"/>
              </w:rPr>
            </w:pPr>
            <w:r>
              <w:rPr>
                <w:rFonts w:ascii="Arial" w:cs="Arial" w:eastAsia="Arial" w:hAnsi="Arial"/>
                <w:sz w:val="20"/>
                <w:szCs w:val="20"/>
                <w:b w:val="1"/>
                <w:bCs w:val="1"/>
                <w:color w:val="FFFFFF"/>
              </w:rPr>
              <w:t>$258M à $934M</w:t>
            </w:r>
          </w:p>
        </w:tc>
      </w:tr>
      <w:tr>
        <w:trPr>
          <w:trHeight w:val="227"/>
        </w:trPr>
        <w:tc>
          <w:tcPr>
            <w:tcW w:w="3580" w:type="dxa"/>
            <w:vAlign w:val="bottom"/>
            <w:shd w:val="clear" w:color="auto" w:fill="000000"/>
          </w:tcPr>
          <w:p>
            <w:pPr>
              <w:ind w:left="180"/>
              <w:spacing w:after="0"/>
              <w:rPr>
                <w:sz w:val="20"/>
                <w:szCs w:val="20"/>
                <w:color w:val="auto"/>
              </w:rPr>
            </w:pPr>
            <w:r>
              <w:rPr>
                <w:rFonts w:ascii="Arial" w:cs="Arial" w:eastAsia="Arial" w:hAnsi="Arial"/>
                <w:sz w:val="14"/>
                <w:szCs w:val="14"/>
                <w:color w:val="FFFFFF"/>
              </w:rPr>
              <w:t>Revenue Increased from $190 million</w:t>
            </w:r>
          </w:p>
        </w:tc>
        <w:tc>
          <w:tcPr>
            <w:tcW w:w="220" w:type="dxa"/>
            <w:vAlign w:val="bottom"/>
          </w:tcPr>
          <w:p>
            <w:pPr>
              <w:spacing w:after="0"/>
              <w:rPr>
                <w:sz w:val="19"/>
                <w:szCs w:val="19"/>
                <w:color w:val="auto"/>
              </w:rPr>
            </w:pPr>
          </w:p>
        </w:tc>
        <w:tc>
          <w:tcPr>
            <w:tcW w:w="3600" w:type="dxa"/>
            <w:vAlign w:val="bottom"/>
            <w:shd w:val="clear" w:color="auto" w:fill="2B338D"/>
          </w:tcPr>
          <w:p>
            <w:pPr>
              <w:ind w:left="180"/>
              <w:spacing w:after="0"/>
              <w:rPr>
                <w:sz w:val="20"/>
                <w:szCs w:val="20"/>
                <w:color w:val="auto"/>
              </w:rPr>
            </w:pPr>
            <w:r>
              <w:rPr>
                <w:rFonts w:ascii="Arial" w:cs="Arial" w:eastAsia="Arial" w:hAnsi="Arial"/>
                <w:sz w:val="14"/>
                <w:szCs w:val="14"/>
                <w:color w:val="FFFFFF"/>
              </w:rPr>
              <w:t>Calculated billings increased from $258 million for</w:t>
            </w:r>
          </w:p>
        </w:tc>
      </w:tr>
      <w:tr>
        <w:trPr>
          <w:trHeight w:val="175"/>
        </w:trPr>
        <w:tc>
          <w:tcPr>
            <w:tcW w:w="3580" w:type="dxa"/>
            <w:vAlign w:val="bottom"/>
            <w:shd w:val="clear" w:color="auto" w:fill="000000"/>
          </w:tcPr>
          <w:p>
            <w:pPr>
              <w:ind w:left="180"/>
              <w:spacing w:after="0"/>
              <w:rPr>
                <w:sz w:val="20"/>
                <w:szCs w:val="20"/>
                <w:color w:val="auto"/>
              </w:rPr>
            </w:pPr>
            <w:r>
              <w:rPr>
                <w:rFonts w:ascii="Arial" w:cs="Arial" w:eastAsia="Arial" w:hAnsi="Arial"/>
                <w:sz w:val="14"/>
                <w:szCs w:val="14"/>
                <w:color w:val="FFFFFF"/>
              </w:rPr>
              <w:t>for fiscal 2018 to $673 million in fiscal 2021, an</w:t>
            </w:r>
          </w:p>
        </w:tc>
        <w:tc>
          <w:tcPr>
            <w:tcW w:w="220" w:type="dxa"/>
            <w:vAlign w:val="bottom"/>
          </w:tcPr>
          <w:p>
            <w:pPr>
              <w:spacing w:after="0"/>
              <w:rPr>
                <w:sz w:val="15"/>
                <w:szCs w:val="15"/>
                <w:color w:val="auto"/>
              </w:rPr>
            </w:pPr>
          </w:p>
        </w:tc>
        <w:tc>
          <w:tcPr>
            <w:tcW w:w="3600" w:type="dxa"/>
            <w:vAlign w:val="bottom"/>
            <w:shd w:val="clear" w:color="auto" w:fill="2B338D"/>
          </w:tcPr>
          <w:p>
            <w:pPr>
              <w:ind w:left="180"/>
              <w:spacing w:after="0"/>
              <w:rPr>
                <w:sz w:val="20"/>
                <w:szCs w:val="20"/>
                <w:color w:val="auto"/>
              </w:rPr>
            </w:pPr>
            <w:r>
              <w:rPr>
                <w:rFonts w:ascii="Arial" w:cs="Arial" w:eastAsia="Arial" w:hAnsi="Arial"/>
                <w:sz w:val="14"/>
                <w:szCs w:val="14"/>
                <w:color w:val="FFFFFF"/>
              </w:rPr>
              <w:t>fiscal 2018 to $934 million in fiscal 2021, an increase</w:t>
            </w:r>
          </w:p>
        </w:tc>
      </w:tr>
      <w:tr>
        <w:trPr>
          <w:trHeight w:val="176"/>
        </w:trPr>
        <w:tc>
          <w:tcPr>
            <w:tcW w:w="3580" w:type="dxa"/>
            <w:vAlign w:val="bottom"/>
            <w:shd w:val="clear" w:color="auto" w:fill="000000"/>
          </w:tcPr>
          <w:p>
            <w:pPr>
              <w:ind w:left="180"/>
              <w:spacing w:after="0"/>
              <w:rPr>
                <w:sz w:val="20"/>
                <w:szCs w:val="20"/>
                <w:color w:val="auto"/>
              </w:rPr>
            </w:pPr>
            <w:r>
              <w:rPr>
                <w:rFonts w:ascii="Arial" w:cs="Arial" w:eastAsia="Arial" w:hAnsi="Arial"/>
                <w:sz w:val="14"/>
                <w:szCs w:val="14"/>
                <w:color w:val="FFFFFF"/>
              </w:rPr>
              <w:t>increase of 254%</w:t>
            </w:r>
          </w:p>
        </w:tc>
        <w:tc>
          <w:tcPr>
            <w:tcW w:w="220" w:type="dxa"/>
            <w:vAlign w:val="bottom"/>
          </w:tcPr>
          <w:p>
            <w:pPr>
              <w:spacing w:after="0"/>
              <w:rPr>
                <w:sz w:val="15"/>
                <w:szCs w:val="15"/>
                <w:color w:val="auto"/>
              </w:rPr>
            </w:pPr>
          </w:p>
        </w:tc>
        <w:tc>
          <w:tcPr>
            <w:tcW w:w="3600" w:type="dxa"/>
            <w:vAlign w:val="bottom"/>
            <w:shd w:val="clear" w:color="auto" w:fill="2B338D"/>
          </w:tcPr>
          <w:p>
            <w:pPr>
              <w:ind w:left="180"/>
              <w:spacing w:after="0"/>
              <w:rPr>
                <w:sz w:val="20"/>
                <w:szCs w:val="20"/>
                <w:color w:val="auto"/>
              </w:rPr>
            </w:pPr>
            <w:r>
              <w:rPr>
                <w:rFonts w:ascii="Arial" w:cs="Arial" w:eastAsia="Arial" w:hAnsi="Arial"/>
                <w:sz w:val="14"/>
                <w:szCs w:val="14"/>
                <w:color w:val="FFFFFF"/>
              </w:rPr>
              <w:t>of 262%</w:t>
            </w:r>
          </w:p>
        </w:tc>
      </w:tr>
      <w:tr>
        <w:trPr>
          <w:trHeight w:val="430"/>
        </w:trPr>
        <w:tc>
          <w:tcPr>
            <w:tcW w:w="3580" w:type="dxa"/>
            <w:vAlign w:val="bottom"/>
            <w:shd w:val="clear" w:color="auto" w:fill="000000"/>
          </w:tcPr>
          <w:p>
            <w:pPr>
              <w:spacing w:after="0"/>
              <w:rPr>
                <w:sz w:val="24"/>
                <w:szCs w:val="24"/>
                <w:color w:val="auto"/>
              </w:rPr>
            </w:pPr>
          </w:p>
        </w:tc>
        <w:tc>
          <w:tcPr>
            <w:tcW w:w="220" w:type="dxa"/>
            <w:vAlign w:val="bottom"/>
          </w:tcPr>
          <w:p>
            <w:pPr>
              <w:spacing w:after="0"/>
              <w:rPr>
                <w:sz w:val="24"/>
                <w:szCs w:val="24"/>
                <w:color w:val="auto"/>
              </w:rPr>
            </w:pPr>
          </w:p>
        </w:tc>
        <w:tc>
          <w:tcPr>
            <w:tcW w:w="3600" w:type="dxa"/>
            <w:vAlign w:val="bottom"/>
            <w:shd w:val="clear" w:color="auto" w:fill="2B338D"/>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rPr>
          <w:sz w:val="20"/>
          <w:szCs w:val="20"/>
          <w:color w:val="auto"/>
        </w:rPr>
      </w:pPr>
      <w:r>
        <w:rPr>
          <w:rFonts w:ascii="Arial" w:cs="Arial" w:eastAsia="Arial" w:hAnsi="Arial"/>
          <w:sz w:val="22"/>
          <w:szCs w:val="22"/>
          <w:b w:val="1"/>
          <w:bCs w:val="1"/>
          <w:color w:val="FFFFFF"/>
        </w:rPr>
        <w:t>Stock Price</w:t>
      </w:r>
    </w:p>
    <w:p>
      <w:pPr>
        <w:spacing w:after="0" w:line="14" w:lineRule="exact"/>
        <w:rPr>
          <w:sz w:val="20"/>
          <w:szCs w:val="20"/>
          <w:color w:val="auto"/>
        </w:rPr>
      </w:pPr>
    </w:p>
    <w:p>
      <w:pPr>
        <w:spacing w:after="0"/>
        <w:rPr>
          <w:sz w:val="20"/>
          <w:szCs w:val="20"/>
          <w:color w:val="auto"/>
        </w:rPr>
      </w:pPr>
      <w:r>
        <w:rPr>
          <w:rFonts w:ascii="Arial" w:cs="Arial" w:eastAsia="Arial" w:hAnsi="Arial"/>
          <w:sz w:val="72"/>
          <w:szCs w:val="72"/>
          <w:color w:val="FFFFFF"/>
        </w:rPr>
        <w:t>1374%</w:t>
      </w:r>
    </w:p>
    <w:p>
      <w:pPr>
        <w:spacing w:after="0"/>
        <w:rPr>
          <w:sz w:val="20"/>
          <w:szCs w:val="20"/>
          <w:color w:val="auto"/>
        </w:rPr>
      </w:pPr>
      <w:r>
        <w:rPr>
          <w:rFonts w:ascii="Arial" w:cs="Arial" w:eastAsia="Arial" w:hAnsi="Arial"/>
          <w:sz w:val="20"/>
          <w:szCs w:val="20"/>
          <w:b w:val="1"/>
          <w:bCs w:val="1"/>
          <w:color w:val="FFFFFF"/>
        </w:rPr>
        <w:t>$16 à $235.91</w:t>
      </w:r>
    </w:p>
    <w:p>
      <w:pPr>
        <w:spacing w:after="0" w:line="62" w:lineRule="exact"/>
        <w:rPr>
          <w:sz w:val="20"/>
          <w:szCs w:val="20"/>
          <w:color w:val="auto"/>
        </w:rPr>
      </w:pPr>
    </w:p>
    <w:p>
      <w:pPr>
        <w:ind w:right="260"/>
        <w:spacing w:after="0" w:line="265" w:lineRule="auto"/>
        <w:rPr>
          <w:sz w:val="20"/>
          <w:szCs w:val="20"/>
          <w:color w:val="auto"/>
        </w:rPr>
      </w:pPr>
      <w:r>
        <w:rPr>
          <w:rFonts w:ascii="Arial" w:cs="Arial" w:eastAsia="Arial" w:hAnsi="Arial"/>
          <w:sz w:val="14"/>
          <w:szCs w:val="14"/>
          <w:color w:val="FFFFFF"/>
        </w:rPr>
        <w:t>The closing market price of our common stock on July 30, 2021, the last trading day of fiscal 2021 was $235.91 per share, compared to our initial public offering price of $16 per share. This reflects an increase of 1,374%.</w:t>
      </w:r>
    </w:p>
    <w:p>
      <w:pPr>
        <w:spacing w:after="0" w:line="193" w:lineRule="exact"/>
        <w:rPr>
          <w:sz w:val="20"/>
          <w:szCs w:val="20"/>
          <w:color w:val="auto"/>
        </w:rPr>
      </w:pPr>
    </w:p>
    <w:p>
      <w:pPr>
        <w:sectPr>
          <w:pgSz w:w="11900" w:h="16838" w:orient="portrait"/>
          <w:cols w:equalWidth="0" w:num="2">
            <w:col w:w="7400" w:space="400"/>
            <w:col w:w="3440"/>
          </w:cols>
          <w:pgMar w:left="320" w:top="172" w:right="339" w:bottom="1440" w:gutter="0" w:footer="0" w:header="0"/>
          <w:type w:val="continuous"/>
        </w:sectPr>
      </w:pPr>
    </w:p>
    <w:p>
      <w:pPr>
        <w:ind w:left="180" w:right="100" w:hanging="172"/>
        <w:spacing w:after="0" w:line="242" w:lineRule="auto"/>
        <w:tabs>
          <w:tab w:leader="none" w:pos="175" w:val="left"/>
        </w:tabs>
        <w:numPr>
          <w:ilvl w:val="0"/>
          <w:numId w:val="36"/>
        </w:numPr>
        <w:rPr>
          <w:rFonts w:ascii="Arial" w:cs="Arial" w:eastAsia="Arial" w:hAnsi="Arial"/>
          <w:sz w:val="13"/>
          <w:szCs w:val="13"/>
          <w:color w:val="auto"/>
        </w:rPr>
      </w:pPr>
      <w:r>
        <w:rPr>
          <w:rFonts w:ascii="Arial" w:cs="Arial" w:eastAsia="Arial" w:hAnsi="Arial"/>
          <w:sz w:val="13"/>
          <w:szCs w:val="13"/>
          <w:color w:val="auto"/>
        </w:rPr>
        <w:t>Calculated billings is a non-GAAP financial measure that we believe is a key metric to measure our periodic performance. Calculated billings represents our total revenue plus the change in deferred revenue in a period. See Appendix A for the calculation of calculated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223520</wp:posOffset>
            </wp:positionV>
            <wp:extent cx="342900" cy="21463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42900" cy="214630"/>
                    </a:xfrm>
                    <a:prstGeom prst="rect">
                      <a:avLst/>
                    </a:prstGeom>
                    <a:noFill/>
                  </pic:spPr>
                </pic:pic>
              </a:graphicData>
            </a:graphic>
          </wp:anchor>
        </w:drawing>
      </w:r>
    </w:p>
    <w:p>
      <w:pPr>
        <w:spacing w:after="0" w:line="271" w:lineRule="exact"/>
        <w:rPr>
          <w:sz w:val="20"/>
          <w:szCs w:val="20"/>
          <w:color w:val="auto"/>
        </w:rPr>
      </w:pPr>
    </w:p>
    <w:p>
      <w:pPr>
        <w:jc w:val="both"/>
        <w:ind w:left="5540"/>
        <w:spacing w:after="0"/>
        <w:tabs>
          <w:tab w:leader="none" w:pos="9780" w:val="left"/>
        </w:tabs>
        <w:rPr>
          <w:sz w:val="20"/>
          <w:szCs w:val="20"/>
          <w:color w:val="auto"/>
        </w:rPr>
      </w:pPr>
      <w:r>
        <w:rPr>
          <w:rFonts w:ascii="Arial" w:cs="Arial" w:eastAsia="Arial" w:hAnsi="Arial"/>
          <w:sz w:val="29"/>
          <w:szCs w:val="29"/>
          <w:color w:val="auto"/>
          <w:vertAlign w:val="superscript"/>
        </w:rPr>
        <w:t>37</w:t>
      </w:r>
      <w:r>
        <w:rPr>
          <w:sz w:val="20"/>
          <w:szCs w:val="20"/>
          <w:color w:val="auto"/>
        </w:rPr>
        <w:tab/>
      </w:r>
      <w:r>
        <w:rPr>
          <w:rFonts w:ascii="Arial" w:cs="Arial" w:eastAsia="Arial" w:hAnsi="Arial"/>
          <w:sz w:val="14"/>
          <w:szCs w:val="14"/>
          <w:color w:val="auto"/>
        </w:rPr>
        <w:t>2021 Proxy Statement</w:t>
      </w:r>
    </w:p>
    <w:p>
      <w:pPr>
        <w:sectPr>
          <w:pgSz w:w="11900" w:h="16838" w:orient="portrait"/>
          <w:cols w:equalWidth="0" w:num="1">
            <w:col w:w="11240"/>
          </w:cols>
          <w:pgMar w:left="320" w:top="172" w:right="339" w:bottom="1440" w:gutter="0" w:footer="0" w:header="0"/>
          <w:type w:val="continuous"/>
        </w:sectPr>
      </w:pPr>
    </w:p>
    <w:bookmarkStart w:id="41" w:name="page42"/>
    <w:bookmarkEnd w:id="41"/>
    <w:p>
      <w:pPr>
        <w:ind w:left="280"/>
        <w:spacing w:after="0"/>
        <w:rPr>
          <w:sz w:val="20"/>
          <w:szCs w:val="20"/>
          <w:color w:val="auto"/>
        </w:rPr>
      </w:pPr>
      <w:r>
        <w:rPr>
          <w:rFonts w:ascii="Arial" w:cs="Arial" w:eastAsia="Arial" w:hAnsi="Arial"/>
          <w:sz w:val="13"/>
          <w:szCs w:val="13"/>
          <w:b w:val="1"/>
          <w:bCs w:val="1"/>
          <w:color w:val="929292"/>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7470" cy="596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7470" cy="59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Executive Compensation Highlights</w:t>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During and for fiscal 2021, the compensation committee took the following key actions with respect to the compensation of our Named Executive Officers:</w:t>
      </w:r>
    </w:p>
    <w:p>
      <w:pPr>
        <w:spacing w:after="0" w:line="215" w:lineRule="exact"/>
        <w:rPr>
          <w:sz w:val="20"/>
          <w:szCs w:val="20"/>
          <w:color w:val="auto"/>
        </w:rPr>
      </w:pPr>
    </w:p>
    <w:p>
      <w:pPr>
        <w:ind w:left="500" w:right="420" w:hanging="168"/>
        <w:spacing w:after="0" w:line="354" w:lineRule="auto"/>
        <w:tabs>
          <w:tab w:leader="none" w:pos="462" w:val="left"/>
        </w:tabs>
        <w:numPr>
          <w:ilvl w:val="0"/>
          <w:numId w:val="3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Base Salaries </w:t>
      </w:r>
      <w:r>
        <w:rPr>
          <w:rFonts w:ascii="Arial" w:cs="Arial" w:eastAsia="Arial" w:hAnsi="Arial"/>
          <w:sz w:val="16"/>
          <w:szCs w:val="16"/>
          <w:color w:val="auto"/>
        </w:rPr>
        <w:t>– The compensation committee determined to increase the annual base salaries of our Named Executive Officers (other than our</w:t>
      </w:r>
      <w:r>
        <w:rPr>
          <w:rFonts w:ascii="Arial" w:cs="Arial" w:eastAsia="Arial" w:hAnsi="Arial"/>
          <w:sz w:val="16"/>
          <w:szCs w:val="16"/>
          <w:b w:val="1"/>
          <w:bCs w:val="1"/>
          <w:color w:val="auto"/>
        </w:rPr>
        <w:t xml:space="preserve"> </w:t>
      </w:r>
      <w:r>
        <w:rPr>
          <w:rFonts w:ascii="Arial" w:cs="Arial" w:eastAsia="Arial" w:hAnsi="Arial"/>
          <w:sz w:val="16"/>
          <w:szCs w:val="16"/>
          <w:color w:val="auto"/>
        </w:rPr>
        <w:t>CEO) to bring their base salaries to levels that were comparable to those of similarly-situated executives in the competitive marketplace and to maintain the annual base salary of our CEO at its fiscal 2020 level of $23,660.</w:t>
      </w:r>
    </w:p>
    <w:p>
      <w:pPr>
        <w:spacing w:after="0" w:line="117" w:lineRule="exact"/>
        <w:rPr>
          <w:rFonts w:ascii="Arial" w:cs="Arial" w:eastAsia="Arial" w:hAnsi="Arial"/>
          <w:sz w:val="16"/>
          <w:szCs w:val="16"/>
          <w:b w:val="1"/>
          <w:bCs w:val="1"/>
          <w:color w:val="auto"/>
        </w:rPr>
      </w:pPr>
    </w:p>
    <w:p>
      <w:pPr>
        <w:ind w:left="500" w:hanging="168"/>
        <w:spacing w:after="0" w:line="347" w:lineRule="auto"/>
        <w:tabs>
          <w:tab w:leader="none" w:pos="462" w:val="left"/>
        </w:tabs>
        <w:numPr>
          <w:ilvl w:val="0"/>
          <w:numId w:val="3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Cash Bonuses </w:t>
      </w:r>
      <w:r>
        <w:rPr>
          <w:rFonts w:ascii="Arial" w:cs="Arial" w:eastAsia="Arial" w:hAnsi="Arial"/>
          <w:sz w:val="16"/>
          <w:szCs w:val="16"/>
          <w:color w:val="auto"/>
        </w:rPr>
        <w:t>– Based on our strong performance during fiscal 2021, the compensation committee made cash bonus payments to our Named</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Officers under our Employee Incentive Compensation Plan, which, in the aggregate, represented approximately 140% of their target annual cash bonus award opportunities based on performance. As in prior fiscal years, our CEO declined to participate in our Employee Incentive Compensation Plan.</w:t>
      </w:r>
    </w:p>
    <w:p>
      <w:pPr>
        <w:spacing w:after="0" w:line="123" w:lineRule="exact"/>
        <w:rPr>
          <w:rFonts w:ascii="Arial" w:cs="Arial" w:eastAsia="Arial" w:hAnsi="Arial"/>
          <w:sz w:val="16"/>
          <w:szCs w:val="16"/>
          <w:b w:val="1"/>
          <w:bCs w:val="1"/>
          <w:color w:val="auto"/>
        </w:rPr>
      </w:pPr>
    </w:p>
    <w:p>
      <w:pPr>
        <w:ind w:left="500" w:hanging="168"/>
        <w:spacing w:after="0" w:line="344" w:lineRule="auto"/>
        <w:tabs>
          <w:tab w:leader="none" w:pos="462" w:val="left"/>
        </w:tabs>
        <w:numPr>
          <w:ilvl w:val="0"/>
          <w:numId w:val="3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Long-Term Incentive Compensation </w:t>
      </w:r>
      <w:r>
        <w:rPr>
          <w:rFonts w:ascii="Arial" w:cs="Arial" w:eastAsia="Arial" w:hAnsi="Arial"/>
          <w:sz w:val="16"/>
          <w:szCs w:val="16"/>
          <w:color w:val="auto"/>
        </w:rPr>
        <w:t>– The compensation committee approved long-term incentive compensation opportunities in the form of time-based restricted stock unit (“RSU”) awards to our Named Executive Officers (other than our CEO). RSU awards are subject to time-based vesting that requires continued service with us through each vesting date. The vesting period is typically four years with shares vesting ratably over the period. However, the RSU awards approved during fiscal 2021 were designed to provide extended long-term retention and were structured to vest over an almost six-and-a-half-year period from the date of grant with vesting heavily weighted into the later years of the vesting period.</w:t>
      </w:r>
    </w:p>
    <w:p>
      <w:pPr>
        <w:spacing w:after="0" w:line="125" w:lineRule="exact"/>
        <w:rPr>
          <w:rFonts w:ascii="Arial" w:cs="Arial" w:eastAsia="Arial" w:hAnsi="Arial"/>
          <w:sz w:val="16"/>
          <w:szCs w:val="16"/>
          <w:b w:val="1"/>
          <w:bCs w:val="1"/>
          <w:color w:val="auto"/>
        </w:rPr>
      </w:pPr>
    </w:p>
    <w:p>
      <w:pPr>
        <w:ind w:left="500" w:right="120" w:hanging="168"/>
        <w:spacing w:after="0" w:line="342" w:lineRule="auto"/>
        <w:tabs>
          <w:tab w:leader="none" w:pos="462" w:val="left"/>
        </w:tabs>
        <w:numPr>
          <w:ilvl w:val="0"/>
          <w:numId w:val="3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Metrics for Performance-Based Compensation </w:t>
      </w:r>
      <w:r>
        <w:rPr>
          <w:rFonts w:ascii="Arial" w:cs="Arial" w:eastAsia="Arial" w:hAnsi="Arial"/>
          <w:sz w:val="16"/>
          <w:szCs w:val="16"/>
          <w:color w:val="auto"/>
        </w:rPr>
        <w:t>– The compensation committee determined the metrics and related target levels for performance-based executive compensation in September 2020. The compensation committee selected revenue and calculated billings as the appropriate corporate performance metrics for both cash and equity performance programs because, in its view, these metrics were the key indicators of both periodic performance and our progress in executing on our business strategy of focusing on growth and gaining market share. The metric thresholds required for 100% attainment were aggressive with targeted growth over fiscal 2020 results of 53.4% in revenue and 46.4% in calculated billings required for 100% attainment.</w:t>
      </w:r>
    </w:p>
    <w:p>
      <w:pPr>
        <w:spacing w:after="0" w:line="127" w:lineRule="exact"/>
        <w:rPr>
          <w:rFonts w:ascii="Arial" w:cs="Arial" w:eastAsia="Arial" w:hAnsi="Arial"/>
          <w:sz w:val="16"/>
          <w:szCs w:val="16"/>
          <w:b w:val="1"/>
          <w:bCs w:val="1"/>
          <w:color w:val="auto"/>
        </w:rPr>
      </w:pPr>
    </w:p>
    <w:p>
      <w:pPr>
        <w:ind w:left="500" w:right="80" w:hanging="168"/>
        <w:spacing w:after="0" w:line="341" w:lineRule="auto"/>
        <w:tabs>
          <w:tab w:leader="none" w:pos="462" w:val="left"/>
        </w:tabs>
        <w:numPr>
          <w:ilvl w:val="0"/>
          <w:numId w:val="3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CEO and CRO Compensation </w:t>
      </w:r>
      <w:r>
        <w:rPr>
          <w:rFonts w:ascii="Arial" w:cs="Arial" w:eastAsia="Arial" w:hAnsi="Arial"/>
          <w:sz w:val="16"/>
          <w:szCs w:val="16"/>
          <w:color w:val="auto"/>
        </w:rPr>
        <w:t>–The total compensation for Messrs. Chaudhry and Rajic for fiscal 2021 includes the value of performance stock unit</w:t>
      </w:r>
      <w:r>
        <w:rPr>
          <w:rFonts w:ascii="Arial" w:cs="Arial" w:eastAsia="Arial" w:hAnsi="Arial"/>
          <w:sz w:val="16"/>
          <w:szCs w:val="16"/>
          <w:b w:val="1"/>
          <w:bCs w:val="1"/>
          <w:color w:val="auto"/>
        </w:rPr>
        <w:t xml:space="preserve"> </w:t>
      </w:r>
      <w:r>
        <w:rPr>
          <w:rFonts w:ascii="Arial" w:cs="Arial" w:eastAsia="Arial" w:hAnsi="Arial"/>
          <w:sz w:val="16"/>
          <w:szCs w:val="16"/>
          <w:color w:val="auto"/>
        </w:rPr>
        <w:t>("PSU") awards granted in prior years, which awards significantly increased in value since the grant approval dates. The closing market price of our common stock was $37.04 per share with respect to the awards approved in fiscal 2019 for Mr. Chaudhry and $43.98 per share for the awards approved in fiscal 2020 for Mr. Rajic. Due in large part to the performance of Messrs. Chaudhry and Rajic, the Company produced strong growth and financial performance in each of fiscal 2019 and fiscal 2020, resulting in accelerated stock price appreciation for our stockholders. As a result, the closing market price of our common stock was $133.17 per share in fiscal 2021 when the performance metrics for the earlier granted PSU awards were established, and the respective value of the awards for fiscal 2021 compensation purposes was determined.</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Pay-for-Performance</w:t>
      </w:r>
    </w:p>
    <w:p>
      <w:pPr>
        <w:spacing w:after="0" w:line="147" w:lineRule="exact"/>
        <w:rPr>
          <w:sz w:val="20"/>
          <w:szCs w:val="20"/>
          <w:color w:val="auto"/>
        </w:rPr>
      </w:pPr>
    </w:p>
    <w:p>
      <w:pPr>
        <w:ind w:right="20"/>
        <w:spacing w:after="0" w:line="339" w:lineRule="auto"/>
        <w:rPr>
          <w:sz w:val="20"/>
          <w:szCs w:val="20"/>
          <w:color w:val="auto"/>
        </w:rPr>
      </w:pPr>
      <w:r>
        <w:rPr>
          <w:rFonts w:ascii="Arial" w:cs="Arial" w:eastAsia="Arial" w:hAnsi="Arial"/>
          <w:sz w:val="16"/>
          <w:szCs w:val="16"/>
          <w:color w:val="auto"/>
        </w:rPr>
        <w:t>We believe our executive compensation program is reasonable, competitive, and appropriately balances the goals of attracting, motivating, rewarding, and, most importantly, retaining our Named Executive Officers with the goal of aligning their interests with those of our stockholders. To ensure this alignment and to motivate and reward individual initiative and effort, a substantial portion of our Named Executive Officers’ target annual compensation opportunity is both variable in nature and “at-risk.”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513080</wp:posOffset>
            </wp:positionV>
            <wp:extent cx="342900" cy="21399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42900" cy="213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both"/>
        <w:ind w:left="5540"/>
        <w:spacing w:after="0"/>
        <w:tabs>
          <w:tab w:leader="none" w:pos="9780" w:val="left"/>
        </w:tabs>
        <w:rPr>
          <w:sz w:val="20"/>
          <w:szCs w:val="20"/>
          <w:color w:val="auto"/>
        </w:rPr>
      </w:pPr>
      <w:r>
        <w:rPr>
          <w:rFonts w:ascii="Arial" w:cs="Arial" w:eastAsia="Arial" w:hAnsi="Arial"/>
          <w:sz w:val="29"/>
          <w:szCs w:val="29"/>
          <w:color w:val="auto"/>
          <w:vertAlign w:val="superscript"/>
        </w:rPr>
        <w:t>38</w:t>
      </w:r>
      <w:r>
        <w:rPr>
          <w:sz w:val="20"/>
          <w:szCs w:val="20"/>
          <w:color w:val="auto"/>
        </w:rPr>
        <w:tab/>
      </w:r>
      <w:r>
        <w:rPr>
          <w:rFonts w:ascii="Arial" w:cs="Arial" w:eastAsia="Arial" w:hAnsi="Arial"/>
          <w:sz w:val="14"/>
          <w:szCs w:val="14"/>
          <w:color w:val="auto"/>
        </w:rPr>
        <w:t>2021 Proxy Statement</w:t>
      </w:r>
    </w:p>
    <w:p>
      <w:pPr>
        <w:sectPr>
          <w:pgSz w:w="11900" w:h="16838" w:orient="portrait"/>
          <w:cols w:equalWidth="0" w:num="1">
            <w:col w:w="11220"/>
          </w:cols>
          <w:pgMar w:left="320" w:top="172" w:right="359" w:bottom="1440" w:gutter="0" w:footer="0" w:header="0"/>
        </w:sectPr>
      </w:pPr>
    </w:p>
    <w:bookmarkStart w:id="42" w:name="page43"/>
    <w:bookmarkEnd w:id="42"/>
    <w:p>
      <w:pPr>
        <w:ind w:left="280"/>
        <w:spacing w:after="0"/>
        <w:rPr>
          <w:sz w:val="20"/>
          <w:szCs w:val="20"/>
          <w:color w:val="auto"/>
        </w:rPr>
      </w:pPr>
      <w:r>
        <w:rPr>
          <w:rFonts w:ascii="Arial" w:cs="Arial" w:eastAsia="Arial" w:hAnsi="Arial"/>
          <w:sz w:val="13"/>
          <w:szCs w:val="13"/>
          <w:b w:val="1"/>
          <w:bCs w:val="1"/>
          <w:color w:val="929292"/>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7470" cy="596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7470" cy="59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6"/>
          <w:szCs w:val="16"/>
          <w:color w:val="auto"/>
        </w:rPr>
        <w:t>We emphasize variable compensation that appropriately rewards our Named Executive Officers through two separate compensation elements:</w:t>
      </w:r>
    </w:p>
    <w:p>
      <w:pPr>
        <w:spacing w:after="0" w:line="235" w:lineRule="exact"/>
        <w:rPr>
          <w:sz w:val="20"/>
          <w:szCs w:val="20"/>
          <w:color w:val="auto"/>
        </w:rPr>
      </w:pPr>
    </w:p>
    <w:p>
      <w:pPr>
        <w:ind w:left="500" w:right="480" w:hanging="168"/>
        <w:spacing w:after="0" w:line="341" w:lineRule="auto"/>
        <w:tabs>
          <w:tab w:leader="none" w:pos="462" w:val="left"/>
        </w:tabs>
        <w:numPr>
          <w:ilvl w:val="0"/>
          <w:numId w:val="38"/>
        </w:numPr>
        <w:rPr>
          <w:rFonts w:ascii="Arial" w:cs="Arial" w:eastAsia="Arial" w:hAnsi="Arial"/>
          <w:sz w:val="16"/>
          <w:szCs w:val="16"/>
          <w:color w:val="auto"/>
        </w:rPr>
      </w:pPr>
      <w:r>
        <w:rPr>
          <w:rFonts w:ascii="Arial" w:cs="Arial" w:eastAsia="Arial" w:hAnsi="Arial"/>
          <w:sz w:val="16"/>
          <w:szCs w:val="16"/>
          <w:color w:val="auto"/>
        </w:rPr>
        <w:t>First, we provide our Named Executive Officers (other than our CEO) the opportunity to participate in our cash bonus plan which provides cash payments if they produce results that meet or exceed the financial, operational, and strategic objectives set by our compensation committee, as evaluated by our CEO and approved by the compensation committee.</w:t>
      </w:r>
    </w:p>
    <w:p>
      <w:pPr>
        <w:spacing w:after="0" w:line="147" w:lineRule="exact"/>
        <w:rPr>
          <w:rFonts w:ascii="Arial" w:cs="Arial" w:eastAsia="Arial" w:hAnsi="Arial"/>
          <w:sz w:val="16"/>
          <w:szCs w:val="16"/>
          <w:color w:val="auto"/>
        </w:rPr>
      </w:pPr>
    </w:p>
    <w:p>
      <w:pPr>
        <w:ind w:left="500" w:hanging="168"/>
        <w:spacing w:after="0" w:line="339" w:lineRule="auto"/>
        <w:tabs>
          <w:tab w:leader="none" w:pos="462"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 addition, we grant RSU and PSU awards that will reward recipients over a multi-year period, with the PSU awards only being earned for achieving performance objectives established by our compensation committee. The RSU awards and, if earned, PSU awards comprise a majority of our Named Executive Officers’ target total compensation opportunities. The future value of which depends significantly on the value of our common stock, thereby incentivizing them to build sustainable long-term value for the benefit of our stockholders.</w:t>
      </w:r>
    </w:p>
    <w:p>
      <w:pPr>
        <w:spacing w:after="0" w:line="148" w:lineRule="exact"/>
        <w:rPr>
          <w:sz w:val="20"/>
          <w:szCs w:val="20"/>
          <w:color w:val="auto"/>
        </w:rPr>
      </w:pPr>
    </w:p>
    <w:p>
      <w:pPr>
        <w:ind w:right="280"/>
        <w:spacing w:after="0" w:line="341" w:lineRule="auto"/>
        <w:rPr>
          <w:sz w:val="20"/>
          <w:szCs w:val="20"/>
          <w:color w:val="auto"/>
        </w:rPr>
      </w:pPr>
      <w:r>
        <w:rPr>
          <w:rFonts w:ascii="Arial" w:cs="Arial" w:eastAsia="Arial" w:hAnsi="Arial"/>
          <w:sz w:val="16"/>
          <w:szCs w:val="16"/>
          <w:color w:val="auto"/>
        </w:rPr>
        <w:t>These variable pay elements ensure that, each year, a substantial portion of our Named Executive Officers’ target total direct compensation is contingent (rather than fixed) in nature, with the amounts ultimately payable subject to variability above or below target levels commensurate with our actual performance.</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Executive Compensation Policies and Practices</w:t>
      </w:r>
    </w:p>
    <w:p>
      <w:pPr>
        <w:spacing w:after="0" w:line="147" w:lineRule="exact"/>
        <w:rPr>
          <w:sz w:val="20"/>
          <w:szCs w:val="20"/>
          <w:color w:val="auto"/>
        </w:rPr>
      </w:pPr>
    </w:p>
    <w:p>
      <w:pPr>
        <w:ind w:right="160"/>
        <w:spacing w:after="0" w:line="341" w:lineRule="auto"/>
        <w:rPr>
          <w:sz w:val="20"/>
          <w:szCs w:val="20"/>
          <w:color w:val="auto"/>
        </w:rPr>
      </w:pPr>
      <w:r>
        <w:rPr>
          <w:rFonts w:ascii="Arial" w:cs="Arial" w:eastAsia="Arial" w:hAnsi="Arial"/>
          <w:sz w:val="16"/>
          <w:szCs w:val="16"/>
          <w:color w:val="auto"/>
        </w:rPr>
        <w:t>We endeavor to maintain sound governance standards consistent with our executive compensation policies and practices. The compensation committee evaluates our executive compensation program on a regular basis to ensure that it is consistent with our short-term and long-term goals given the dynamic nature of our business and the market in which we compete for executive talent.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255270</wp:posOffset>
            </wp:positionV>
            <wp:extent cx="342900" cy="21399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42900" cy="213995"/>
                    </a:xfrm>
                    <a:prstGeom prst="rect">
                      <a:avLst/>
                    </a:prstGeom>
                    <a:noFill/>
                  </pic:spPr>
                </pic:pic>
              </a:graphicData>
            </a:graphic>
          </wp:anchor>
        </w:drawing>
      </w:r>
    </w:p>
    <w:p>
      <w:pPr>
        <w:spacing w:after="0" w:line="320" w:lineRule="exact"/>
        <w:rPr>
          <w:sz w:val="20"/>
          <w:szCs w:val="20"/>
          <w:color w:val="auto"/>
        </w:rPr>
      </w:pPr>
    </w:p>
    <w:p>
      <w:pPr>
        <w:ind w:left="5540"/>
        <w:spacing w:after="0"/>
        <w:tabs>
          <w:tab w:leader="none" w:pos="9780" w:val="left"/>
        </w:tabs>
        <w:rPr>
          <w:sz w:val="20"/>
          <w:szCs w:val="20"/>
          <w:color w:val="auto"/>
        </w:rPr>
      </w:pPr>
      <w:r>
        <w:rPr>
          <w:rFonts w:ascii="Arial" w:cs="Arial" w:eastAsia="Arial" w:hAnsi="Arial"/>
          <w:sz w:val="29"/>
          <w:szCs w:val="29"/>
          <w:color w:val="auto"/>
          <w:vertAlign w:val="superscript"/>
        </w:rPr>
        <w:t>39</w:t>
      </w:r>
      <w:r>
        <w:rPr>
          <w:sz w:val="20"/>
          <w:szCs w:val="20"/>
          <w:color w:val="auto"/>
        </w:rPr>
        <w:tab/>
      </w:r>
      <w:r>
        <w:rPr>
          <w:rFonts w:ascii="Arial" w:cs="Arial" w:eastAsia="Arial" w:hAnsi="Arial"/>
          <w:sz w:val="14"/>
          <w:szCs w:val="14"/>
          <w:color w:val="auto"/>
        </w:rPr>
        <w:t>2021 Proxy Statement</w:t>
      </w:r>
    </w:p>
    <w:p>
      <w:pPr>
        <w:sectPr>
          <w:pgSz w:w="11900" w:h="16838" w:orient="portrait"/>
          <w:cols w:equalWidth="0" w:num="1">
            <w:col w:w="11220"/>
          </w:cols>
          <w:pgMar w:left="320" w:top="172" w:right="359" w:bottom="1440" w:gutter="0" w:footer="0" w:header="0"/>
        </w:sectPr>
      </w:pPr>
    </w:p>
    <w:bookmarkStart w:id="43" w:name="page44"/>
    <w:bookmarkEnd w:id="43"/>
    <w:p>
      <w:pPr>
        <w:ind w:left="280"/>
        <w:spacing w:after="0"/>
        <w:rPr>
          <w:sz w:val="20"/>
          <w:szCs w:val="20"/>
          <w:color w:val="auto"/>
        </w:rPr>
      </w:pPr>
      <w:r>
        <w:rPr>
          <w:rFonts w:ascii="Arial" w:cs="Arial" w:eastAsia="Arial" w:hAnsi="Arial"/>
          <w:sz w:val="13"/>
          <w:szCs w:val="13"/>
          <w:b w:val="1"/>
          <w:bCs w:val="1"/>
          <w:color w:val="929292"/>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7470" cy="596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7470" cy="59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summarizes our executive compensation and related policies and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2962275</wp:posOffset>
            </wp:positionH>
            <wp:positionV relativeFrom="paragraph">
              <wp:posOffset>147955</wp:posOffset>
            </wp:positionV>
            <wp:extent cx="428625" cy="40322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428625" cy="403225"/>
                    </a:xfrm>
                    <a:prstGeom prst="rect">
                      <a:avLst/>
                    </a:prstGeom>
                    <a:noFill/>
                  </pic:spPr>
                </pic:pic>
              </a:graphicData>
            </a:graphic>
          </wp:anchor>
        </w:drawing>
      </w:r>
    </w:p>
    <w:p>
      <w:pPr>
        <w:spacing w:after="0" w:line="213" w:lineRule="exact"/>
        <w:rPr>
          <w:sz w:val="20"/>
          <w:szCs w:val="20"/>
          <w:color w:val="auto"/>
        </w:rPr>
      </w:pPr>
    </w:p>
    <w:tbl>
      <w:tblPr>
        <w:tblLayout w:type="fixed"/>
        <w:tblInd w:w="700" w:type="dxa"/>
        <w:tblCellMar>
          <w:top w:w="0" w:type="dxa"/>
          <w:left w:w="0" w:type="dxa"/>
          <w:bottom w:w="0" w:type="dxa"/>
          <w:right w:w="0" w:type="dxa"/>
        </w:tblCellMar>
      </w:tblPr>
      <w:tr>
        <w:trPr>
          <w:trHeight w:val="68"/>
        </w:trPr>
        <w:tc>
          <w:tcPr>
            <w:tcW w:w="390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shd w:val="clear" w:color="auto" w:fill="000000"/>
          </w:tcPr>
          <w:p>
            <w:pPr>
              <w:spacing w:after="0"/>
              <w:rPr>
                <w:sz w:val="5"/>
                <w:szCs w:val="5"/>
                <w:color w:val="auto"/>
              </w:rPr>
            </w:pPr>
          </w:p>
        </w:tc>
        <w:tc>
          <w:tcPr>
            <w:tcW w:w="3900" w:type="dxa"/>
            <w:vAlign w:val="bottom"/>
            <w:vMerge w:val="restart"/>
            <w:shd w:val="clear" w:color="auto" w:fill="2B338D"/>
          </w:tcPr>
          <w:p>
            <w:pPr>
              <w:ind w:left="600"/>
              <w:spacing w:after="0"/>
              <w:rPr>
                <w:sz w:val="20"/>
                <w:szCs w:val="20"/>
                <w:color w:val="auto"/>
              </w:rPr>
            </w:pPr>
            <w:r>
              <w:rPr>
                <w:rFonts w:ascii="Arial" w:cs="Arial" w:eastAsia="Arial" w:hAnsi="Arial"/>
                <w:sz w:val="25"/>
                <w:szCs w:val="25"/>
                <w:b w:val="1"/>
                <w:bCs w:val="1"/>
                <w:color w:val="FFFFFF"/>
              </w:rPr>
              <w:t>What We Don't Do</w:t>
            </w:r>
          </w:p>
        </w:tc>
        <w:tc>
          <w:tcPr>
            <w:tcW w:w="0" w:type="dxa"/>
            <w:vAlign w:val="bottom"/>
          </w:tcPr>
          <w:p>
            <w:pPr>
              <w:spacing w:after="0"/>
              <w:rPr>
                <w:sz w:val="1"/>
                <w:szCs w:val="1"/>
                <w:color w:val="auto"/>
              </w:rPr>
            </w:pPr>
          </w:p>
        </w:tc>
      </w:tr>
      <w:tr>
        <w:trPr>
          <w:trHeight w:val="468"/>
        </w:trPr>
        <w:tc>
          <w:tcPr>
            <w:tcW w:w="3900" w:type="dxa"/>
            <w:vAlign w:val="bottom"/>
            <w:shd w:val="clear" w:color="auto" w:fill="009ADA"/>
          </w:tcPr>
          <w:p>
            <w:pPr>
              <w:ind w:left="920"/>
              <w:spacing w:after="0"/>
              <w:rPr>
                <w:sz w:val="20"/>
                <w:szCs w:val="20"/>
                <w:color w:val="auto"/>
              </w:rPr>
            </w:pPr>
            <w:r>
              <w:rPr>
                <w:rFonts w:ascii="Arial" w:cs="Arial" w:eastAsia="Arial" w:hAnsi="Arial"/>
                <w:sz w:val="25"/>
                <w:szCs w:val="25"/>
                <w:b w:val="1"/>
                <w:bCs w:val="1"/>
                <w:color w:val="FFFFFF"/>
              </w:rPr>
              <w:t>What We Do</w:t>
            </w:r>
          </w:p>
        </w:tc>
        <w:tc>
          <w:tcPr>
            <w:tcW w:w="40" w:type="dxa"/>
            <w:vAlign w:val="bottom"/>
          </w:tcPr>
          <w:p>
            <w:pPr>
              <w:spacing w:after="0"/>
              <w:rPr>
                <w:sz w:val="24"/>
                <w:szCs w:val="24"/>
                <w:color w:val="auto"/>
              </w:rPr>
            </w:pPr>
          </w:p>
        </w:tc>
        <w:tc>
          <w:tcPr>
            <w:tcW w:w="680" w:type="dxa"/>
            <w:vAlign w:val="bottom"/>
            <w:shd w:val="clear" w:color="auto" w:fill="000000"/>
          </w:tcPr>
          <w:p>
            <w:pPr>
              <w:spacing w:after="0"/>
              <w:rPr>
                <w:sz w:val="24"/>
                <w:szCs w:val="24"/>
                <w:color w:val="auto"/>
              </w:rPr>
            </w:pPr>
          </w:p>
        </w:tc>
        <w:tc>
          <w:tcPr>
            <w:tcW w:w="3900" w:type="dxa"/>
            <w:vAlign w:val="bottom"/>
            <w:vMerge w:val="continue"/>
            <w:shd w:val="clear" w:color="auto" w:fill="2B338D"/>
          </w:tcPr>
          <w:p>
            <w:pPr>
              <w:spacing w:after="0"/>
              <w:rPr>
                <w:sz w:val="24"/>
                <w:szCs w:val="24"/>
                <w:color w:val="auto"/>
              </w:rPr>
            </w:pPr>
          </w:p>
        </w:tc>
        <w:tc>
          <w:tcPr>
            <w:tcW w:w="0" w:type="dxa"/>
            <w:vAlign w:val="bottom"/>
          </w:tcPr>
          <w:p>
            <w:pPr>
              <w:spacing w:after="0"/>
              <w:rPr>
                <w:sz w:val="1"/>
                <w:szCs w:val="1"/>
                <w:color w:val="auto"/>
              </w:rPr>
            </w:pPr>
          </w:p>
        </w:tc>
      </w:tr>
      <w:tr>
        <w:trPr>
          <w:trHeight w:val="99"/>
        </w:trPr>
        <w:tc>
          <w:tcPr>
            <w:tcW w:w="3900" w:type="dxa"/>
            <w:vAlign w:val="bottom"/>
            <w:shd w:val="clear" w:color="auto" w:fill="009ADA"/>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shd w:val="clear" w:color="auto" w:fill="000000"/>
          </w:tcPr>
          <w:p>
            <w:pPr>
              <w:spacing w:after="0"/>
              <w:rPr>
                <w:sz w:val="8"/>
                <w:szCs w:val="8"/>
                <w:color w:val="auto"/>
              </w:rPr>
            </w:pPr>
          </w:p>
        </w:tc>
        <w:tc>
          <w:tcPr>
            <w:tcW w:w="3900" w:type="dxa"/>
            <w:vAlign w:val="bottom"/>
            <w:shd w:val="clear" w:color="auto" w:fill="2B338D"/>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3900" w:type="dxa"/>
            <w:vAlign w:val="bottom"/>
            <w:shd w:val="clear" w:color="auto" w:fill="009ADA"/>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39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-402590</wp:posOffset>
            </wp:positionV>
            <wp:extent cx="5863590" cy="693547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863590" cy="69354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-402590</wp:posOffset>
            </wp:positionV>
            <wp:extent cx="5863590" cy="693547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863590" cy="6935470"/>
                    </a:xfrm>
                    <a:prstGeom prst="rect">
                      <a:avLst/>
                    </a:prstGeom>
                    <a:noFill/>
                  </pic:spPr>
                </pic:pic>
              </a:graphicData>
            </a:graphic>
          </wp:anchor>
        </w:drawing>
      </w:r>
    </w:p>
    <w:p>
      <w:pPr>
        <w:sectPr>
          <w:pgSz w:w="11900" w:h="16838" w:orient="portrait"/>
          <w:cols w:equalWidth="0" w:num="1">
            <w:col w:w="11220"/>
          </w:cols>
          <w:pgMar w:left="320" w:top="172" w:right="359" w:bottom="1440" w:gutter="0" w:footer="0" w:header="0"/>
        </w:sectPr>
      </w:pPr>
    </w:p>
    <w:p>
      <w:pPr>
        <w:spacing w:after="0" w:line="279" w:lineRule="exact"/>
        <w:rPr>
          <w:sz w:val="20"/>
          <w:szCs w:val="20"/>
          <w:color w:val="auto"/>
        </w:rPr>
      </w:pPr>
    </w:p>
    <w:p>
      <w:pPr>
        <w:ind w:left="1180"/>
        <w:spacing w:after="0"/>
        <w:rPr>
          <w:sz w:val="20"/>
          <w:szCs w:val="20"/>
          <w:color w:val="auto"/>
        </w:rPr>
      </w:pPr>
      <w:r>
        <w:rPr>
          <w:rFonts w:ascii="Arial" w:cs="Arial" w:eastAsia="Arial" w:hAnsi="Arial"/>
          <w:sz w:val="16"/>
          <w:szCs w:val="16"/>
          <w:b w:val="1"/>
          <w:bCs w:val="1"/>
          <w:color w:val="2B338D"/>
        </w:rPr>
        <w:t>MAINTAIN AN INDEPENDENT</w:t>
      </w:r>
    </w:p>
    <w:p>
      <w:pPr>
        <w:spacing w:after="0" w:line="32"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2B338D"/>
        </w:rPr>
        <w:t>COMPENSATION COMMITTEE</w:t>
      </w:r>
    </w:p>
    <w:p>
      <w:pPr>
        <w:spacing w:after="0" w:line="41" w:lineRule="exact"/>
        <w:rPr>
          <w:sz w:val="20"/>
          <w:szCs w:val="20"/>
          <w:color w:val="auto"/>
        </w:rPr>
      </w:pPr>
    </w:p>
    <w:p>
      <w:pPr>
        <w:jc w:val="center"/>
        <w:ind w:left="40"/>
        <w:spacing w:after="0" w:line="278" w:lineRule="auto"/>
        <w:rPr>
          <w:sz w:val="20"/>
          <w:szCs w:val="20"/>
          <w:color w:val="auto"/>
        </w:rPr>
      </w:pPr>
      <w:r>
        <w:rPr>
          <w:rFonts w:ascii="Arial" w:cs="Arial" w:eastAsia="Arial" w:hAnsi="Arial"/>
          <w:sz w:val="14"/>
          <w:szCs w:val="14"/>
          <w:color w:val="auto"/>
        </w:rPr>
        <w:t>The compensation committee consists solely of independent directors who establish our compensation policies and practices.</w:t>
      </w:r>
    </w:p>
    <w:p>
      <w:pPr>
        <w:spacing w:after="0" w:line="200" w:lineRule="exact"/>
        <w:rPr>
          <w:sz w:val="20"/>
          <w:szCs w:val="20"/>
          <w:color w:val="auto"/>
        </w:rPr>
      </w:pPr>
    </w:p>
    <w:p>
      <w:pPr>
        <w:spacing w:after="0" w:line="268"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2B338D"/>
        </w:rPr>
        <w:t>RETAIN AN INDEPENDENT COMPENSATION ADVISOR</w:t>
      </w:r>
    </w:p>
    <w:p>
      <w:pPr>
        <w:spacing w:after="0" w:line="41" w:lineRule="exact"/>
        <w:rPr>
          <w:sz w:val="20"/>
          <w:szCs w:val="20"/>
          <w:color w:val="auto"/>
        </w:rPr>
      </w:pPr>
    </w:p>
    <w:p>
      <w:pPr>
        <w:jc w:val="center"/>
        <w:ind w:left="40"/>
        <w:spacing w:after="0" w:line="267" w:lineRule="auto"/>
        <w:rPr>
          <w:sz w:val="20"/>
          <w:szCs w:val="20"/>
          <w:color w:val="auto"/>
        </w:rPr>
      </w:pPr>
      <w:r>
        <w:rPr>
          <w:rFonts w:ascii="Arial" w:cs="Arial" w:eastAsia="Arial" w:hAnsi="Arial"/>
          <w:sz w:val="14"/>
          <w:szCs w:val="14"/>
          <w:color w:val="auto"/>
        </w:rPr>
        <w:t>The compensation committee has engaged its own compensation consultant to provide information, analysis, and other advice on executive compensation independent of management. This consultant performed no other consulting or other services for us in fiscal 2021.</w:t>
      </w:r>
    </w:p>
    <w:p>
      <w:pPr>
        <w:spacing w:after="0" w:line="200" w:lineRule="exact"/>
        <w:rPr>
          <w:sz w:val="20"/>
          <w:szCs w:val="20"/>
          <w:color w:val="auto"/>
        </w:rPr>
      </w:pPr>
    </w:p>
    <w:p>
      <w:pPr>
        <w:spacing w:after="0" w:line="343" w:lineRule="exact"/>
        <w:rPr>
          <w:sz w:val="20"/>
          <w:szCs w:val="20"/>
          <w:color w:val="auto"/>
        </w:rPr>
      </w:pPr>
    </w:p>
    <w:p>
      <w:pPr>
        <w:jc w:val="center"/>
        <w:ind w:left="40"/>
        <w:spacing w:after="0"/>
        <w:rPr>
          <w:sz w:val="20"/>
          <w:szCs w:val="20"/>
          <w:color w:val="auto"/>
        </w:rPr>
      </w:pPr>
      <w:r>
        <w:rPr>
          <w:rFonts w:ascii="Arial" w:cs="Arial" w:eastAsia="Arial" w:hAnsi="Arial"/>
          <w:sz w:val="16"/>
          <w:szCs w:val="16"/>
          <w:b w:val="1"/>
          <w:bCs w:val="1"/>
          <w:color w:val="2B338D"/>
        </w:rPr>
        <w:t>ANNUAL EXECUTIVE COMPENSATION REVIEW</w:t>
      </w:r>
    </w:p>
    <w:p>
      <w:pPr>
        <w:spacing w:after="0" w:line="41" w:lineRule="exact"/>
        <w:rPr>
          <w:sz w:val="20"/>
          <w:szCs w:val="20"/>
          <w:color w:val="auto"/>
        </w:rPr>
      </w:pPr>
    </w:p>
    <w:p>
      <w:pPr>
        <w:jc w:val="center"/>
        <w:ind w:left="40"/>
        <w:spacing w:after="0" w:line="264" w:lineRule="auto"/>
        <w:rPr>
          <w:sz w:val="20"/>
          <w:szCs w:val="20"/>
          <w:color w:val="auto"/>
        </w:rPr>
      </w:pPr>
      <w:r>
        <w:rPr>
          <w:rFonts w:ascii="Arial" w:cs="Arial" w:eastAsia="Arial" w:hAnsi="Arial"/>
          <w:sz w:val="14"/>
          <w:szCs w:val="14"/>
          <w:color w:val="auto"/>
        </w:rPr>
        <w:t>The compensation committee conducts an annual review and approval of our compensation strategy, including a review and determination of our compensation peer group used for comparative purposes and a review of our compensation-related risk profile to ensure that our compensation programs do not encourage excessive or inappropriate risk-taking and that the level of risk that they do encourage is not reasonably likely to have a material adverse effect on us.</w:t>
      </w:r>
    </w:p>
    <w:p>
      <w:pPr>
        <w:spacing w:after="0" w:line="200" w:lineRule="exact"/>
        <w:rPr>
          <w:sz w:val="20"/>
          <w:szCs w:val="20"/>
          <w:color w:val="auto"/>
        </w:rPr>
      </w:pPr>
    </w:p>
    <w:p>
      <w:pPr>
        <w:spacing w:after="0" w:line="346" w:lineRule="exact"/>
        <w:rPr>
          <w:sz w:val="20"/>
          <w:szCs w:val="20"/>
          <w:color w:val="auto"/>
        </w:rPr>
      </w:pPr>
    </w:p>
    <w:p>
      <w:pPr>
        <w:jc w:val="center"/>
        <w:ind w:left="40"/>
        <w:spacing w:after="0"/>
        <w:rPr>
          <w:sz w:val="20"/>
          <w:szCs w:val="20"/>
          <w:color w:val="auto"/>
        </w:rPr>
      </w:pPr>
      <w:r>
        <w:rPr>
          <w:rFonts w:ascii="Arial" w:cs="Arial" w:eastAsia="Arial" w:hAnsi="Arial"/>
          <w:sz w:val="16"/>
          <w:szCs w:val="16"/>
          <w:b w:val="1"/>
          <w:bCs w:val="1"/>
          <w:color w:val="2B338D"/>
        </w:rPr>
        <w:t>AT-RISK COMPENSATION</w:t>
      </w:r>
    </w:p>
    <w:p>
      <w:pPr>
        <w:spacing w:after="0" w:line="41" w:lineRule="exact"/>
        <w:rPr>
          <w:sz w:val="20"/>
          <w:szCs w:val="20"/>
          <w:color w:val="auto"/>
        </w:rPr>
      </w:pPr>
    </w:p>
    <w:p>
      <w:pPr>
        <w:jc w:val="center"/>
        <w:ind w:left="40"/>
        <w:spacing w:after="0" w:line="267" w:lineRule="auto"/>
        <w:rPr>
          <w:sz w:val="20"/>
          <w:szCs w:val="20"/>
          <w:color w:val="auto"/>
        </w:rPr>
      </w:pPr>
      <w:r>
        <w:rPr>
          <w:rFonts w:ascii="Arial" w:cs="Arial" w:eastAsia="Arial" w:hAnsi="Arial"/>
          <w:sz w:val="14"/>
          <w:szCs w:val="14"/>
          <w:color w:val="auto"/>
        </w:rPr>
        <w:t>Our executive compensation program is designed so that a significant portion of our Named Executive Officers’ compensation is “at risk” based on corporate performance, as well as equity-based, to align the interests of our Named Executive Officers and stockholders.</w:t>
      </w:r>
    </w:p>
    <w:p>
      <w:pPr>
        <w:spacing w:after="0" w:line="200" w:lineRule="exact"/>
        <w:rPr>
          <w:sz w:val="20"/>
          <w:szCs w:val="20"/>
          <w:color w:val="auto"/>
        </w:rPr>
      </w:pPr>
    </w:p>
    <w:p>
      <w:pPr>
        <w:spacing w:after="0" w:line="316" w:lineRule="exact"/>
        <w:rPr>
          <w:sz w:val="20"/>
          <w:szCs w:val="20"/>
          <w:color w:val="auto"/>
        </w:rPr>
      </w:pPr>
    </w:p>
    <w:p>
      <w:pPr>
        <w:jc w:val="center"/>
        <w:ind w:left="40"/>
        <w:spacing w:after="0"/>
        <w:rPr>
          <w:sz w:val="20"/>
          <w:szCs w:val="20"/>
          <w:color w:val="auto"/>
        </w:rPr>
      </w:pPr>
      <w:r>
        <w:rPr>
          <w:rFonts w:ascii="Arial" w:cs="Arial" w:eastAsia="Arial" w:hAnsi="Arial"/>
          <w:sz w:val="16"/>
          <w:szCs w:val="16"/>
          <w:b w:val="1"/>
          <w:bCs w:val="1"/>
          <w:color w:val="2B338D"/>
        </w:rPr>
        <w:t>USE PAY-FOR-PERFORMANCE PHILOSOPHY</w:t>
      </w:r>
    </w:p>
    <w:p>
      <w:pPr>
        <w:spacing w:after="0" w:line="41" w:lineRule="exact"/>
        <w:rPr>
          <w:sz w:val="20"/>
          <w:szCs w:val="20"/>
          <w:color w:val="auto"/>
        </w:rPr>
      </w:pPr>
    </w:p>
    <w:p>
      <w:pPr>
        <w:jc w:val="center"/>
        <w:ind w:left="40"/>
        <w:spacing w:after="0"/>
        <w:rPr>
          <w:sz w:val="20"/>
          <w:szCs w:val="20"/>
          <w:color w:val="auto"/>
        </w:rPr>
      </w:pPr>
      <w:r>
        <w:rPr>
          <w:rFonts w:ascii="Arial" w:cs="Arial" w:eastAsia="Arial" w:hAnsi="Arial"/>
          <w:sz w:val="14"/>
          <w:szCs w:val="14"/>
          <w:color w:val="auto"/>
        </w:rPr>
        <w:t>Most of our Named Executive Officers’ compensation is directly linked</w:t>
      </w:r>
    </w:p>
    <w:p>
      <w:pPr>
        <w:spacing w:after="0" w:line="15" w:lineRule="exact"/>
        <w:rPr>
          <w:sz w:val="20"/>
          <w:szCs w:val="20"/>
          <w:color w:val="auto"/>
        </w:rPr>
      </w:pPr>
    </w:p>
    <w:p>
      <w:pPr>
        <w:jc w:val="center"/>
        <w:ind w:left="40"/>
        <w:spacing w:after="0" w:line="265" w:lineRule="auto"/>
        <w:rPr>
          <w:sz w:val="20"/>
          <w:szCs w:val="20"/>
          <w:color w:val="auto"/>
        </w:rPr>
      </w:pPr>
      <w:r>
        <w:rPr>
          <w:rFonts w:ascii="Arial" w:cs="Arial" w:eastAsia="Arial" w:hAnsi="Arial"/>
          <w:sz w:val="14"/>
          <w:szCs w:val="14"/>
          <w:color w:val="auto"/>
        </w:rPr>
        <w:t>to corporate performance; we also structure their target total compensation opportunities with a significant long-term equity component, thereby making a substantial portion of each Named Executive Officer’s target total compensation dependent upon the long-term growth of our stock price.</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jc w:val="center"/>
        <w:ind w:right="2020"/>
        <w:spacing w:after="0"/>
        <w:rPr>
          <w:sz w:val="20"/>
          <w:szCs w:val="20"/>
          <w:color w:val="auto"/>
        </w:rPr>
      </w:pPr>
      <w:r>
        <w:rPr>
          <w:rFonts w:ascii="Arial" w:cs="Arial" w:eastAsia="Arial" w:hAnsi="Arial"/>
          <w:sz w:val="16"/>
          <w:szCs w:val="16"/>
          <w:b w:val="1"/>
          <w:bCs w:val="1"/>
          <w:color w:val="2B338D"/>
        </w:rPr>
        <w:t>NO EXECUTIVE RETIREMENT PLANS</w:t>
      </w:r>
    </w:p>
    <w:p>
      <w:pPr>
        <w:spacing w:after="0" w:line="41" w:lineRule="exact"/>
        <w:rPr>
          <w:sz w:val="20"/>
          <w:szCs w:val="20"/>
          <w:color w:val="auto"/>
        </w:rPr>
      </w:pPr>
    </w:p>
    <w:p>
      <w:pPr>
        <w:jc w:val="center"/>
        <w:ind w:right="2020"/>
        <w:spacing w:after="0" w:line="264" w:lineRule="auto"/>
        <w:rPr>
          <w:sz w:val="20"/>
          <w:szCs w:val="20"/>
          <w:color w:val="auto"/>
        </w:rPr>
      </w:pPr>
      <w:r>
        <w:rPr>
          <w:rFonts w:ascii="Arial" w:cs="Arial" w:eastAsia="Arial" w:hAnsi="Arial"/>
          <w:sz w:val="14"/>
          <w:szCs w:val="14"/>
          <w:color w:val="auto"/>
        </w:rPr>
        <w:t>We do not currently offer, nor do we have plans to offer, defined benefit pension plans or any non-qualified deferred compensation plans or arrangements to our Named Executive Officers other than the plans and arrangements that are available to all employees. Our Named Executive Officers are eligible to participate in our Section 401(k) retirement plan on the same basis as our other employees.</w:t>
      </w:r>
    </w:p>
    <w:p>
      <w:pPr>
        <w:spacing w:after="0" w:line="200" w:lineRule="exact"/>
        <w:rPr>
          <w:sz w:val="20"/>
          <w:szCs w:val="20"/>
          <w:color w:val="auto"/>
        </w:rPr>
      </w:pPr>
    </w:p>
    <w:p>
      <w:pPr>
        <w:spacing w:after="0" w:line="267" w:lineRule="exact"/>
        <w:rPr>
          <w:sz w:val="20"/>
          <w:szCs w:val="20"/>
          <w:color w:val="auto"/>
        </w:rPr>
      </w:pPr>
    </w:p>
    <w:p>
      <w:pPr>
        <w:jc w:val="center"/>
        <w:ind w:right="2020"/>
        <w:spacing w:after="0"/>
        <w:rPr>
          <w:sz w:val="20"/>
          <w:szCs w:val="20"/>
          <w:color w:val="auto"/>
        </w:rPr>
      </w:pPr>
      <w:r>
        <w:rPr>
          <w:rFonts w:ascii="Arial" w:cs="Arial" w:eastAsia="Arial" w:hAnsi="Arial"/>
          <w:sz w:val="16"/>
          <w:szCs w:val="16"/>
          <w:b w:val="1"/>
          <w:bCs w:val="1"/>
          <w:color w:val="2B338D"/>
        </w:rPr>
        <w:t>LIMITED PERQUISITES</w:t>
      </w:r>
    </w:p>
    <w:p>
      <w:pPr>
        <w:spacing w:after="0" w:line="41" w:lineRule="exact"/>
        <w:rPr>
          <w:sz w:val="20"/>
          <w:szCs w:val="20"/>
          <w:color w:val="auto"/>
        </w:rPr>
      </w:pPr>
    </w:p>
    <w:p>
      <w:pPr>
        <w:ind w:left="440" w:right="2140" w:hanging="264"/>
        <w:spacing w:after="0" w:line="278" w:lineRule="auto"/>
        <w:rPr>
          <w:sz w:val="20"/>
          <w:szCs w:val="20"/>
          <w:color w:val="auto"/>
        </w:rPr>
      </w:pPr>
      <w:r>
        <w:rPr>
          <w:rFonts w:ascii="Arial" w:cs="Arial" w:eastAsia="Arial" w:hAnsi="Arial"/>
          <w:sz w:val="14"/>
          <w:szCs w:val="14"/>
          <w:color w:val="auto"/>
        </w:rPr>
        <w:t>Perquisites or other personal benefits are not a material part of our compensation program for our Named Executive Officers.</w:t>
      </w:r>
    </w:p>
    <w:p>
      <w:pPr>
        <w:spacing w:after="0" w:line="200" w:lineRule="exact"/>
        <w:rPr>
          <w:sz w:val="20"/>
          <w:szCs w:val="20"/>
          <w:color w:val="auto"/>
        </w:rPr>
      </w:pPr>
    </w:p>
    <w:p>
      <w:pPr>
        <w:spacing w:after="0" w:line="255" w:lineRule="exact"/>
        <w:rPr>
          <w:sz w:val="20"/>
          <w:szCs w:val="20"/>
          <w:color w:val="auto"/>
        </w:rPr>
      </w:pPr>
    </w:p>
    <w:p>
      <w:pPr>
        <w:jc w:val="center"/>
        <w:ind w:right="2020"/>
        <w:spacing w:after="0"/>
        <w:rPr>
          <w:sz w:val="20"/>
          <w:szCs w:val="20"/>
          <w:color w:val="auto"/>
        </w:rPr>
      </w:pPr>
      <w:r>
        <w:rPr>
          <w:rFonts w:ascii="Arial" w:cs="Arial" w:eastAsia="Arial" w:hAnsi="Arial"/>
          <w:sz w:val="16"/>
          <w:szCs w:val="16"/>
          <w:b w:val="1"/>
          <w:bCs w:val="1"/>
          <w:color w:val="2B338D"/>
        </w:rPr>
        <w:t>NO EXCISE TAX PAYMENTS ON FUTURE POST-</w:t>
      </w:r>
    </w:p>
    <w:p>
      <w:pPr>
        <w:spacing w:after="0" w:line="32" w:lineRule="exact"/>
        <w:rPr>
          <w:sz w:val="20"/>
          <w:szCs w:val="20"/>
          <w:color w:val="auto"/>
        </w:rPr>
      </w:pPr>
    </w:p>
    <w:p>
      <w:pPr>
        <w:jc w:val="center"/>
        <w:ind w:right="2020"/>
        <w:spacing w:after="0"/>
        <w:rPr>
          <w:sz w:val="20"/>
          <w:szCs w:val="20"/>
          <w:color w:val="auto"/>
        </w:rPr>
      </w:pPr>
      <w:r>
        <w:rPr>
          <w:rFonts w:ascii="Arial" w:cs="Arial" w:eastAsia="Arial" w:hAnsi="Arial"/>
          <w:sz w:val="16"/>
          <w:szCs w:val="16"/>
          <w:b w:val="1"/>
          <w:bCs w:val="1"/>
          <w:color w:val="2B338D"/>
        </w:rPr>
        <w:t>EMPLOYMENT COMPENSATION ARRANGEMENTS</w:t>
      </w:r>
    </w:p>
    <w:p>
      <w:pPr>
        <w:spacing w:after="0" w:line="41" w:lineRule="exact"/>
        <w:rPr>
          <w:sz w:val="20"/>
          <w:szCs w:val="20"/>
          <w:color w:val="auto"/>
        </w:rPr>
      </w:pPr>
    </w:p>
    <w:p>
      <w:pPr>
        <w:jc w:val="center"/>
        <w:ind w:left="40" w:right="2020"/>
        <w:spacing w:after="0" w:line="270" w:lineRule="auto"/>
        <w:rPr>
          <w:sz w:val="20"/>
          <w:szCs w:val="20"/>
          <w:color w:val="auto"/>
        </w:rPr>
      </w:pPr>
      <w:r>
        <w:rPr>
          <w:rFonts w:ascii="Arial" w:cs="Arial" w:eastAsia="Arial" w:hAnsi="Arial"/>
          <w:sz w:val="14"/>
          <w:szCs w:val="14"/>
          <w:color w:val="auto"/>
        </w:rPr>
        <w:t>We do not provide any excise tax reimbursement payments (including “gross-ups”) on payments or benefits contingent upon a change in control of the Company.</w:t>
      </w:r>
    </w:p>
    <w:p>
      <w:pPr>
        <w:spacing w:after="0" w:line="200" w:lineRule="exact"/>
        <w:rPr>
          <w:sz w:val="20"/>
          <w:szCs w:val="20"/>
          <w:color w:val="auto"/>
        </w:rPr>
      </w:pPr>
    </w:p>
    <w:p>
      <w:pPr>
        <w:spacing w:after="0" w:line="260" w:lineRule="exact"/>
        <w:rPr>
          <w:sz w:val="20"/>
          <w:szCs w:val="20"/>
          <w:color w:val="auto"/>
        </w:rPr>
      </w:pPr>
    </w:p>
    <w:p>
      <w:pPr>
        <w:jc w:val="center"/>
        <w:ind w:right="2020"/>
        <w:spacing w:after="0"/>
        <w:rPr>
          <w:sz w:val="20"/>
          <w:szCs w:val="20"/>
          <w:color w:val="auto"/>
        </w:rPr>
      </w:pPr>
      <w:r>
        <w:rPr>
          <w:rFonts w:ascii="Arial" w:cs="Arial" w:eastAsia="Arial" w:hAnsi="Arial"/>
          <w:sz w:val="16"/>
          <w:szCs w:val="16"/>
          <w:b w:val="1"/>
          <w:bCs w:val="1"/>
          <w:color w:val="2B338D"/>
        </w:rPr>
        <w:t>NO SPECIAL HEALTH OR WELFARE BENEFITS</w:t>
      </w:r>
    </w:p>
    <w:p>
      <w:pPr>
        <w:spacing w:after="0" w:line="41" w:lineRule="exact"/>
        <w:rPr>
          <w:sz w:val="20"/>
          <w:szCs w:val="20"/>
          <w:color w:val="auto"/>
        </w:rPr>
      </w:pPr>
    </w:p>
    <w:p>
      <w:pPr>
        <w:jc w:val="center"/>
        <w:ind w:left="-19" w:right="40"/>
        <w:spacing w:after="0" w:line="267" w:lineRule="auto"/>
        <w:rPr>
          <w:sz w:val="20"/>
          <w:szCs w:val="20"/>
          <w:color w:val="auto"/>
        </w:rPr>
      </w:pPr>
      <w:r>
        <w:rPr>
          <w:rFonts w:ascii="Arial" w:cs="Arial" w:eastAsia="Arial" w:hAnsi="Arial"/>
          <w:sz w:val="14"/>
          <w:szCs w:val="14"/>
          <w:color w:val="auto"/>
        </w:rPr>
        <w:t>We do not provide our Named Executive Officers with any health or welfare benefit programs, other than participation in our broad-based employee programs on the same basis as our other full-time, salaried employees.</w:t>
      </w:r>
    </w:p>
    <w:p>
      <w:pPr>
        <w:spacing w:after="0" w:line="354" w:lineRule="exact"/>
        <w:rPr>
          <w:sz w:val="20"/>
          <w:szCs w:val="20"/>
          <w:color w:val="auto"/>
        </w:rPr>
      </w:pPr>
    </w:p>
    <w:p>
      <w:pPr>
        <w:jc w:val="center"/>
        <w:ind w:right="2020"/>
        <w:spacing w:after="0"/>
        <w:rPr>
          <w:sz w:val="20"/>
          <w:szCs w:val="20"/>
          <w:color w:val="auto"/>
        </w:rPr>
      </w:pPr>
      <w:r>
        <w:rPr>
          <w:rFonts w:ascii="Arial" w:cs="Arial" w:eastAsia="Arial" w:hAnsi="Arial"/>
          <w:sz w:val="16"/>
          <w:szCs w:val="16"/>
          <w:b w:val="1"/>
          <w:bCs w:val="1"/>
          <w:color w:val="2B338D"/>
        </w:rPr>
        <w:t>NO HEDGING OR PLEDGING OF OUR EQUITY</w:t>
      </w:r>
    </w:p>
    <w:p>
      <w:pPr>
        <w:spacing w:after="0" w:line="32" w:lineRule="exact"/>
        <w:rPr>
          <w:sz w:val="20"/>
          <w:szCs w:val="20"/>
          <w:color w:val="auto"/>
        </w:rPr>
      </w:pPr>
    </w:p>
    <w:p>
      <w:pPr>
        <w:jc w:val="center"/>
        <w:ind w:right="2020"/>
        <w:spacing w:after="0"/>
        <w:rPr>
          <w:sz w:val="20"/>
          <w:szCs w:val="20"/>
          <w:color w:val="auto"/>
        </w:rPr>
      </w:pPr>
      <w:r>
        <w:rPr>
          <w:rFonts w:ascii="Arial" w:cs="Arial" w:eastAsia="Arial" w:hAnsi="Arial"/>
          <w:sz w:val="16"/>
          <w:szCs w:val="16"/>
          <w:b w:val="1"/>
          <w:bCs w:val="1"/>
          <w:color w:val="2B338D"/>
        </w:rPr>
        <w:t>SECURITIES</w:t>
      </w:r>
    </w:p>
    <w:p>
      <w:pPr>
        <w:spacing w:after="0" w:line="41" w:lineRule="exact"/>
        <w:rPr>
          <w:sz w:val="20"/>
          <w:szCs w:val="20"/>
          <w:color w:val="auto"/>
        </w:rPr>
      </w:pPr>
    </w:p>
    <w:p>
      <w:pPr>
        <w:jc w:val="center"/>
        <w:ind w:left="80" w:right="2020"/>
        <w:spacing w:after="0" w:line="270" w:lineRule="auto"/>
        <w:rPr>
          <w:sz w:val="20"/>
          <w:szCs w:val="20"/>
          <w:color w:val="auto"/>
        </w:rPr>
      </w:pPr>
      <w:r>
        <w:rPr>
          <w:rFonts w:ascii="Arial" w:cs="Arial" w:eastAsia="Arial" w:hAnsi="Arial"/>
          <w:sz w:val="14"/>
          <w:szCs w:val="14"/>
          <w:color w:val="auto"/>
        </w:rPr>
        <w:t>We prohibit our employees, including our Named Executive Officers and the members of our board of directors, from hedging or pledging our equity securities.</w:t>
      </w:r>
    </w:p>
    <w:p>
      <w:pPr>
        <w:spacing w:after="0" w:line="1233" w:lineRule="exact"/>
        <w:rPr>
          <w:sz w:val="20"/>
          <w:szCs w:val="20"/>
          <w:color w:val="auto"/>
        </w:rPr>
      </w:pPr>
    </w:p>
    <w:p>
      <w:pPr>
        <w:sectPr>
          <w:pgSz w:w="11900" w:h="16838" w:orient="portrait"/>
          <w:cols w:equalWidth="0" w:num="2">
            <w:col w:w="4580" w:space="100"/>
            <w:col w:w="6540"/>
          </w:cols>
          <w:pgMar w:left="320" w:top="172" w:right="359" w:bottom="1440" w:gutter="0" w:footer="0" w:header="0"/>
          <w:type w:val="continuous"/>
        </w:sectPr>
      </w:pPr>
    </w:p>
    <w:p>
      <w:pPr>
        <w:spacing w:after="0" w:line="319" w:lineRule="exact"/>
        <w:rPr>
          <w:sz w:val="20"/>
          <w:szCs w:val="20"/>
          <w:color w:val="auto"/>
        </w:rPr>
      </w:pPr>
    </w:p>
    <w:p>
      <w:pPr>
        <w:ind w:left="880"/>
        <w:spacing w:after="0"/>
        <w:rPr>
          <w:sz w:val="20"/>
          <w:szCs w:val="20"/>
          <w:color w:val="auto"/>
        </w:rPr>
      </w:pPr>
      <w:r>
        <w:rPr>
          <w:rFonts w:ascii="Arial" w:cs="Arial" w:eastAsia="Arial" w:hAnsi="Arial"/>
          <w:sz w:val="16"/>
          <w:szCs w:val="16"/>
          <w:b w:val="1"/>
          <w:bCs w:val="1"/>
          <w:color w:val="2B338D"/>
        </w:rPr>
        <w:t>NOMINAL BASE SALARY AND ZERO</w:t>
      </w:r>
    </w:p>
    <w:p>
      <w:pPr>
        <w:spacing w:after="0" w:line="32" w:lineRule="exact"/>
        <w:rPr>
          <w:sz w:val="20"/>
          <w:szCs w:val="20"/>
          <w:color w:val="auto"/>
        </w:rPr>
      </w:pPr>
    </w:p>
    <w:p>
      <w:pPr>
        <w:ind w:left="940"/>
        <w:spacing w:after="0"/>
        <w:rPr>
          <w:sz w:val="20"/>
          <w:szCs w:val="20"/>
          <w:color w:val="auto"/>
        </w:rPr>
      </w:pPr>
      <w:r>
        <w:rPr>
          <w:rFonts w:ascii="Arial" w:cs="Arial" w:eastAsia="Arial" w:hAnsi="Arial"/>
          <w:sz w:val="16"/>
          <w:szCs w:val="16"/>
          <w:b w:val="1"/>
          <w:bCs w:val="1"/>
          <w:color w:val="2B338D"/>
        </w:rPr>
        <w:t>BONUS POTENTIAL FOR OUR CEO</w:t>
      </w:r>
    </w:p>
    <w:p>
      <w:pPr>
        <w:spacing w:after="0" w:line="41" w:lineRule="exact"/>
        <w:rPr>
          <w:sz w:val="20"/>
          <w:szCs w:val="20"/>
          <w:color w:val="auto"/>
        </w:rPr>
      </w:pPr>
    </w:p>
    <w:p>
      <w:pPr>
        <w:jc w:val="center"/>
        <w:ind w:right="6600"/>
        <w:spacing w:after="0"/>
        <w:rPr>
          <w:sz w:val="20"/>
          <w:szCs w:val="20"/>
          <w:color w:val="auto"/>
        </w:rPr>
      </w:pPr>
      <w:r>
        <w:rPr>
          <w:rFonts w:ascii="Arial" w:cs="Arial" w:eastAsia="Arial" w:hAnsi="Arial"/>
          <w:sz w:val="14"/>
          <w:szCs w:val="14"/>
          <w:color w:val="auto"/>
        </w:rPr>
        <w:t>Our CEO receives only a nominal base salary and is not</w:t>
      </w:r>
    </w:p>
    <w:p>
      <w:pPr>
        <w:spacing w:after="0" w:line="15" w:lineRule="exact"/>
        <w:rPr>
          <w:sz w:val="20"/>
          <w:szCs w:val="20"/>
          <w:color w:val="auto"/>
        </w:rPr>
      </w:pPr>
    </w:p>
    <w:p>
      <w:pPr>
        <w:jc w:val="center"/>
        <w:ind w:right="6600"/>
        <w:spacing w:after="0"/>
        <w:rPr>
          <w:sz w:val="20"/>
          <w:szCs w:val="20"/>
          <w:color w:val="auto"/>
        </w:rPr>
      </w:pPr>
      <w:r>
        <w:rPr>
          <w:rFonts w:ascii="Arial" w:cs="Arial" w:eastAsia="Arial" w:hAnsi="Arial"/>
          <w:sz w:val="14"/>
          <w:szCs w:val="14"/>
          <w:color w:val="auto"/>
        </w:rPr>
        <w:t>eligible for a cash bonus.</w:t>
      </w:r>
    </w:p>
    <w:p>
      <w:pPr>
        <w:spacing w:after="0" w:line="200" w:lineRule="exact"/>
        <w:rPr>
          <w:sz w:val="20"/>
          <w:szCs w:val="20"/>
          <w:color w:val="auto"/>
        </w:rPr>
      </w:pPr>
    </w:p>
    <w:p>
      <w:pPr>
        <w:spacing w:after="0" w:line="237" w:lineRule="exact"/>
        <w:rPr>
          <w:sz w:val="20"/>
          <w:szCs w:val="20"/>
          <w:color w:val="auto"/>
        </w:rPr>
      </w:pPr>
    </w:p>
    <w:p>
      <w:pPr>
        <w:jc w:val="center"/>
        <w:ind w:right="6600"/>
        <w:spacing w:after="0"/>
        <w:rPr>
          <w:sz w:val="20"/>
          <w:szCs w:val="20"/>
          <w:color w:val="auto"/>
        </w:rPr>
      </w:pPr>
      <w:r>
        <w:rPr>
          <w:rFonts w:ascii="Arial" w:cs="Arial" w:eastAsia="Arial" w:hAnsi="Arial"/>
          <w:sz w:val="16"/>
          <w:szCs w:val="16"/>
          <w:b w:val="1"/>
          <w:bCs w:val="1"/>
          <w:color w:val="2B338D"/>
        </w:rPr>
        <w:t>SUCCESSION PLANNING</w:t>
      </w:r>
    </w:p>
    <w:p>
      <w:pPr>
        <w:spacing w:after="0" w:line="41" w:lineRule="exact"/>
        <w:rPr>
          <w:sz w:val="20"/>
          <w:szCs w:val="20"/>
          <w:color w:val="auto"/>
        </w:rPr>
      </w:pPr>
    </w:p>
    <w:p>
      <w:pPr>
        <w:jc w:val="center"/>
        <w:ind w:right="6600"/>
        <w:spacing w:after="0"/>
        <w:rPr>
          <w:sz w:val="20"/>
          <w:szCs w:val="20"/>
          <w:color w:val="auto"/>
        </w:rPr>
      </w:pPr>
      <w:r>
        <w:rPr>
          <w:rFonts w:ascii="Arial" w:cs="Arial" w:eastAsia="Arial" w:hAnsi="Arial"/>
          <w:sz w:val="14"/>
          <w:szCs w:val="14"/>
          <w:color w:val="auto"/>
        </w:rPr>
        <w:t>We review the risks associated with our key executive officer positions</w:t>
      </w:r>
    </w:p>
    <w:p>
      <w:pPr>
        <w:spacing w:after="0" w:line="15" w:lineRule="exact"/>
        <w:rPr>
          <w:sz w:val="20"/>
          <w:szCs w:val="20"/>
          <w:color w:val="auto"/>
        </w:rPr>
      </w:pPr>
    </w:p>
    <w:p>
      <w:pPr>
        <w:jc w:val="center"/>
        <w:ind w:right="6600"/>
        <w:spacing w:after="0"/>
        <w:rPr>
          <w:sz w:val="20"/>
          <w:szCs w:val="20"/>
          <w:color w:val="auto"/>
        </w:rPr>
      </w:pPr>
      <w:r>
        <w:rPr>
          <w:rFonts w:ascii="Arial" w:cs="Arial" w:eastAsia="Arial" w:hAnsi="Arial"/>
          <w:sz w:val="14"/>
          <w:szCs w:val="14"/>
          <w:color w:val="auto"/>
        </w:rPr>
        <w:t>to ensure adequate succession plans are in place.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460375</wp:posOffset>
            </wp:positionV>
            <wp:extent cx="342900" cy="21463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42900"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left="5540"/>
        <w:spacing w:after="0"/>
        <w:tabs>
          <w:tab w:leader="none" w:pos="9780" w:val="left"/>
        </w:tabs>
        <w:rPr>
          <w:sz w:val="20"/>
          <w:szCs w:val="20"/>
          <w:color w:val="auto"/>
        </w:rPr>
      </w:pPr>
      <w:r>
        <w:rPr>
          <w:rFonts w:ascii="Arial" w:cs="Arial" w:eastAsia="Arial" w:hAnsi="Arial"/>
          <w:sz w:val="29"/>
          <w:szCs w:val="29"/>
          <w:color w:val="auto"/>
          <w:vertAlign w:val="superscript"/>
        </w:rPr>
        <w:t>40</w:t>
      </w:r>
      <w:r>
        <w:rPr>
          <w:sz w:val="20"/>
          <w:szCs w:val="20"/>
          <w:color w:val="auto"/>
        </w:rPr>
        <w:tab/>
      </w:r>
      <w:r>
        <w:rPr>
          <w:rFonts w:ascii="Arial" w:cs="Arial" w:eastAsia="Arial" w:hAnsi="Arial"/>
          <w:sz w:val="14"/>
          <w:szCs w:val="14"/>
          <w:color w:val="auto"/>
        </w:rPr>
        <w:t>2021 Proxy Statement</w:t>
      </w:r>
    </w:p>
    <w:p>
      <w:pPr>
        <w:sectPr>
          <w:pgSz w:w="11900" w:h="16838" w:orient="portrait"/>
          <w:cols w:equalWidth="0" w:num="1">
            <w:col w:w="11220"/>
          </w:cols>
          <w:pgMar w:left="320" w:top="172" w:right="359" w:bottom="1440" w:gutter="0" w:footer="0" w:header="0"/>
          <w:type w:val="continuous"/>
        </w:sectPr>
      </w:pPr>
    </w:p>
    <w:bookmarkStart w:id="44" w:name="page45"/>
    <w:bookmarkEnd w:id="44"/>
    <w:p>
      <w:pPr>
        <w:ind w:left="280"/>
        <w:spacing w:after="0"/>
        <w:rPr>
          <w:sz w:val="20"/>
          <w:szCs w:val="20"/>
          <w:color w:val="auto"/>
        </w:rPr>
      </w:pPr>
      <w:r>
        <w:rPr>
          <w:rFonts w:ascii="Arial" w:cs="Arial" w:eastAsia="Arial" w:hAnsi="Arial"/>
          <w:sz w:val="13"/>
          <w:szCs w:val="13"/>
          <w:b w:val="1"/>
          <w:bCs w:val="1"/>
          <w:color w:val="929292"/>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7470" cy="596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7470" cy="59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Stockholder Advisory Vote on Named Executive Officer Compensation</w:t>
      </w:r>
    </w:p>
    <w:p>
      <w:pPr>
        <w:spacing w:after="0" w:line="93" w:lineRule="exact"/>
        <w:rPr>
          <w:sz w:val="20"/>
          <w:szCs w:val="20"/>
          <w:color w:val="auto"/>
        </w:rPr>
      </w:pPr>
    </w:p>
    <w:p>
      <w:pPr>
        <w:ind w:right="180"/>
        <w:spacing w:after="0" w:line="339" w:lineRule="auto"/>
        <w:rPr>
          <w:sz w:val="20"/>
          <w:szCs w:val="20"/>
          <w:color w:val="auto"/>
        </w:rPr>
      </w:pPr>
      <w:r>
        <w:rPr>
          <w:rFonts w:ascii="Arial" w:cs="Arial" w:eastAsia="Arial" w:hAnsi="Arial"/>
          <w:sz w:val="16"/>
          <w:szCs w:val="16"/>
          <w:color w:val="auto"/>
        </w:rPr>
        <w:t>At our 2020 Annual Meeting of Stockholders, we conducted our initial non-binding stockholder advisory vote on the compensation of our Named Executive Officers (commonly known as a “Say-on-Pay” vote). Approximately 81.0% of the votes cast were cast “FOR” the approval of our Named Executive Officer compensation for fiscal 2020. After considering this result and following our annual review of our executive compensation philosophy, the compensation committee decided to retain our overall approach to executive compensation.</w:t>
      </w:r>
    </w:p>
    <w:p>
      <w:pPr>
        <w:spacing w:after="0" w:line="148" w:lineRule="exact"/>
        <w:rPr>
          <w:sz w:val="20"/>
          <w:szCs w:val="20"/>
          <w:color w:val="auto"/>
        </w:rPr>
      </w:pPr>
    </w:p>
    <w:p>
      <w:pPr>
        <w:ind w:right="40"/>
        <w:spacing w:after="0" w:line="341" w:lineRule="auto"/>
        <w:rPr>
          <w:sz w:val="20"/>
          <w:szCs w:val="20"/>
          <w:color w:val="auto"/>
        </w:rPr>
      </w:pPr>
      <w:r>
        <w:rPr>
          <w:rFonts w:ascii="Arial" w:cs="Arial" w:eastAsia="Arial" w:hAnsi="Arial"/>
          <w:sz w:val="16"/>
          <w:szCs w:val="16"/>
          <w:color w:val="auto"/>
        </w:rPr>
        <w:t>We value the opinions of our stockholders. Our board of directors and the compensation committee will continue to monitor stockholder opinions, including the outcome of future advisory votes on the compensation of our Named Executive Officers, as well as feedback received throughout the year, when making compensation decisions for our executive officers.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2B338D"/>
        </w:rPr>
        <w:t>COMPENSATION-SETTING PROCESS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Role of Compensation Committee</w:t>
      </w:r>
    </w:p>
    <w:p>
      <w:pPr>
        <w:spacing w:after="0" w:line="147" w:lineRule="exact"/>
        <w:rPr>
          <w:sz w:val="20"/>
          <w:szCs w:val="20"/>
          <w:color w:val="auto"/>
        </w:rPr>
      </w:pPr>
    </w:p>
    <w:p>
      <w:pPr>
        <w:ind w:right="80"/>
        <w:spacing w:after="0" w:line="339" w:lineRule="auto"/>
        <w:rPr>
          <w:sz w:val="20"/>
          <w:szCs w:val="20"/>
          <w:color w:val="auto"/>
        </w:rPr>
      </w:pPr>
      <w:r>
        <w:rPr>
          <w:rFonts w:ascii="Arial" w:cs="Arial" w:eastAsia="Arial" w:hAnsi="Arial"/>
          <w:sz w:val="16"/>
          <w:szCs w:val="16"/>
          <w:color w:val="auto"/>
        </w:rPr>
        <w:t>The compensation committee discharges the responsibilities of our board of directors relating to the compensation of our Named Executive Officers and the non-employee members of our board of directors. The compensation committee has overall responsibility for overseeing our compensation and benefits policies generally, and overseeing and evaluating the compensation plans, policies, and practices applicable to our CEO and other Named Executive Officers.</w:t>
      </w:r>
    </w:p>
    <w:p>
      <w:pPr>
        <w:spacing w:after="0" w:line="148" w:lineRule="exact"/>
        <w:rPr>
          <w:sz w:val="20"/>
          <w:szCs w:val="20"/>
          <w:color w:val="auto"/>
        </w:rPr>
      </w:pPr>
    </w:p>
    <w:p>
      <w:pPr>
        <w:spacing w:after="0" w:line="339" w:lineRule="auto"/>
        <w:rPr>
          <w:sz w:val="20"/>
          <w:szCs w:val="20"/>
          <w:color w:val="auto"/>
        </w:rPr>
      </w:pPr>
      <w:r>
        <w:rPr>
          <w:rFonts w:ascii="Arial" w:cs="Arial" w:eastAsia="Arial" w:hAnsi="Arial"/>
          <w:sz w:val="16"/>
          <w:szCs w:val="16"/>
          <w:color w:val="auto"/>
        </w:rPr>
        <w:t>In carrying out its responsibilities, the compensation committee evaluates our compensation policies and practices with a focus on the degree to which these policies and practices reflect our executive compensation philosophy, develops strategies and makes decisions that it believes further our philosophy or align with developments in best compensation practices, and reviews the performance of our Named Executive Officers when making decisions with respect to their compensation.</w:t>
      </w:r>
    </w:p>
    <w:p>
      <w:pPr>
        <w:spacing w:after="0" w:line="148" w:lineRule="exact"/>
        <w:rPr>
          <w:sz w:val="20"/>
          <w:szCs w:val="20"/>
          <w:color w:val="auto"/>
        </w:rPr>
      </w:pPr>
    </w:p>
    <w:p>
      <w:pPr>
        <w:ind w:right="40"/>
        <w:spacing w:after="0" w:line="348" w:lineRule="auto"/>
        <w:rPr>
          <w:sz w:val="20"/>
          <w:szCs w:val="20"/>
          <w:color w:val="auto"/>
        </w:rPr>
      </w:pPr>
      <w:r>
        <w:rPr>
          <w:rFonts w:ascii="Arial" w:cs="Arial" w:eastAsia="Arial" w:hAnsi="Arial"/>
          <w:sz w:val="16"/>
          <w:szCs w:val="16"/>
          <w:color w:val="auto"/>
        </w:rPr>
        <w:t xml:space="preserve">The compensation committee’s authority, duties, and responsibilities are further described in its charter, which is reviewed annually and revised and updated as warranted. The charter is available at </w:t>
      </w:r>
      <w:r>
        <w:rPr>
          <w:rFonts w:ascii="Arial" w:cs="Arial" w:eastAsia="Arial" w:hAnsi="Arial"/>
          <w:sz w:val="16"/>
          <w:szCs w:val="16"/>
          <w:b w:val="1"/>
          <w:bCs w:val="1"/>
          <w:color w:val="auto"/>
        </w:rPr>
        <w:t>http://ir.zscaler.com</w:t>
      </w:r>
      <w:r>
        <w:rPr>
          <w:rFonts w:ascii="Arial" w:cs="Arial" w:eastAsia="Arial" w:hAnsi="Arial"/>
          <w:sz w:val="16"/>
          <w:szCs w:val="16"/>
          <w:color w:val="auto"/>
        </w:rPr>
        <w:t>.</w:t>
      </w:r>
    </w:p>
    <w:p>
      <w:pPr>
        <w:spacing w:after="0" w:line="141" w:lineRule="exact"/>
        <w:rPr>
          <w:sz w:val="20"/>
          <w:szCs w:val="20"/>
          <w:color w:val="auto"/>
        </w:rPr>
      </w:pPr>
    </w:p>
    <w:p>
      <w:pPr>
        <w:ind w:right="400"/>
        <w:spacing w:after="0" w:line="348" w:lineRule="auto"/>
        <w:rPr>
          <w:sz w:val="20"/>
          <w:szCs w:val="20"/>
          <w:color w:val="auto"/>
        </w:rPr>
      </w:pPr>
      <w:r>
        <w:rPr>
          <w:rFonts w:ascii="Arial" w:cs="Arial" w:eastAsia="Arial" w:hAnsi="Arial"/>
          <w:sz w:val="16"/>
          <w:szCs w:val="16"/>
          <w:color w:val="auto"/>
        </w:rPr>
        <w:t>The compensation committee retains a compensation consultant (as described below) to provide support in its review and assessment of our executive compensation program.</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Setting Target Total Compensation</w:t>
      </w:r>
    </w:p>
    <w:p>
      <w:pPr>
        <w:spacing w:after="0" w:line="147" w:lineRule="exact"/>
        <w:rPr>
          <w:sz w:val="20"/>
          <w:szCs w:val="20"/>
          <w:color w:val="auto"/>
        </w:rPr>
      </w:pPr>
    </w:p>
    <w:p>
      <w:pPr>
        <w:ind w:right="200"/>
        <w:spacing w:after="0" w:line="341" w:lineRule="auto"/>
        <w:rPr>
          <w:sz w:val="20"/>
          <w:szCs w:val="20"/>
          <w:color w:val="auto"/>
        </w:rPr>
      </w:pPr>
      <w:r>
        <w:rPr>
          <w:rFonts w:ascii="Arial" w:cs="Arial" w:eastAsia="Arial" w:hAnsi="Arial"/>
          <w:sz w:val="16"/>
          <w:szCs w:val="16"/>
          <w:color w:val="auto"/>
        </w:rPr>
        <w:t>The compensation committee reviews the base salary levels, annual cash bonus opportunities, and long-term incentive compensation opportunities of our Named Executive Officers and all related performance criteria at the beginning of each year, or more frequently as warranted. Adjustments to cash compensation are generally effective at the beginning of the fiscal year.</w:t>
      </w:r>
    </w:p>
    <w:p>
      <w:pPr>
        <w:spacing w:after="0" w:line="147" w:lineRule="exact"/>
        <w:rPr>
          <w:sz w:val="20"/>
          <w:szCs w:val="20"/>
          <w:color w:val="auto"/>
        </w:rPr>
      </w:pPr>
    </w:p>
    <w:p>
      <w:pPr>
        <w:jc w:val="both"/>
        <w:ind w:right="120"/>
        <w:spacing w:after="0" w:line="341" w:lineRule="auto"/>
        <w:rPr>
          <w:sz w:val="20"/>
          <w:szCs w:val="20"/>
          <w:color w:val="auto"/>
        </w:rPr>
      </w:pPr>
      <w:r>
        <w:rPr>
          <w:rFonts w:ascii="Arial" w:cs="Arial" w:eastAsia="Arial" w:hAnsi="Arial"/>
          <w:sz w:val="16"/>
          <w:szCs w:val="16"/>
          <w:color w:val="auto"/>
        </w:rPr>
        <w:t>The compensation committee does not establish a specific target for formulating the target total direct compensation opportunities of our Named Executive Officers. In making decisions about the compensation of our Named Executive Officers, the members of the compensation committee rely primarily on their general experience and subjective considerations of various factors, including the following:</w:t>
      </w:r>
    </w:p>
    <w:p>
      <w:pPr>
        <w:spacing w:after="0" w:line="147" w:lineRule="exact"/>
        <w:rPr>
          <w:sz w:val="20"/>
          <w:szCs w:val="20"/>
          <w:color w:val="auto"/>
        </w:rPr>
      </w:pPr>
    </w:p>
    <w:p>
      <w:pPr>
        <w:ind w:left="460" w:hanging="128"/>
        <w:spacing w:after="0"/>
        <w:tabs>
          <w:tab w:leader="none" w:pos="4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our executive compensation program objectives;</w:t>
      </w:r>
    </w:p>
    <w:p>
      <w:pPr>
        <w:spacing w:after="0" w:line="234" w:lineRule="exact"/>
        <w:rPr>
          <w:rFonts w:ascii="Arial" w:cs="Arial" w:eastAsia="Arial" w:hAnsi="Arial"/>
          <w:sz w:val="16"/>
          <w:szCs w:val="16"/>
          <w:color w:val="auto"/>
        </w:rPr>
      </w:pPr>
    </w:p>
    <w:p>
      <w:pPr>
        <w:ind w:left="460" w:hanging="128"/>
        <w:spacing w:after="0"/>
        <w:tabs>
          <w:tab w:leader="none" w:pos="4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our performance against the financial, operational, and strategic objectives established by the compensation committee and our board of directors;</w:t>
      </w:r>
    </w:p>
    <w:p>
      <w:pPr>
        <w:spacing w:after="0" w:line="234" w:lineRule="exact"/>
        <w:rPr>
          <w:rFonts w:ascii="Arial" w:cs="Arial" w:eastAsia="Arial" w:hAnsi="Arial"/>
          <w:sz w:val="16"/>
          <w:szCs w:val="16"/>
          <w:color w:val="auto"/>
        </w:rPr>
      </w:pPr>
    </w:p>
    <w:p>
      <w:pPr>
        <w:ind w:left="500" w:right="40" w:hanging="168"/>
        <w:spacing w:after="0" w:line="348" w:lineRule="auto"/>
        <w:tabs>
          <w:tab w:leader="none" w:pos="462" w:val="left"/>
        </w:tabs>
        <w:numPr>
          <w:ilvl w:val="0"/>
          <w:numId w:val="39"/>
        </w:numPr>
        <w:rPr>
          <w:rFonts w:ascii="Arial" w:cs="Arial" w:eastAsia="Arial" w:hAnsi="Arial"/>
          <w:sz w:val="16"/>
          <w:szCs w:val="16"/>
          <w:color w:val="auto"/>
        </w:rPr>
      </w:pPr>
      <w:r>
        <w:rPr>
          <w:rFonts w:ascii="Arial" w:cs="Arial" w:eastAsia="Arial" w:hAnsi="Arial"/>
          <w:sz w:val="16"/>
          <w:szCs w:val="16"/>
          <w:color w:val="auto"/>
        </w:rPr>
        <w:t>each individual Named Executive Officer’s knowledge, skills, experience, qualifications, and tenure relative to other similarly-situated executives at the companies in our compensation peer group and/or Compensia’s proprietary compensation database;</w:t>
      </w:r>
    </w:p>
    <w:p>
      <w:pPr>
        <w:spacing w:after="0" w:line="141" w:lineRule="exact"/>
        <w:rPr>
          <w:rFonts w:ascii="Arial" w:cs="Arial" w:eastAsia="Arial" w:hAnsi="Arial"/>
          <w:sz w:val="16"/>
          <w:szCs w:val="16"/>
          <w:color w:val="auto"/>
        </w:rPr>
      </w:pPr>
    </w:p>
    <w:p>
      <w:pPr>
        <w:ind w:left="500" w:right="640" w:hanging="168"/>
        <w:spacing w:after="0" w:line="348" w:lineRule="auto"/>
        <w:tabs>
          <w:tab w:leader="none" w:pos="462"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scope of each Named Executive Officer’s role and responsibilities compared to other similarly-situated executives at the companies in our compensation peer group and/or Compensia’s proprietary compensation database;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251460</wp:posOffset>
            </wp:positionV>
            <wp:extent cx="342900" cy="21463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42900" cy="214630"/>
                    </a:xfrm>
                    <a:prstGeom prst="rect">
                      <a:avLst/>
                    </a:prstGeom>
                    <a:noFill/>
                  </pic:spPr>
                </pic:pic>
              </a:graphicData>
            </a:graphic>
          </wp:anchor>
        </w:drawing>
      </w:r>
    </w:p>
    <w:p>
      <w:pPr>
        <w:spacing w:after="0" w:line="314" w:lineRule="exact"/>
        <w:rPr>
          <w:sz w:val="20"/>
          <w:szCs w:val="20"/>
          <w:color w:val="auto"/>
        </w:rPr>
      </w:pPr>
    </w:p>
    <w:p>
      <w:pPr>
        <w:ind w:left="5540"/>
        <w:spacing w:after="0"/>
        <w:tabs>
          <w:tab w:leader="none" w:pos="9780" w:val="left"/>
        </w:tabs>
        <w:rPr>
          <w:sz w:val="20"/>
          <w:szCs w:val="20"/>
          <w:color w:val="auto"/>
        </w:rPr>
      </w:pPr>
      <w:r>
        <w:rPr>
          <w:rFonts w:ascii="Arial" w:cs="Arial" w:eastAsia="Arial" w:hAnsi="Arial"/>
          <w:sz w:val="29"/>
          <w:szCs w:val="29"/>
          <w:color w:val="auto"/>
          <w:vertAlign w:val="superscript"/>
        </w:rPr>
        <w:t>41</w:t>
      </w:r>
      <w:r>
        <w:rPr>
          <w:sz w:val="20"/>
          <w:szCs w:val="20"/>
          <w:color w:val="auto"/>
        </w:rPr>
        <w:tab/>
      </w:r>
      <w:r>
        <w:rPr>
          <w:rFonts w:ascii="Arial" w:cs="Arial" w:eastAsia="Arial" w:hAnsi="Arial"/>
          <w:sz w:val="14"/>
          <w:szCs w:val="14"/>
          <w:color w:val="auto"/>
        </w:rPr>
        <w:t>2021 Proxy Statement</w:t>
      </w:r>
    </w:p>
    <w:p>
      <w:pPr>
        <w:sectPr>
          <w:pgSz w:w="11900" w:h="16838" w:orient="portrait"/>
          <w:cols w:equalWidth="0" w:num="1">
            <w:col w:w="11220"/>
          </w:cols>
          <w:pgMar w:left="320" w:top="172" w:right="359" w:bottom="1440" w:gutter="0" w:footer="0" w:header="0"/>
        </w:sectPr>
      </w:pPr>
    </w:p>
    <w:bookmarkStart w:id="45" w:name="page46"/>
    <w:bookmarkEnd w:id="45"/>
    <w:p>
      <w:pPr>
        <w:ind w:left="280"/>
        <w:spacing w:after="0"/>
        <w:rPr>
          <w:sz w:val="20"/>
          <w:szCs w:val="20"/>
          <w:color w:val="auto"/>
        </w:rPr>
      </w:pPr>
      <w:r>
        <w:rPr>
          <w:rFonts w:ascii="Arial" w:cs="Arial" w:eastAsia="Arial" w:hAnsi="Arial"/>
          <w:sz w:val="13"/>
          <w:szCs w:val="13"/>
          <w:b w:val="1"/>
          <w:bCs w:val="1"/>
          <w:color w:val="929292"/>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7470" cy="596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7470" cy="59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500" w:right="680" w:hanging="168"/>
        <w:spacing w:after="0" w:line="348" w:lineRule="auto"/>
        <w:tabs>
          <w:tab w:leader="none" w:pos="462"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prior performance of each individual Named Executive Officer, based on a subjective assessment of his or her contributions to our overall performance, ability to lead his or her business unit or function, and work as part of a team, all of which reflect our core values;</w:t>
      </w:r>
    </w:p>
    <w:p>
      <w:pPr>
        <w:spacing w:after="0" w:line="141" w:lineRule="exact"/>
        <w:rPr>
          <w:rFonts w:ascii="Arial" w:cs="Arial" w:eastAsia="Arial" w:hAnsi="Arial"/>
          <w:sz w:val="16"/>
          <w:szCs w:val="16"/>
          <w:color w:val="auto"/>
        </w:rPr>
      </w:pPr>
    </w:p>
    <w:p>
      <w:pPr>
        <w:ind w:left="460" w:hanging="128"/>
        <w:spacing w:after="0"/>
        <w:tabs>
          <w:tab w:leader="none" w:pos="4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potential of each individual Named Executive Officer to contribute to our long-term financial, operational, and strategic objectives;</w:t>
      </w:r>
    </w:p>
    <w:p>
      <w:pPr>
        <w:spacing w:after="0" w:line="234" w:lineRule="exact"/>
        <w:rPr>
          <w:rFonts w:ascii="Arial" w:cs="Arial" w:eastAsia="Arial" w:hAnsi="Arial"/>
          <w:sz w:val="16"/>
          <w:szCs w:val="16"/>
          <w:color w:val="auto"/>
        </w:rPr>
      </w:pPr>
    </w:p>
    <w:p>
      <w:pPr>
        <w:ind w:left="460" w:hanging="128"/>
        <w:spacing w:after="0"/>
        <w:tabs>
          <w:tab w:leader="none" w:pos="4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our CEO’s compensation relative to that of our Named Executive Officers, and compensation parity among our Named Executive Officers;</w:t>
      </w:r>
    </w:p>
    <w:p>
      <w:pPr>
        <w:spacing w:after="0" w:line="234" w:lineRule="exact"/>
        <w:rPr>
          <w:rFonts w:ascii="Arial" w:cs="Arial" w:eastAsia="Arial" w:hAnsi="Arial"/>
          <w:sz w:val="16"/>
          <w:szCs w:val="16"/>
          <w:color w:val="auto"/>
        </w:rPr>
      </w:pPr>
    </w:p>
    <w:p>
      <w:pPr>
        <w:ind w:left="460" w:hanging="128"/>
        <w:spacing w:after="0"/>
        <w:tabs>
          <w:tab w:leader="none" w:pos="4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our financial performance relative to our compensation and performance peers;</w:t>
      </w:r>
    </w:p>
    <w:p>
      <w:pPr>
        <w:spacing w:after="0" w:line="234" w:lineRule="exact"/>
        <w:rPr>
          <w:rFonts w:ascii="Arial" w:cs="Arial" w:eastAsia="Arial" w:hAnsi="Arial"/>
          <w:sz w:val="16"/>
          <w:szCs w:val="16"/>
          <w:color w:val="auto"/>
        </w:rPr>
      </w:pPr>
    </w:p>
    <w:p>
      <w:pPr>
        <w:ind w:left="500" w:right="100" w:hanging="168"/>
        <w:spacing w:after="0" w:line="341" w:lineRule="auto"/>
        <w:tabs>
          <w:tab w:leader="none" w:pos="462"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compensation practices of our compensation peer group and/or the companies in Compensia’s proprietary compensation database and the positioning of each Named Executive Officer’s compensation in a ranking of peer company compensation levels based on an analysis of competitive market data; and</w:t>
      </w:r>
    </w:p>
    <w:p>
      <w:pPr>
        <w:spacing w:after="0" w:line="147" w:lineRule="exact"/>
        <w:rPr>
          <w:rFonts w:ascii="Arial" w:cs="Arial" w:eastAsia="Arial" w:hAnsi="Arial"/>
          <w:sz w:val="16"/>
          <w:szCs w:val="16"/>
          <w:color w:val="auto"/>
        </w:rPr>
      </w:pPr>
    </w:p>
    <w:p>
      <w:pPr>
        <w:ind w:left="460" w:hanging="128"/>
        <w:spacing w:after="0"/>
        <w:tabs>
          <w:tab w:leader="none" w:pos="4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recommendations of our CEO with respect to the compensation of our Named Executive Officers (except with respect to his own compensation).</w:t>
      </w:r>
    </w:p>
    <w:p>
      <w:pPr>
        <w:spacing w:after="0" w:line="235" w:lineRule="exact"/>
        <w:rPr>
          <w:sz w:val="20"/>
          <w:szCs w:val="20"/>
          <w:color w:val="auto"/>
        </w:rPr>
      </w:pPr>
    </w:p>
    <w:p>
      <w:pPr>
        <w:spacing w:after="0" w:line="341" w:lineRule="auto"/>
        <w:rPr>
          <w:sz w:val="20"/>
          <w:szCs w:val="20"/>
          <w:color w:val="auto"/>
        </w:rPr>
      </w:pPr>
      <w:r>
        <w:rPr>
          <w:rFonts w:ascii="Arial" w:cs="Arial" w:eastAsia="Arial" w:hAnsi="Arial"/>
          <w:sz w:val="16"/>
          <w:szCs w:val="16"/>
          <w:color w:val="auto"/>
        </w:rPr>
        <w:t>These factors provide the framework for compensation decision-making and final decisions regarding the compensation opportunity for each Named Executive Officer. No single factor is determinative in setting compensation levels, nor is the impact of any individual factor on the determination of pay levels quantifiable.</w:t>
      </w:r>
    </w:p>
    <w:p>
      <w:pPr>
        <w:spacing w:after="0" w:line="147" w:lineRule="exact"/>
        <w:rPr>
          <w:sz w:val="20"/>
          <w:szCs w:val="20"/>
          <w:color w:val="auto"/>
        </w:rPr>
      </w:pPr>
    </w:p>
    <w:p>
      <w:pPr>
        <w:ind w:right="280"/>
        <w:spacing w:after="0" w:line="341" w:lineRule="auto"/>
        <w:rPr>
          <w:sz w:val="20"/>
          <w:szCs w:val="20"/>
          <w:color w:val="auto"/>
        </w:rPr>
      </w:pPr>
      <w:r>
        <w:rPr>
          <w:rFonts w:ascii="Arial" w:cs="Arial" w:eastAsia="Arial" w:hAnsi="Arial"/>
          <w:sz w:val="16"/>
          <w:szCs w:val="16"/>
          <w:color w:val="auto"/>
        </w:rPr>
        <w:t>The compensation committee does not weight these factors in any predetermined manner, nor does it apply any formulas in developing its compensation recommendations. The members of the compensation committee consider all of this information in light of their individual experience, knowledge of the Company, knowledge of the competitive market, knowledge of each Named Executive Officer, and business judgment in making their decisions.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Role of Management</w:t>
      </w:r>
    </w:p>
    <w:p>
      <w:pPr>
        <w:spacing w:after="0" w:line="147" w:lineRule="exact"/>
        <w:rPr>
          <w:sz w:val="20"/>
          <w:szCs w:val="20"/>
          <w:color w:val="auto"/>
        </w:rPr>
      </w:pPr>
    </w:p>
    <w:p>
      <w:pPr>
        <w:ind w:right="140"/>
        <w:spacing w:after="0" w:line="338" w:lineRule="auto"/>
        <w:rPr>
          <w:sz w:val="20"/>
          <w:szCs w:val="20"/>
          <w:color w:val="auto"/>
        </w:rPr>
      </w:pPr>
      <w:r>
        <w:rPr>
          <w:rFonts w:ascii="Arial" w:cs="Arial" w:eastAsia="Arial" w:hAnsi="Arial"/>
          <w:sz w:val="16"/>
          <w:szCs w:val="16"/>
          <w:color w:val="auto"/>
        </w:rPr>
        <w:t>In discharging its responsibilities, the compensation committee works with members of our management, including our CEO. Our management assists the compensation committee by providing information on corporate and individual performance, market compensation data, and management’s perspective on compensation matters. The compensation committee solicits and reviews our CEO’s proposals with respect to program structures, as well as his recommendations for adjustments to annual cash compensation, long-term incentive compensation opportunities, and other compensation-related matters for our Named Executive Officers (except with respect to his own compensation) based on his evaluation of their performance for the prior year.</w:t>
      </w:r>
    </w:p>
    <w:p>
      <w:pPr>
        <w:spacing w:after="0" w:line="149" w:lineRule="exact"/>
        <w:rPr>
          <w:sz w:val="20"/>
          <w:szCs w:val="20"/>
          <w:color w:val="auto"/>
        </w:rPr>
      </w:pPr>
    </w:p>
    <w:p>
      <w:pPr>
        <w:ind w:right="20"/>
        <w:spacing w:after="0" w:line="341" w:lineRule="auto"/>
        <w:rPr>
          <w:sz w:val="20"/>
          <w:szCs w:val="20"/>
          <w:color w:val="auto"/>
        </w:rPr>
      </w:pPr>
      <w:r>
        <w:rPr>
          <w:rFonts w:ascii="Arial" w:cs="Arial" w:eastAsia="Arial" w:hAnsi="Arial"/>
          <w:sz w:val="16"/>
          <w:szCs w:val="16"/>
          <w:color w:val="auto"/>
        </w:rPr>
        <w:t>At the beginning of each year, our CEO reviews the performance of our other Named Executive Officers based on such individual’s level of success in accomplishing the business objectives established for him or her for the prior year and his or her overall performance during that year and then shares these evaluations with, and makes recommendations to, the compensation committee for each element of compensation as described above.</w:t>
      </w:r>
    </w:p>
    <w:p>
      <w:pPr>
        <w:spacing w:after="0" w:line="147" w:lineRule="exact"/>
        <w:rPr>
          <w:sz w:val="20"/>
          <w:szCs w:val="20"/>
          <w:color w:val="auto"/>
        </w:rPr>
      </w:pPr>
    </w:p>
    <w:p>
      <w:pPr>
        <w:ind w:right="40"/>
        <w:spacing w:after="0" w:line="339" w:lineRule="auto"/>
        <w:rPr>
          <w:sz w:val="20"/>
          <w:szCs w:val="20"/>
          <w:color w:val="auto"/>
        </w:rPr>
      </w:pPr>
      <w:r>
        <w:rPr>
          <w:rFonts w:ascii="Arial" w:cs="Arial" w:eastAsia="Arial" w:hAnsi="Arial"/>
          <w:sz w:val="16"/>
          <w:szCs w:val="16"/>
          <w:color w:val="auto"/>
        </w:rPr>
        <w:t>The compensation committee reviews and discusses our CEO’s proposals and recommendations with our CEO and considers them as one factor in determining and approving the compensation of our Named Executive Officers, including our CEO. Our CEO also attends meetings of our board of directors and the compensation committee at which executive compensation matters are addressed, except with respect to discussions involving his own compensation.</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Role of Compensation Consultant</w:t>
      </w:r>
    </w:p>
    <w:p>
      <w:pPr>
        <w:spacing w:after="0" w:line="147" w:lineRule="exact"/>
        <w:rPr>
          <w:sz w:val="20"/>
          <w:szCs w:val="20"/>
          <w:color w:val="auto"/>
        </w:rPr>
      </w:pPr>
    </w:p>
    <w:p>
      <w:pPr>
        <w:ind w:right="200"/>
        <w:spacing w:after="0" w:line="348" w:lineRule="auto"/>
        <w:rPr>
          <w:sz w:val="20"/>
          <w:szCs w:val="20"/>
          <w:color w:val="auto"/>
        </w:rPr>
      </w:pPr>
      <w:r>
        <w:rPr>
          <w:rFonts w:ascii="Arial" w:cs="Arial" w:eastAsia="Arial" w:hAnsi="Arial"/>
          <w:sz w:val="16"/>
          <w:szCs w:val="16"/>
          <w:color w:val="auto"/>
        </w:rPr>
        <w:t>The compensation committee engages an external compensation consultant to assist it by providing information, analysis, and other advice relating to our executive compensation program and the decisions resulting from its annual executive compensation review.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251460</wp:posOffset>
            </wp:positionV>
            <wp:extent cx="342900" cy="21463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42900" cy="214630"/>
                    </a:xfrm>
                    <a:prstGeom prst="rect">
                      <a:avLst/>
                    </a:prstGeom>
                    <a:noFill/>
                  </pic:spPr>
                </pic:pic>
              </a:graphicData>
            </a:graphic>
          </wp:anchor>
        </w:drawing>
      </w:r>
    </w:p>
    <w:p>
      <w:pPr>
        <w:spacing w:after="0" w:line="314" w:lineRule="exact"/>
        <w:rPr>
          <w:sz w:val="20"/>
          <w:szCs w:val="20"/>
          <w:color w:val="auto"/>
        </w:rPr>
      </w:pPr>
    </w:p>
    <w:p>
      <w:pPr>
        <w:ind w:left="5540"/>
        <w:spacing w:after="0"/>
        <w:tabs>
          <w:tab w:leader="none" w:pos="9780" w:val="left"/>
        </w:tabs>
        <w:rPr>
          <w:sz w:val="20"/>
          <w:szCs w:val="20"/>
          <w:color w:val="auto"/>
        </w:rPr>
      </w:pPr>
      <w:r>
        <w:rPr>
          <w:rFonts w:ascii="Arial" w:cs="Arial" w:eastAsia="Arial" w:hAnsi="Arial"/>
          <w:sz w:val="29"/>
          <w:szCs w:val="29"/>
          <w:color w:val="auto"/>
          <w:vertAlign w:val="superscript"/>
        </w:rPr>
        <w:t>42</w:t>
      </w:r>
      <w:r>
        <w:rPr>
          <w:sz w:val="20"/>
          <w:szCs w:val="20"/>
          <w:color w:val="auto"/>
        </w:rPr>
        <w:tab/>
      </w:r>
      <w:r>
        <w:rPr>
          <w:rFonts w:ascii="Arial" w:cs="Arial" w:eastAsia="Arial" w:hAnsi="Arial"/>
          <w:sz w:val="14"/>
          <w:szCs w:val="14"/>
          <w:color w:val="auto"/>
        </w:rPr>
        <w:t>2021 Proxy Statement</w:t>
      </w:r>
    </w:p>
    <w:p>
      <w:pPr>
        <w:sectPr>
          <w:pgSz w:w="11900" w:h="16838" w:orient="portrait"/>
          <w:cols w:equalWidth="0" w:num="1">
            <w:col w:w="11220"/>
          </w:cols>
          <w:pgMar w:left="320" w:top="172" w:right="359" w:bottom="1440" w:gutter="0" w:footer="0" w:header="0"/>
        </w:sectPr>
      </w:pPr>
    </w:p>
    <w:bookmarkStart w:id="46" w:name="page47"/>
    <w:bookmarkEnd w:id="46"/>
    <w:p>
      <w:pPr>
        <w:ind w:left="280"/>
        <w:spacing w:after="0"/>
        <w:rPr>
          <w:sz w:val="20"/>
          <w:szCs w:val="20"/>
          <w:color w:val="auto"/>
        </w:rPr>
      </w:pPr>
      <w:r>
        <w:rPr>
          <w:rFonts w:ascii="Arial" w:cs="Arial" w:eastAsia="Arial" w:hAnsi="Arial"/>
          <w:sz w:val="13"/>
          <w:szCs w:val="13"/>
          <w:b w:val="1"/>
          <w:bCs w:val="1"/>
          <w:color w:val="929292"/>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7470" cy="596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7470" cy="59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280"/>
        <w:spacing w:after="0" w:line="348" w:lineRule="auto"/>
        <w:rPr>
          <w:sz w:val="20"/>
          <w:szCs w:val="20"/>
          <w:color w:val="auto"/>
        </w:rPr>
      </w:pPr>
      <w:r>
        <w:rPr>
          <w:rFonts w:ascii="Arial" w:cs="Arial" w:eastAsia="Arial" w:hAnsi="Arial"/>
          <w:sz w:val="16"/>
          <w:szCs w:val="16"/>
          <w:color w:val="auto"/>
        </w:rPr>
        <w:t>compensation consultant reports directly to the compensation committee and its chair and serves at the discretion of the compensation committee, which reviews the engagement annually.</w:t>
      </w:r>
    </w:p>
    <w:p>
      <w:pPr>
        <w:spacing w:after="0" w:line="141" w:lineRule="exact"/>
        <w:rPr>
          <w:sz w:val="20"/>
          <w:szCs w:val="20"/>
          <w:color w:val="auto"/>
        </w:rPr>
      </w:pPr>
    </w:p>
    <w:p>
      <w:pPr>
        <w:ind w:right="340"/>
        <w:spacing w:after="0" w:line="348" w:lineRule="auto"/>
        <w:rPr>
          <w:sz w:val="20"/>
          <w:szCs w:val="20"/>
          <w:color w:val="auto"/>
        </w:rPr>
      </w:pPr>
      <w:r>
        <w:rPr>
          <w:rFonts w:ascii="Arial" w:cs="Arial" w:eastAsia="Arial" w:hAnsi="Arial"/>
          <w:sz w:val="16"/>
          <w:szCs w:val="16"/>
          <w:color w:val="auto"/>
        </w:rPr>
        <w:t>In fiscal 2021, the compensation committee engaged Compensia to serve as its compensation consultant to advise on executive compensation matters, including competitive market pay practices for our Named Executive Officers and with the data analysis and selection of the compensation peer group.</w:t>
      </w:r>
    </w:p>
    <w:p>
      <w:pPr>
        <w:spacing w:after="0" w:line="141" w:lineRule="exact"/>
        <w:rPr>
          <w:sz w:val="20"/>
          <w:szCs w:val="20"/>
          <w:color w:val="auto"/>
        </w:rPr>
      </w:pPr>
    </w:p>
    <w:p>
      <w:pPr>
        <w:ind w:right="520"/>
        <w:spacing w:after="0" w:line="348" w:lineRule="auto"/>
        <w:rPr>
          <w:sz w:val="20"/>
          <w:szCs w:val="20"/>
          <w:color w:val="auto"/>
        </w:rPr>
      </w:pPr>
      <w:r>
        <w:rPr>
          <w:rFonts w:ascii="Arial" w:cs="Arial" w:eastAsia="Arial" w:hAnsi="Arial"/>
          <w:sz w:val="16"/>
          <w:szCs w:val="16"/>
          <w:color w:val="auto"/>
        </w:rPr>
        <w:t>During fiscal 2021, Compensia attended the meetings of the compensation committee (both with and without management present) as requested and provided the following services:</w:t>
      </w:r>
    </w:p>
    <w:p>
      <w:pPr>
        <w:spacing w:after="0" w:line="141" w:lineRule="exact"/>
        <w:rPr>
          <w:sz w:val="20"/>
          <w:szCs w:val="20"/>
          <w:color w:val="auto"/>
        </w:rPr>
      </w:pPr>
    </w:p>
    <w:p>
      <w:pPr>
        <w:ind w:left="460" w:hanging="128"/>
        <w:spacing w:after="0"/>
        <w:tabs>
          <w:tab w:leader="none" w:pos="4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consultation with the compensation committee chair and other members between compensation committee meetings;</w:t>
      </w:r>
    </w:p>
    <w:p>
      <w:pPr>
        <w:spacing w:after="0" w:line="234" w:lineRule="exact"/>
        <w:rPr>
          <w:rFonts w:ascii="Arial" w:cs="Arial" w:eastAsia="Arial" w:hAnsi="Arial"/>
          <w:sz w:val="16"/>
          <w:szCs w:val="16"/>
          <w:color w:val="auto"/>
        </w:rPr>
      </w:pPr>
    </w:p>
    <w:p>
      <w:pPr>
        <w:ind w:left="460" w:hanging="128"/>
        <w:spacing w:after="0"/>
        <w:tabs>
          <w:tab w:leader="none" w:pos="4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review, research, and updating of our compensation peer group;</w:t>
      </w:r>
    </w:p>
    <w:p>
      <w:pPr>
        <w:spacing w:after="0" w:line="234" w:lineRule="exact"/>
        <w:rPr>
          <w:rFonts w:ascii="Arial" w:cs="Arial" w:eastAsia="Arial" w:hAnsi="Arial"/>
          <w:sz w:val="16"/>
          <w:szCs w:val="16"/>
          <w:color w:val="auto"/>
        </w:rPr>
      </w:pPr>
    </w:p>
    <w:p>
      <w:pPr>
        <w:ind w:left="500" w:right="160" w:hanging="168"/>
        <w:spacing w:after="0" w:line="341" w:lineRule="auto"/>
        <w:tabs>
          <w:tab w:leader="none" w:pos="462" w:val="left"/>
        </w:tabs>
        <w:numPr>
          <w:ilvl w:val="0"/>
          <w:numId w:val="41"/>
        </w:numPr>
        <w:rPr>
          <w:rFonts w:ascii="Arial" w:cs="Arial" w:eastAsia="Arial" w:hAnsi="Arial"/>
          <w:sz w:val="16"/>
          <w:szCs w:val="16"/>
          <w:color w:val="auto"/>
        </w:rPr>
      </w:pPr>
      <w:r>
        <w:rPr>
          <w:rFonts w:ascii="Arial" w:cs="Arial" w:eastAsia="Arial" w:hAnsi="Arial"/>
          <w:sz w:val="16"/>
          <w:szCs w:val="16"/>
          <w:color w:val="auto"/>
        </w:rPr>
        <w:t>an analysis of competitive market data based on the compensation peer group for our Named Executive Officers’ positions and an evaluation of how the compensation we pay our Named Executive Officers compares both to our performance and to how the companies in our compensation peer group compensate their executives;</w:t>
      </w:r>
    </w:p>
    <w:p>
      <w:pPr>
        <w:spacing w:after="0" w:line="147" w:lineRule="exact"/>
        <w:rPr>
          <w:rFonts w:ascii="Arial" w:cs="Arial" w:eastAsia="Arial" w:hAnsi="Arial"/>
          <w:sz w:val="16"/>
          <w:szCs w:val="16"/>
          <w:color w:val="auto"/>
        </w:rPr>
      </w:pPr>
    </w:p>
    <w:p>
      <w:pPr>
        <w:ind w:left="500" w:right="20" w:hanging="168"/>
        <w:spacing w:after="0" w:line="348" w:lineRule="auto"/>
        <w:tabs>
          <w:tab w:leader="none" w:pos="462" w:val="left"/>
        </w:tabs>
        <w:numPr>
          <w:ilvl w:val="0"/>
          <w:numId w:val="41"/>
        </w:numPr>
        <w:rPr>
          <w:rFonts w:ascii="Arial" w:cs="Arial" w:eastAsia="Arial" w:hAnsi="Arial"/>
          <w:sz w:val="16"/>
          <w:szCs w:val="16"/>
          <w:color w:val="auto"/>
        </w:rPr>
      </w:pPr>
      <w:r>
        <w:rPr>
          <w:rFonts w:ascii="Arial" w:cs="Arial" w:eastAsia="Arial" w:hAnsi="Arial"/>
          <w:sz w:val="16"/>
          <w:szCs w:val="16"/>
          <w:color w:val="auto"/>
        </w:rPr>
        <w:t>review and analysis of the base salary levels, annual incentive bonus opportunities, and long-term incentive compensation opportunities of our Named Executive Officers;</w:t>
      </w:r>
    </w:p>
    <w:p>
      <w:pPr>
        <w:spacing w:after="0" w:line="141" w:lineRule="exact"/>
        <w:rPr>
          <w:rFonts w:ascii="Arial" w:cs="Arial" w:eastAsia="Arial" w:hAnsi="Arial"/>
          <w:sz w:val="16"/>
          <w:szCs w:val="16"/>
          <w:color w:val="auto"/>
        </w:rPr>
      </w:pPr>
    </w:p>
    <w:p>
      <w:pPr>
        <w:ind w:left="460" w:hanging="128"/>
        <w:spacing w:after="0"/>
        <w:tabs>
          <w:tab w:leader="none" w:pos="4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review and analysis of the metrics used by the companies in our compensation peer group in their short-term incentive compensation plans;</w:t>
      </w:r>
    </w:p>
    <w:p>
      <w:pPr>
        <w:spacing w:after="0" w:line="234" w:lineRule="exact"/>
        <w:rPr>
          <w:rFonts w:ascii="Arial" w:cs="Arial" w:eastAsia="Arial" w:hAnsi="Arial"/>
          <w:sz w:val="16"/>
          <w:szCs w:val="16"/>
          <w:color w:val="auto"/>
        </w:rPr>
      </w:pPr>
    </w:p>
    <w:p>
      <w:pPr>
        <w:ind w:left="460" w:hanging="128"/>
        <w:spacing w:after="0"/>
        <w:tabs>
          <w:tab w:leader="none" w:pos="4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assessment of executive compensation trends within our industry, and updating on corporate governance and regulatory issues and developments;</w:t>
      </w:r>
    </w:p>
    <w:p>
      <w:pPr>
        <w:spacing w:after="0" w:line="234" w:lineRule="exact"/>
        <w:rPr>
          <w:rFonts w:ascii="Arial" w:cs="Arial" w:eastAsia="Arial" w:hAnsi="Arial"/>
          <w:sz w:val="16"/>
          <w:szCs w:val="16"/>
          <w:color w:val="auto"/>
        </w:rPr>
      </w:pPr>
    </w:p>
    <w:p>
      <w:pPr>
        <w:ind w:left="460" w:hanging="128"/>
        <w:spacing w:after="0"/>
        <w:tabs>
          <w:tab w:leader="none" w:pos="4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review and analysis of director compensation levels; and</w:t>
      </w:r>
    </w:p>
    <w:p>
      <w:pPr>
        <w:spacing w:after="0" w:line="234" w:lineRule="exact"/>
        <w:rPr>
          <w:rFonts w:ascii="Arial" w:cs="Arial" w:eastAsia="Arial" w:hAnsi="Arial"/>
          <w:sz w:val="16"/>
          <w:szCs w:val="16"/>
          <w:color w:val="auto"/>
        </w:rPr>
      </w:pPr>
    </w:p>
    <w:p>
      <w:pPr>
        <w:ind w:left="460" w:hanging="128"/>
        <w:spacing w:after="0"/>
        <w:tabs>
          <w:tab w:leader="none" w:pos="4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support on other ad hoc matters throughout the year.</w:t>
      </w:r>
    </w:p>
    <w:p>
      <w:pPr>
        <w:spacing w:after="0" w:line="235" w:lineRule="exact"/>
        <w:rPr>
          <w:sz w:val="20"/>
          <w:szCs w:val="20"/>
          <w:color w:val="auto"/>
        </w:rPr>
      </w:pPr>
    </w:p>
    <w:p>
      <w:pPr>
        <w:ind w:right="120"/>
        <w:spacing w:after="0" w:line="348" w:lineRule="auto"/>
        <w:rPr>
          <w:sz w:val="20"/>
          <w:szCs w:val="20"/>
          <w:color w:val="auto"/>
        </w:rPr>
      </w:pPr>
      <w:r>
        <w:rPr>
          <w:rFonts w:ascii="Arial" w:cs="Arial" w:eastAsia="Arial" w:hAnsi="Arial"/>
          <w:sz w:val="16"/>
          <w:szCs w:val="16"/>
          <w:color w:val="auto"/>
        </w:rPr>
        <w:t>The terms of Compensia’s engagement includes reporting directly to the compensation committee chair. Compensia also coordinated with management for data collection and job matching for our Named Executive Officers. In fiscal 2021, Compensia did not provide any other services to us.</w:t>
      </w:r>
    </w:p>
    <w:p>
      <w:pPr>
        <w:spacing w:after="0" w:line="141" w:lineRule="exact"/>
        <w:rPr>
          <w:sz w:val="20"/>
          <w:szCs w:val="20"/>
          <w:color w:val="auto"/>
        </w:rPr>
      </w:pPr>
    </w:p>
    <w:p>
      <w:pPr>
        <w:ind w:right="80"/>
        <w:spacing w:after="0" w:line="338" w:lineRule="auto"/>
        <w:rPr>
          <w:sz w:val="20"/>
          <w:szCs w:val="20"/>
          <w:color w:val="auto"/>
        </w:rPr>
      </w:pPr>
      <w:r>
        <w:rPr>
          <w:rFonts w:ascii="Arial" w:cs="Arial" w:eastAsia="Arial" w:hAnsi="Arial"/>
          <w:sz w:val="16"/>
          <w:szCs w:val="16"/>
          <w:color w:val="auto"/>
        </w:rPr>
        <w:t>The compensation committee has evaluated its relationship with Compensia to ensure that it believes that such firm is independent from management. This review process included a review of the services that Compensia provided, the quality of those services, and the fees associated with the services provided during fiscal 2021. Based on this review, as well as consideration of the factors affecting independence set forth in Exchange Act Rule 10C-1(b)(4), Rule 5605(d)(3)(D) of the Nasdaq Marketplace Rules, and such other factors as were deemed relevant under the circumstances, the compensation committee has determined that no conflict of interest was raised as a result of the work performed by Compensia and that Compensia is independent.</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Competitive Positioning</w:t>
      </w:r>
    </w:p>
    <w:p>
      <w:pPr>
        <w:spacing w:after="0" w:line="147" w:lineRule="exact"/>
        <w:rPr>
          <w:sz w:val="20"/>
          <w:szCs w:val="20"/>
          <w:color w:val="auto"/>
        </w:rPr>
      </w:pPr>
    </w:p>
    <w:p>
      <w:pPr>
        <w:ind w:right="80"/>
        <w:spacing w:after="0" w:line="339" w:lineRule="auto"/>
        <w:rPr>
          <w:sz w:val="20"/>
          <w:szCs w:val="20"/>
          <w:color w:val="auto"/>
        </w:rPr>
      </w:pPr>
      <w:r>
        <w:rPr>
          <w:rFonts w:ascii="Arial" w:cs="Arial" w:eastAsia="Arial" w:hAnsi="Arial"/>
          <w:sz w:val="16"/>
          <w:szCs w:val="16"/>
          <w:color w:val="auto"/>
        </w:rPr>
        <w:t>For purposes of assessing our executive compensation against the competitive market, the compensation committee reviews and considers the compensation levels and practices of a select group of peer companies. This compensation peer group consists of technology companies that are similar to us in terms of revenue, market capitalization, and industry focus. The competitive data drawn from this compensation peer group is only one of several factors that the compensation committee considers in making its decisions with respect to the compensation of our Named Executive Officers.</w:t>
      </w:r>
    </w:p>
    <w:p>
      <w:pPr>
        <w:spacing w:after="0" w:line="148" w:lineRule="exact"/>
        <w:rPr>
          <w:sz w:val="20"/>
          <w:szCs w:val="20"/>
          <w:color w:val="auto"/>
        </w:rPr>
      </w:pPr>
    </w:p>
    <w:p>
      <w:pPr>
        <w:ind w:right="200"/>
        <w:spacing w:after="0" w:line="348" w:lineRule="auto"/>
        <w:rPr>
          <w:sz w:val="20"/>
          <w:szCs w:val="20"/>
          <w:color w:val="auto"/>
        </w:rPr>
      </w:pPr>
      <w:r>
        <w:rPr>
          <w:rFonts w:ascii="Arial" w:cs="Arial" w:eastAsia="Arial" w:hAnsi="Arial"/>
          <w:sz w:val="16"/>
          <w:szCs w:val="16"/>
          <w:color w:val="auto"/>
        </w:rPr>
        <w:t>The compensation peer group for fiscal 2021 was originally established in March 2020 and revised in March of 2021 and was comprised of publicly-traded technology companies against which we compete for executive talent, as well as, in some instances,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251460</wp:posOffset>
            </wp:positionV>
            <wp:extent cx="342900" cy="21463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42900" cy="214630"/>
                    </a:xfrm>
                    <a:prstGeom prst="rect">
                      <a:avLst/>
                    </a:prstGeom>
                    <a:noFill/>
                  </pic:spPr>
                </pic:pic>
              </a:graphicData>
            </a:graphic>
          </wp:anchor>
        </w:drawing>
      </w:r>
    </w:p>
    <w:p>
      <w:pPr>
        <w:spacing w:after="0" w:line="314" w:lineRule="exact"/>
        <w:rPr>
          <w:sz w:val="20"/>
          <w:szCs w:val="20"/>
          <w:color w:val="auto"/>
        </w:rPr>
      </w:pPr>
    </w:p>
    <w:p>
      <w:pPr>
        <w:jc w:val="both"/>
        <w:ind w:left="5540"/>
        <w:spacing w:after="0"/>
        <w:tabs>
          <w:tab w:leader="none" w:pos="9780" w:val="left"/>
        </w:tabs>
        <w:rPr>
          <w:sz w:val="20"/>
          <w:szCs w:val="20"/>
          <w:color w:val="auto"/>
        </w:rPr>
      </w:pPr>
      <w:r>
        <w:rPr>
          <w:rFonts w:ascii="Arial" w:cs="Arial" w:eastAsia="Arial" w:hAnsi="Arial"/>
          <w:sz w:val="29"/>
          <w:szCs w:val="29"/>
          <w:color w:val="auto"/>
          <w:vertAlign w:val="superscript"/>
        </w:rPr>
        <w:t>43</w:t>
      </w:r>
      <w:r>
        <w:rPr>
          <w:sz w:val="20"/>
          <w:szCs w:val="20"/>
          <w:color w:val="auto"/>
        </w:rPr>
        <w:tab/>
      </w:r>
      <w:r>
        <w:rPr>
          <w:rFonts w:ascii="Arial" w:cs="Arial" w:eastAsia="Arial" w:hAnsi="Arial"/>
          <w:sz w:val="14"/>
          <w:szCs w:val="14"/>
          <w:color w:val="auto"/>
        </w:rPr>
        <w:t>2021 Proxy Statement</w:t>
      </w:r>
    </w:p>
    <w:p>
      <w:pPr>
        <w:sectPr>
          <w:pgSz w:w="11900" w:h="16838" w:orient="portrait"/>
          <w:cols w:equalWidth="0" w:num="1">
            <w:col w:w="11220"/>
          </w:cols>
          <w:pgMar w:left="320" w:top="172" w:right="359" w:bottom="1440" w:gutter="0" w:footer="0" w:header="0"/>
        </w:sectPr>
      </w:pPr>
    </w:p>
    <w:bookmarkStart w:id="47" w:name="page48"/>
    <w:bookmarkEnd w:id="47"/>
    <w:p>
      <w:pPr>
        <w:ind w:left="280"/>
        <w:spacing w:after="0"/>
        <w:rPr>
          <w:sz w:val="20"/>
          <w:szCs w:val="20"/>
          <w:color w:val="auto"/>
        </w:rPr>
      </w:pPr>
      <w:r>
        <w:rPr>
          <w:rFonts w:ascii="Arial" w:cs="Arial" w:eastAsia="Arial" w:hAnsi="Arial"/>
          <w:sz w:val="13"/>
          <w:szCs w:val="13"/>
          <w:b w:val="1"/>
          <w:bCs w:val="1"/>
          <w:color w:val="929292"/>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7470" cy="596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7470" cy="59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6"/>
          <w:szCs w:val="16"/>
          <w:color w:val="auto"/>
        </w:rPr>
        <w:t>opportunities. In evaluating the companies comprising the compensation peer group, Compensia considered the following criteria in March 2020:</w:t>
      </w:r>
    </w:p>
    <w:p>
      <w:pPr>
        <w:spacing w:after="0" w:line="235" w:lineRule="exact"/>
        <w:rPr>
          <w:sz w:val="20"/>
          <w:szCs w:val="20"/>
          <w:color w:val="auto"/>
        </w:rPr>
      </w:pPr>
    </w:p>
    <w:p>
      <w:pPr>
        <w:ind w:left="500" w:right="220" w:hanging="168"/>
        <w:spacing w:after="0" w:line="348" w:lineRule="auto"/>
        <w:tabs>
          <w:tab w:leader="none" w:pos="462" w:val="left"/>
        </w:tabs>
        <w:numPr>
          <w:ilvl w:val="0"/>
          <w:numId w:val="42"/>
        </w:numPr>
        <w:rPr>
          <w:rFonts w:ascii="Arial" w:cs="Arial" w:eastAsia="Arial" w:hAnsi="Arial"/>
          <w:sz w:val="16"/>
          <w:szCs w:val="16"/>
          <w:color w:val="auto"/>
        </w:rPr>
      </w:pPr>
      <w:r>
        <w:rPr>
          <w:rFonts w:ascii="Arial" w:cs="Arial" w:eastAsia="Arial" w:hAnsi="Arial"/>
          <w:sz w:val="16"/>
          <w:szCs w:val="16"/>
          <w:color w:val="auto"/>
        </w:rPr>
        <w:t>publicly-traded companies headquartered in the United States and traded on a major United States stock exchange with a preference for California-based companies;</w:t>
      </w:r>
    </w:p>
    <w:p>
      <w:pPr>
        <w:spacing w:after="0" w:line="141" w:lineRule="exact"/>
        <w:rPr>
          <w:rFonts w:ascii="Arial" w:cs="Arial" w:eastAsia="Arial" w:hAnsi="Arial"/>
          <w:sz w:val="16"/>
          <w:szCs w:val="16"/>
          <w:color w:val="auto"/>
        </w:rPr>
      </w:pPr>
    </w:p>
    <w:p>
      <w:pPr>
        <w:ind w:left="460" w:hanging="128"/>
        <w:spacing w:after="0"/>
        <w:tabs>
          <w:tab w:leader="none" w:pos="4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companies in the application software and systems software industries;</w:t>
      </w:r>
    </w:p>
    <w:p>
      <w:pPr>
        <w:spacing w:after="0" w:line="234" w:lineRule="exact"/>
        <w:rPr>
          <w:rFonts w:ascii="Arial" w:cs="Arial" w:eastAsia="Arial" w:hAnsi="Arial"/>
          <w:sz w:val="16"/>
          <w:szCs w:val="16"/>
          <w:color w:val="auto"/>
        </w:rPr>
      </w:pPr>
    </w:p>
    <w:p>
      <w:pPr>
        <w:ind w:left="500" w:right="200" w:hanging="168"/>
        <w:spacing w:after="0" w:line="348" w:lineRule="auto"/>
        <w:tabs>
          <w:tab w:leader="none" w:pos="462" w:val="left"/>
        </w:tabs>
        <w:numPr>
          <w:ilvl w:val="0"/>
          <w:numId w:val="42"/>
        </w:numPr>
        <w:rPr>
          <w:rFonts w:ascii="Arial" w:cs="Arial" w:eastAsia="Arial" w:hAnsi="Arial"/>
          <w:sz w:val="16"/>
          <w:szCs w:val="16"/>
          <w:color w:val="auto"/>
        </w:rPr>
      </w:pPr>
      <w:r>
        <w:rPr>
          <w:rFonts w:ascii="Arial" w:cs="Arial" w:eastAsia="Arial" w:hAnsi="Arial"/>
          <w:sz w:val="16"/>
          <w:szCs w:val="16"/>
          <w:color w:val="auto"/>
        </w:rPr>
        <w:t>similar revenues – within a range of ~0.5x to ~2.0x our then-current trailing four quarters revenue of approximately $333 million (approximately $165 million to approximately $670 million); and</w:t>
      </w:r>
    </w:p>
    <w:p>
      <w:pPr>
        <w:spacing w:after="0" w:line="141" w:lineRule="exact"/>
        <w:rPr>
          <w:rFonts w:ascii="Arial" w:cs="Arial" w:eastAsia="Arial" w:hAnsi="Arial"/>
          <w:sz w:val="16"/>
          <w:szCs w:val="16"/>
          <w:color w:val="auto"/>
        </w:rPr>
      </w:pPr>
    </w:p>
    <w:p>
      <w:pPr>
        <w:ind w:left="500" w:right="420" w:hanging="168"/>
        <w:spacing w:after="0" w:line="348" w:lineRule="auto"/>
        <w:tabs>
          <w:tab w:leader="none" w:pos="462" w:val="left"/>
        </w:tabs>
        <w:numPr>
          <w:ilvl w:val="0"/>
          <w:numId w:val="42"/>
        </w:numPr>
        <w:rPr>
          <w:rFonts w:ascii="Arial" w:cs="Arial" w:eastAsia="Arial" w:hAnsi="Arial"/>
          <w:sz w:val="16"/>
          <w:szCs w:val="16"/>
          <w:color w:val="auto"/>
        </w:rPr>
      </w:pPr>
      <w:r>
        <w:rPr>
          <w:rFonts w:ascii="Arial" w:cs="Arial" w:eastAsia="Arial" w:hAnsi="Arial"/>
          <w:sz w:val="16"/>
          <w:szCs w:val="16"/>
          <w:color w:val="auto"/>
        </w:rPr>
        <w:t>similar market capitalization – within a range of ~0.33x to 3.0x our then-current 30-day average market capitalization of approximately $7.0 billion (approximately $2.3 billion to approximately $20.9 billion).</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color w:val="auto"/>
        </w:rPr>
        <w:t>This compensation peer group for the first portion of fiscal 2021 consisted of the following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13232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820" w:type="dxa"/>
            <w:vAlign w:val="bottom"/>
          </w:tcPr>
          <w:p>
            <w:pPr>
              <w:ind w:left="100"/>
              <w:spacing w:after="0"/>
              <w:rPr>
                <w:sz w:val="20"/>
                <w:szCs w:val="20"/>
                <w:color w:val="auto"/>
              </w:rPr>
            </w:pPr>
            <w:r>
              <w:rPr>
                <w:rFonts w:ascii="Arial" w:cs="Arial" w:eastAsia="Arial" w:hAnsi="Arial"/>
                <w:sz w:val="14"/>
                <w:szCs w:val="14"/>
                <w:b w:val="1"/>
                <w:bCs w:val="1"/>
                <w:color w:val="auto"/>
              </w:rPr>
              <w:t>Alteryx</w:t>
            </w:r>
          </w:p>
        </w:tc>
        <w:tc>
          <w:tcPr>
            <w:tcW w:w="3260" w:type="dxa"/>
            <w:vAlign w:val="bottom"/>
          </w:tcPr>
          <w:p>
            <w:pPr>
              <w:ind w:left="1100"/>
              <w:spacing w:after="0"/>
              <w:rPr>
                <w:sz w:val="20"/>
                <w:szCs w:val="20"/>
                <w:color w:val="auto"/>
              </w:rPr>
            </w:pPr>
            <w:r>
              <w:rPr>
                <w:rFonts w:ascii="Arial" w:cs="Arial" w:eastAsia="Arial" w:hAnsi="Arial"/>
                <w:sz w:val="14"/>
                <w:szCs w:val="14"/>
                <w:b w:val="1"/>
                <w:bCs w:val="1"/>
                <w:color w:val="auto"/>
              </w:rPr>
              <w:t>Coupa Software</w:t>
            </w:r>
          </w:p>
        </w:tc>
        <w:tc>
          <w:tcPr>
            <w:tcW w:w="2640" w:type="dxa"/>
            <w:vAlign w:val="bottom"/>
          </w:tcPr>
          <w:p>
            <w:pPr>
              <w:ind w:left="640"/>
              <w:spacing w:after="0"/>
              <w:rPr>
                <w:sz w:val="20"/>
                <w:szCs w:val="20"/>
                <w:color w:val="auto"/>
              </w:rPr>
            </w:pPr>
            <w:r>
              <w:rPr>
                <w:rFonts w:ascii="Arial" w:cs="Arial" w:eastAsia="Arial" w:hAnsi="Arial"/>
                <w:sz w:val="14"/>
                <w:szCs w:val="14"/>
                <w:b w:val="1"/>
                <w:bCs w:val="1"/>
                <w:color w:val="auto"/>
              </w:rPr>
              <w:t>New Relic</w:t>
            </w:r>
          </w:p>
        </w:tc>
        <w:tc>
          <w:tcPr>
            <w:tcW w:w="3520" w:type="dxa"/>
            <w:vAlign w:val="bottom"/>
          </w:tcPr>
          <w:p>
            <w:pPr>
              <w:ind w:left="820"/>
              <w:spacing w:after="0"/>
              <w:rPr>
                <w:sz w:val="20"/>
                <w:szCs w:val="20"/>
                <w:color w:val="auto"/>
              </w:rPr>
            </w:pPr>
            <w:r>
              <w:rPr>
                <w:rFonts w:ascii="Arial" w:cs="Arial" w:eastAsia="Arial" w:hAnsi="Arial"/>
                <w:sz w:val="14"/>
                <w:szCs w:val="14"/>
                <w:b w:val="1"/>
                <w:bCs w:val="1"/>
                <w:color w:val="auto"/>
              </w:rPr>
              <w:t>Qualys</w:t>
            </w:r>
          </w:p>
        </w:tc>
      </w:tr>
      <w:tr>
        <w:trPr>
          <w:trHeight w:val="53"/>
        </w:trPr>
        <w:tc>
          <w:tcPr>
            <w:tcW w:w="1820" w:type="dxa"/>
            <w:vAlign w:val="bottom"/>
            <w:tcBorders>
              <w:bottom w:val="single" w:sz="8" w:color="auto"/>
            </w:tcBorders>
          </w:tcPr>
          <w:p>
            <w:pPr>
              <w:spacing w:after="0"/>
              <w:rPr>
                <w:sz w:val="4"/>
                <w:szCs w:val="4"/>
                <w:color w:val="auto"/>
              </w:rPr>
            </w:pPr>
          </w:p>
        </w:tc>
        <w:tc>
          <w:tcPr>
            <w:tcW w:w="3260" w:type="dxa"/>
            <w:vAlign w:val="bottom"/>
            <w:tcBorders>
              <w:bottom w:val="single" w:sz="8" w:color="auto"/>
            </w:tcBorders>
          </w:tcPr>
          <w:p>
            <w:pPr>
              <w:spacing w:after="0"/>
              <w:rPr>
                <w:sz w:val="4"/>
                <w:szCs w:val="4"/>
                <w:color w:val="auto"/>
              </w:rPr>
            </w:pPr>
          </w:p>
        </w:tc>
        <w:tc>
          <w:tcPr>
            <w:tcW w:w="2640" w:type="dxa"/>
            <w:vAlign w:val="bottom"/>
            <w:tcBorders>
              <w:bottom w:val="single" w:sz="8" w:color="auto"/>
            </w:tcBorders>
          </w:tcPr>
          <w:p>
            <w:pPr>
              <w:spacing w:after="0"/>
              <w:rPr>
                <w:sz w:val="4"/>
                <w:szCs w:val="4"/>
                <w:color w:val="auto"/>
              </w:rPr>
            </w:pPr>
          </w:p>
        </w:tc>
        <w:tc>
          <w:tcPr>
            <w:tcW w:w="3520" w:type="dxa"/>
            <w:vAlign w:val="bottom"/>
            <w:tcBorders>
              <w:bottom w:val="single" w:sz="8" w:color="auto"/>
            </w:tcBorders>
          </w:tcPr>
          <w:p>
            <w:pPr>
              <w:spacing w:after="0"/>
              <w:rPr>
                <w:sz w:val="4"/>
                <w:szCs w:val="4"/>
                <w:color w:val="auto"/>
              </w:rPr>
            </w:pPr>
          </w:p>
        </w:tc>
      </w:tr>
      <w:tr>
        <w:trPr>
          <w:trHeight w:val="224"/>
        </w:trPr>
        <w:tc>
          <w:tcPr>
            <w:tcW w:w="1820" w:type="dxa"/>
            <w:vAlign w:val="bottom"/>
          </w:tcPr>
          <w:p>
            <w:pPr>
              <w:ind w:left="100"/>
              <w:spacing w:after="0"/>
              <w:rPr>
                <w:sz w:val="20"/>
                <w:szCs w:val="20"/>
                <w:color w:val="auto"/>
              </w:rPr>
            </w:pPr>
            <w:r>
              <w:rPr>
                <w:rFonts w:ascii="Arial" w:cs="Arial" w:eastAsia="Arial" w:hAnsi="Arial"/>
                <w:sz w:val="14"/>
                <w:szCs w:val="14"/>
                <w:b w:val="1"/>
                <w:bCs w:val="1"/>
                <w:color w:val="auto"/>
              </w:rPr>
              <w:t>Anaplan</w:t>
            </w:r>
          </w:p>
        </w:tc>
        <w:tc>
          <w:tcPr>
            <w:tcW w:w="3260" w:type="dxa"/>
            <w:vAlign w:val="bottom"/>
          </w:tcPr>
          <w:p>
            <w:pPr>
              <w:ind w:left="1100"/>
              <w:spacing w:after="0"/>
              <w:rPr>
                <w:sz w:val="20"/>
                <w:szCs w:val="20"/>
                <w:color w:val="auto"/>
              </w:rPr>
            </w:pPr>
            <w:r>
              <w:rPr>
                <w:rFonts w:ascii="Arial" w:cs="Arial" w:eastAsia="Arial" w:hAnsi="Arial"/>
                <w:sz w:val="14"/>
                <w:szCs w:val="14"/>
                <w:b w:val="1"/>
                <w:bCs w:val="1"/>
                <w:color w:val="auto"/>
              </w:rPr>
              <w:t>CrowdStrike Holdings</w:t>
            </w:r>
          </w:p>
        </w:tc>
        <w:tc>
          <w:tcPr>
            <w:tcW w:w="2640" w:type="dxa"/>
            <w:vAlign w:val="bottom"/>
          </w:tcPr>
          <w:p>
            <w:pPr>
              <w:ind w:left="640"/>
              <w:spacing w:after="0"/>
              <w:rPr>
                <w:sz w:val="20"/>
                <w:szCs w:val="20"/>
                <w:color w:val="auto"/>
              </w:rPr>
            </w:pPr>
            <w:r>
              <w:rPr>
                <w:rFonts w:ascii="Arial" w:cs="Arial" w:eastAsia="Arial" w:hAnsi="Arial"/>
                <w:sz w:val="14"/>
                <w:szCs w:val="14"/>
                <w:b w:val="1"/>
                <w:bCs w:val="1"/>
                <w:color w:val="auto"/>
              </w:rPr>
              <w:t>Okta</w:t>
            </w:r>
          </w:p>
        </w:tc>
        <w:tc>
          <w:tcPr>
            <w:tcW w:w="3520" w:type="dxa"/>
            <w:vAlign w:val="bottom"/>
          </w:tcPr>
          <w:p>
            <w:pPr>
              <w:ind w:left="820"/>
              <w:spacing w:after="0"/>
              <w:rPr>
                <w:sz w:val="20"/>
                <w:szCs w:val="20"/>
                <w:color w:val="auto"/>
              </w:rPr>
            </w:pPr>
            <w:r>
              <w:rPr>
                <w:rFonts w:ascii="Arial" w:cs="Arial" w:eastAsia="Arial" w:hAnsi="Arial"/>
                <w:sz w:val="14"/>
                <w:szCs w:val="14"/>
                <w:b w:val="1"/>
                <w:bCs w:val="1"/>
                <w:color w:val="auto"/>
              </w:rPr>
              <w:t>Tenable Holdings</w:t>
            </w:r>
          </w:p>
        </w:tc>
      </w:tr>
      <w:tr>
        <w:trPr>
          <w:trHeight w:val="53"/>
        </w:trPr>
        <w:tc>
          <w:tcPr>
            <w:tcW w:w="1820" w:type="dxa"/>
            <w:vAlign w:val="bottom"/>
            <w:tcBorders>
              <w:bottom w:val="single" w:sz="8" w:color="auto"/>
            </w:tcBorders>
          </w:tcPr>
          <w:p>
            <w:pPr>
              <w:spacing w:after="0"/>
              <w:rPr>
                <w:sz w:val="4"/>
                <w:szCs w:val="4"/>
                <w:color w:val="auto"/>
              </w:rPr>
            </w:pPr>
          </w:p>
        </w:tc>
        <w:tc>
          <w:tcPr>
            <w:tcW w:w="3260" w:type="dxa"/>
            <w:vAlign w:val="bottom"/>
            <w:tcBorders>
              <w:bottom w:val="single" w:sz="8" w:color="auto"/>
            </w:tcBorders>
          </w:tcPr>
          <w:p>
            <w:pPr>
              <w:spacing w:after="0"/>
              <w:rPr>
                <w:sz w:val="4"/>
                <w:szCs w:val="4"/>
                <w:color w:val="auto"/>
              </w:rPr>
            </w:pPr>
          </w:p>
        </w:tc>
        <w:tc>
          <w:tcPr>
            <w:tcW w:w="2640" w:type="dxa"/>
            <w:vAlign w:val="bottom"/>
            <w:tcBorders>
              <w:bottom w:val="single" w:sz="8" w:color="auto"/>
            </w:tcBorders>
          </w:tcPr>
          <w:p>
            <w:pPr>
              <w:spacing w:after="0"/>
              <w:rPr>
                <w:sz w:val="4"/>
                <w:szCs w:val="4"/>
                <w:color w:val="auto"/>
              </w:rPr>
            </w:pPr>
          </w:p>
        </w:tc>
        <w:tc>
          <w:tcPr>
            <w:tcW w:w="3520" w:type="dxa"/>
            <w:vAlign w:val="bottom"/>
            <w:tcBorders>
              <w:bottom w:val="single" w:sz="8" w:color="auto"/>
            </w:tcBorders>
          </w:tcPr>
          <w:p>
            <w:pPr>
              <w:spacing w:after="0"/>
              <w:rPr>
                <w:sz w:val="4"/>
                <w:szCs w:val="4"/>
                <w:color w:val="auto"/>
              </w:rPr>
            </w:pPr>
          </w:p>
        </w:tc>
      </w:tr>
      <w:tr>
        <w:trPr>
          <w:trHeight w:val="224"/>
        </w:trPr>
        <w:tc>
          <w:tcPr>
            <w:tcW w:w="1820" w:type="dxa"/>
            <w:vAlign w:val="bottom"/>
          </w:tcPr>
          <w:p>
            <w:pPr>
              <w:ind w:left="100"/>
              <w:spacing w:after="0"/>
              <w:rPr>
                <w:sz w:val="20"/>
                <w:szCs w:val="20"/>
                <w:color w:val="auto"/>
              </w:rPr>
            </w:pPr>
            <w:r>
              <w:rPr>
                <w:rFonts w:ascii="Arial" w:cs="Arial" w:eastAsia="Arial" w:hAnsi="Arial"/>
                <w:sz w:val="14"/>
                <w:szCs w:val="14"/>
                <w:b w:val="1"/>
                <w:bCs w:val="1"/>
                <w:color w:val="auto"/>
              </w:rPr>
              <w:t>Blackline</w:t>
            </w:r>
          </w:p>
        </w:tc>
        <w:tc>
          <w:tcPr>
            <w:tcW w:w="3260" w:type="dxa"/>
            <w:vAlign w:val="bottom"/>
          </w:tcPr>
          <w:p>
            <w:pPr>
              <w:ind w:left="1100"/>
              <w:spacing w:after="0"/>
              <w:rPr>
                <w:sz w:val="20"/>
                <w:szCs w:val="20"/>
                <w:color w:val="auto"/>
              </w:rPr>
            </w:pPr>
            <w:r>
              <w:rPr>
                <w:rFonts w:ascii="Arial" w:cs="Arial" w:eastAsia="Arial" w:hAnsi="Arial"/>
                <w:sz w:val="14"/>
                <w:szCs w:val="14"/>
                <w:b w:val="1"/>
                <w:bCs w:val="1"/>
                <w:color w:val="auto"/>
              </w:rPr>
              <w:t>Elastic</w:t>
            </w:r>
          </w:p>
        </w:tc>
        <w:tc>
          <w:tcPr>
            <w:tcW w:w="2640" w:type="dxa"/>
            <w:vAlign w:val="bottom"/>
          </w:tcPr>
          <w:p>
            <w:pPr>
              <w:ind w:left="640"/>
              <w:spacing w:after="0"/>
              <w:rPr>
                <w:sz w:val="20"/>
                <w:szCs w:val="20"/>
                <w:color w:val="auto"/>
              </w:rPr>
            </w:pPr>
            <w:r>
              <w:rPr>
                <w:rFonts w:ascii="Arial" w:cs="Arial" w:eastAsia="Arial" w:hAnsi="Arial"/>
                <w:sz w:val="14"/>
                <w:szCs w:val="14"/>
                <w:b w:val="1"/>
                <w:bCs w:val="1"/>
                <w:color w:val="auto"/>
              </w:rPr>
              <w:t>Paycom Software</w:t>
            </w:r>
          </w:p>
        </w:tc>
        <w:tc>
          <w:tcPr>
            <w:tcW w:w="3520" w:type="dxa"/>
            <w:vAlign w:val="bottom"/>
          </w:tcPr>
          <w:p>
            <w:pPr>
              <w:ind w:left="820"/>
              <w:spacing w:after="0"/>
              <w:rPr>
                <w:sz w:val="20"/>
                <w:szCs w:val="20"/>
                <w:color w:val="auto"/>
              </w:rPr>
            </w:pPr>
            <w:r>
              <w:rPr>
                <w:rFonts w:ascii="Arial" w:cs="Arial" w:eastAsia="Arial" w:hAnsi="Arial"/>
                <w:sz w:val="14"/>
                <w:szCs w:val="14"/>
                <w:b w:val="1"/>
                <w:bCs w:val="1"/>
                <w:color w:val="auto"/>
              </w:rPr>
              <w:t>The Trade Desk</w:t>
            </w:r>
          </w:p>
        </w:tc>
      </w:tr>
      <w:tr>
        <w:trPr>
          <w:trHeight w:val="53"/>
        </w:trPr>
        <w:tc>
          <w:tcPr>
            <w:tcW w:w="1820" w:type="dxa"/>
            <w:vAlign w:val="bottom"/>
            <w:tcBorders>
              <w:bottom w:val="single" w:sz="8" w:color="auto"/>
            </w:tcBorders>
          </w:tcPr>
          <w:p>
            <w:pPr>
              <w:spacing w:after="0"/>
              <w:rPr>
                <w:sz w:val="4"/>
                <w:szCs w:val="4"/>
                <w:color w:val="auto"/>
              </w:rPr>
            </w:pPr>
          </w:p>
        </w:tc>
        <w:tc>
          <w:tcPr>
            <w:tcW w:w="3260" w:type="dxa"/>
            <w:vAlign w:val="bottom"/>
            <w:tcBorders>
              <w:bottom w:val="single" w:sz="8" w:color="auto"/>
            </w:tcBorders>
          </w:tcPr>
          <w:p>
            <w:pPr>
              <w:spacing w:after="0"/>
              <w:rPr>
                <w:sz w:val="4"/>
                <w:szCs w:val="4"/>
                <w:color w:val="auto"/>
              </w:rPr>
            </w:pPr>
          </w:p>
        </w:tc>
        <w:tc>
          <w:tcPr>
            <w:tcW w:w="2640" w:type="dxa"/>
            <w:vAlign w:val="bottom"/>
            <w:tcBorders>
              <w:bottom w:val="single" w:sz="8" w:color="auto"/>
            </w:tcBorders>
          </w:tcPr>
          <w:p>
            <w:pPr>
              <w:spacing w:after="0"/>
              <w:rPr>
                <w:sz w:val="4"/>
                <w:szCs w:val="4"/>
                <w:color w:val="auto"/>
              </w:rPr>
            </w:pPr>
          </w:p>
        </w:tc>
        <w:tc>
          <w:tcPr>
            <w:tcW w:w="3520" w:type="dxa"/>
            <w:vAlign w:val="bottom"/>
            <w:tcBorders>
              <w:bottom w:val="single" w:sz="8" w:color="auto"/>
            </w:tcBorders>
          </w:tcPr>
          <w:p>
            <w:pPr>
              <w:spacing w:after="0"/>
              <w:rPr>
                <w:sz w:val="4"/>
                <w:szCs w:val="4"/>
                <w:color w:val="auto"/>
              </w:rPr>
            </w:pPr>
          </w:p>
        </w:tc>
      </w:tr>
      <w:tr>
        <w:trPr>
          <w:trHeight w:val="224"/>
        </w:trPr>
        <w:tc>
          <w:tcPr>
            <w:tcW w:w="1820" w:type="dxa"/>
            <w:vAlign w:val="bottom"/>
          </w:tcPr>
          <w:p>
            <w:pPr>
              <w:ind w:left="100"/>
              <w:spacing w:after="0"/>
              <w:rPr>
                <w:sz w:val="20"/>
                <w:szCs w:val="20"/>
                <w:color w:val="auto"/>
              </w:rPr>
            </w:pPr>
            <w:r>
              <w:rPr>
                <w:rFonts w:ascii="Arial" w:cs="Arial" w:eastAsia="Arial" w:hAnsi="Arial"/>
                <w:sz w:val="14"/>
                <w:szCs w:val="14"/>
                <w:b w:val="1"/>
                <w:bCs w:val="1"/>
                <w:color w:val="auto"/>
              </w:rPr>
              <w:t>Box</w:t>
            </w:r>
          </w:p>
        </w:tc>
        <w:tc>
          <w:tcPr>
            <w:tcW w:w="3260" w:type="dxa"/>
            <w:vAlign w:val="bottom"/>
          </w:tcPr>
          <w:p>
            <w:pPr>
              <w:ind w:left="1100"/>
              <w:spacing w:after="0"/>
              <w:rPr>
                <w:sz w:val="20"/>
                <w:szCs w:val="20"/>
                <w:color w:val="auto"/>
              </w:rPr>
            </w:pPr>
            <w:r>
              <w:rPr>
                <w:rFonts w:ascii="Arial" w:cs="Arial" w:eastAsia="Arial" w:hAnsi="Arial"/>
                <w:sz w:val="14"/>
                <w:szCs w:val="14"/>
                <w:b w:val="1"/>
                <w:bCs w:val="1"/>
                <w:color w:val="auto"/>
              </w:rPr>
              <w:t>MongoDB</w:t>
            </w:r>
          </w:p>
        </w:tc>
        <w:tc>
          <w:tcPr>
            <w:tcW w:w="2640" w:type="dxa"/>
            <w:vAlign w:val="bottom"/>
          </w:tcPr>
          <w:p>
            <w:pPr>
              <w:ind w:left="640"/>
              <w:spacing w:after="0"/>
              <w:rPr>
                <w:sz w:val="20"/>
                <w:szCs w:val="20"/>
                <w:color w:val="auto"/>
              </w:rPr>
            </w:pPr>
            <w:r>
              <w:rPr>
                <w:rFonts w:ascii="Arial" w:cs="Arial" w:eastAsia="Arial" w:hAnsi="Arial"/>
                <w:sz w:val="14"/>
                <w:szCs w:val="14"/>
                <w:b w:val="1"/>
                <w:bCs w:val="1"/>
                <w:color w:val="auto"/>
              </w:rPr>
              <w:t>Proofpoint</w:t>
            </w:r>
          </w:p>
        </w:tc>
        <w:tc>
          <w:tcPr>
            <w:tcW w:w="3520" w:type="dxa"/>
            <w:vAlign w:val="bottom"/>
          </w:tcPr>
          <w:p>
            <w:pPr>
              <w:ind w:left="820"/>
              <w:spacing w:after="0"/>
              <w:rPr>
                <w:sz w:val="20"/>
                <w:szCs w:val="20"/>
                <w:color w:val="auto"/>
              </w:rPr>
            </w:pPr>
            <w:r>
              <w:rPr>
                <w:rFonts w:ascii="Arial" w:cs="Arial" w:eastAsia="Arial" w:hAnsi="Arial"/>
                <w:sz w:val="14"/>
                <w:szCs w:val="14"/>
                <w:b w:val="1"/>
                <w:bCs w:val="1"/>
                <w:color w:val="auto"/>
              </w:rPr>
              <w:t>Zendesk</w:t>
            </w:r>
          </w:p>
        </w:tc>
      </w:tr>
      <w:tr>
        <w:trPr>
          <w:trHeight w:val="53"/>
        </w:trPr>
        <w:tc>
          <w:tcPr>
            <w:tcW w:w="1820" w:type="dxa"/>
            <w:vAlign w:val="bottom"/>
            <w:tcBorders>
              <w:bottom w:val="single" w:sz="8" w:color="auto"/>
            </w:tcBorders>
          </w:tcPr>
          <w:p>
            <w:pPr>
              <w:spacing w:after="0"/>
              <w:rPr>
                <w:sz w:val="4"/>
                <w:szCs w:val="4"/>
                <w:color w:val="auto"/>
              </w:rPr>
            </w:pPr>
          </w:p>
        </w:tc>
        <w:tc>
          <w:tcPr>
            <w:tcW w:w="3260" w:type="dxa"/>
            <w:vAlign w:val="bottom"/>
            <w:tcBorders>
              <w:bottom w:val="single" w:sz="8" w:color="auto"/>
            </w:tcBorders>
          </w:tcPr>
          <w:p>
            <w:pPr>
              <w:spacing w:after="0"/>
              <w:rPr>
                <w:sz w:val="4"/>
                <w:szCs w:val="4"/>
                <w:color w:val="auto"/>
              </w:rPr>
            </w:pPr>
          </w:p>
        </w:tc>
        <w:tc>
          <w:tcPr>
            <w:tcW w:w="2640" w:type="dxa"/>
            <w:vAlign w:val="bottom"/>
            <w:tcBorders>
              <w:bottom w:val="single" w:sz="8" w:color="auto"/>
            </w:tcBorders>
          </w:tcPr>
          <w:p>
            <w:pPr>
              <w:spacing w:after="0"/>
              <w:rPr>
                <w:sz w:val="4"/>
                <w:szCs w:val="4"/>
                <w:color w:val="auto"/>
              </w:rPr>
            </w:pPr>
          </w:p>
        </w:tc>
        <w:tc>
          <w:tcPr>
            <w:tcW w:w="3520" w:type="dxa"/>
            <w:vAlign w:val="bottom"/>
            <w:tcBorders>
              <w:bottom w:val="single" w:sz="8" w:color="auto"/>
            </w:tcBorders>
          </w:tcPr>
          <w:p>
            <w:pPr>
              <w:spacing w:after="0"/>
              <w:rPr>
                <w:sz w:val="4"/>
                <w:szCs w:val="4"/>
                <w:color w:val="auto"/>
              </w:rPr>
            </w:pPr>
          </w:p>
        </w:tc>
      </w:tr>
    </w:tbl>
    <w:p>
      <w:pPr>
        <w:spacing w:after="0" w:line="177" w:lineRule="exact"/>
        <w:rPr>
          <w:sz w:val="20"/>
          <w:szCs w:val="20"/>
          <w:color w:val="auto"/>
        </w:rPr>
      </w:pPr>
    </w:p>
    <w:p>
      <w:pPr>
        <w:jc w:val="both"/>
        <w:ind w:right="200"/>
        <w:spacing w:after="0" w:line="348" w:lineRule="auto"/>
        <w:rPr>
          <w:sz w:val="20"/>
          <w:szCs w:val="20"/>
          <w:color w:val="auto"/>
        </w:rPr>
      </w:pPr>
      <w:r>
        <w:rPr>
          <w:rFonts w:ascii="Arial" w:cs="Arial" w:eastAsia="Arial" w:hAnsi="Arial"/>
          <w:sz w:val="16"/>
          <w:szCs w:val="16"/>
          <w:color w:val="auto"/>
        </w:rPr>
        <w:t>This compensation peer group was used by the compensation committee through March 2021 as a reference for understanding the competitive market for executive positions in our industry.</w:t>
      </w:r>
    </w:p>
    <w:p>
      <w:pPr>
        <w:spacing w:after="0" w:line="141" w:lineRule="exact"/>
        <w:rPr>
          <w:sz w:val="20"/>
          <w:szCs w:val="20"/>
          <w:color w:val="auto"/>
        </w:rPr>
      </w:pPr>
    </w:p>
    <w:p>
      <w:pPr>
        <w:jc w:val="both"/>
        <w:ind w:right="200"/>
        <w:spacing w:after="0" w:line="341" w:lineRule="auto"/>
        <w:rPr>
          <w:sz w:val="20"/>
          <w:szCs w:val="20"/>
          <w:color w:val="auto"/>
        </w:rPr>
      </w:pPr>
      <w:r>
        <w:rPr>
          <w:rFonts w:ascii="Arial" w:cs="Arial" w:eastAsia="Arial" w:hAnsi="Arial"/>
          <w:sz w:val="16"/>
          <w:szCs w:val="16"/>
          <w:color w:val="auto"/>
        </w:rPr>
        <w:t>In March 2021, the compensation committee, with the assistance of Compensia, reviewed and updated our compensation peer group to reflect changes in our market capitalization and to recognize our evolving business focus. In evaluating the companies comprising the compensation peer group at that time, Compensia considered the following criteria:</w:t>
      </w:r>
    </w:p>
    <w:p>
      <w:pPr>
        <w:spacing w:after="0" w:line="147" w:lineRule="exact"/>
        <w:rPr>
          <w:sz w:val="20"/>
          <w:szCs w:val="20"/>
          <w:color w:val="auto"/>
        </w:rPr>
      </w:pPr>
    </w:p>
    <w:p>
      <w:pPr>
        <w:ind w:left="500" w:right="220" w:hanging="168"/>
        <w:spacing w:after="0" w:line="348" w:lineRule="auto"/>
        <w:tabs>
          <w:tab w:leader="none" w:pos="462" w:val="left"/>
        </w:tabs>
        <w:numPr>
          <w:ilvl w:val="0"/>
          <w:numId w:val="43"/>
        </w:numPr>
        <w:rPr>
          <w:rFonts w:ascii="Arial" w:cs="Arial" w:eastAsia="Arial" w:hAnsi="Arial"/>
          <w:sz w:val="16"/>
          <w:szCs w:val="16"/>
          <w:color w:val="auto"/>
        </w:rPr>
      </w:pPr>
      <w:r>
        <w:rPr>
          <w:rFonts w:ascii="Arial" w:cs="Arial" w:eastAsia="Arial" w:hAnsi="Arial"/>
          <w:sz w:val="16"/>
          <w:szCs w:val="16"/>
          <w:color w:val="auto"/>
        </w:rPr>
        <w:t>publicly-traded companies headquartered in the United States and traded on a major United States stock exchange with a preference for California-based companies;</w:t>
      </w:r>
    </w:p>
    <w:p>
      <w:pPr>
        <w:spacing w:after="0" w:line="141" w:lineRule="exact"/>
        <w:rPr>
          <w:rFonts w:ascii="Arial" w:cs="Arial" w:eastAsia="Arial" w:hAnsi="Arial"/>
          <w:sz w:val="16"/>
          <w:szCs w:val="16"/>
          <w:color w:val="auto"/>
        </w:rPr>
      </w:pPr>
    </w:p>
    <w:p>
      <w:pPr>
        <w:ind w:left="460" w:hanging="128"/>
        <w:spacing w:after="0"/>
        <w:tabs>
          <w:tab w:leader="none" w:pos="4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companies in the application software and systems software industries;</w:t>
      </w:r>
    </w:p>
    <w:p>
      <w:pPr>
        <w:spacing w:after="0" w:line="234" w:lineRule="exact"/>
        <w:rPr>
          <w:rFonts w:ascii="Arial" w:cs="Arial" w:eastAsia="Arial" w:hAnsi="Arial"/>
          <w:sz w:val="16"/>
          <w:szCs w:val="16"/>
          <w:color w:val="auto"/>
        </w:rPr>
      </w:pPr>
    </w:p>
    <w:p>
      <w:pPr>
        <w:ind w:left="500" w:right="200" w:hanging="168"/>
        <w:spacing w:after="0" w:line="348" w:lineRule="auto"/>
        <w:tabs>
          <w:tab w:leader="none" w:pos="462" w:val="left"/>
        </w:tabs>
        <w:numPr>
          <w:ilvl w:val="0"/>
          <w:numId w:val="43"/>
        </w:numPr>
        <w:rPr>
          <w:rFonts w:ascii="Arial" w:cs="Arial" w:eastAsia="Arial" w:hAnsi="Arial"/>
          <w:sz w:val="16"/>
          <w:szCs w:val="16"/>
          <w:color w:val="auto"/>
        </w:rPr>
      </w:pPr>
      <w:r>
        <w:rPr>
          <w:rFonts w:ascii="Arial" w:cs="Arial" w:eastAsia="Arial" w:hAnsi="Arial"/>
          <w:sz w:val="16"/>
          <w:szCs w:val="16"/>
          <w:color w:val="auto"/>
        </w:rPr>
        <w:t>similar revenues – within a range of ~0.5x to ~2.0x our then-current trailing four quarters revenue of approximately $480 million (approximately $240 million to approximately $960 million); and</w:t>
      </w:r>
    </w:p>
    <w:p>
      <w:pPr>
        <w:spacing w:after="0" w:line="141" w:lineRule="exact"/>
        <w:rPr>
          <w:rFonts w:ascii="Arial" w:cs="Arial" w:eastAsia="Arial" w:hAnsi="Arial"/>
          <w:sz w:val="16"/>
          <w:szCs w:val="16"/>
          <w:color w:val="auto"/>
        </w:rPr>
      </w:pPr>
    </w:p>
    <w:p>
      <w:pPr>
        <w:ind w:left="500" w:right="320" w:hanging="168"/>
        <w:spacing w:after="0" w:line="348" w:lineRule="auto"/>
        <w:tabs>
          <w:tab w:leader="none" w:pos="462" w:val="left"/>
        </w:tabs>
        <w:numPr>
          <w:ilvl w:val="0"/>
          <w:numId w:val="43"/>
        </w:numPr>
        <w:rPr>
          <w:rFonts w:ascii="Arial" w:cs="Arial" w:eastAsia="Arial" w:hAnsi="Arial"/>
          <w:sz w:val="16"/>
          <w:szCs w:val="16"/>
          <w:color w:val="auto"/>
        </w:rPr>
      </w:pPr>
      <w:r>
        <w:rPr>
          <w:rFonts w:ascii="Arial" w:cs="Arial" w:eastAsia="Arial" w:hAnsi="Arial"/>
          <w:sz w:val="16"/>
          <w:szCs w:val="16"/>
          <w:color w:val="auto"/>
        </w:rPr>
        <w:t>similar market capitalization – within a range of ~0.33x to 3.0x our then-current 30-day average market capitalization of approximately $27.2 billion (approximately $9.0 billion to approximately $81.6 billion).</w:t>
      </w:r>
    </w:p>
    <w:p>
      <w:pPr>
        <w:spacing w:after="0" w:line="141" w:lineRule="exact"/>
        <w:rPr>
          <w:sz w:val="20"/>
          <w:szCs w:val="20"/>
          <w:color w:val="auto"/>
        </w:rPr>
      </w:pPr>
    </w:p>
    <w:p>
      <w:pPr>
        <w:spacing w:after="0" w:line="348" w:lineRule="auto"/>
        <w:rPr>
          <w:sz w:val="20"/>
          <w:szCs w:val="20"/>
          <w:color w:val="auto"/>
        </w:rPr>
      </w:pPr>
      <w:r>
        <w:rPr>
          <w:rFonts w:ascii="Arial" w:cs="Arial" w:eastAsia="Arial" w:hAnsi="Arial"/>
          <w:sz w:val="16"/>
          <w:szCs w:val="16"/>
          <w:color w:val="auto"/>
        </w:rPr>
        <w:t>Based on a review of the analysis prepared by Compensia, the compensation committee approved a revised compensation peer group in March 2021 for the remainder of fiscal 2021 consisting of the following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180" w:type="dxa"/>
            <w:vAlign w:val="bottom"/>
          </w:tcPr>
          <w:p>
            <w:pPr>
              <w:ind w:left="20"/>
              <w:spacing w:after="0"/>
              <w:rPr>
                <w:sz w:val="20"/>
                <w:szCs w:val="20"/>
                <w:color w:val="auto"/>
              </w:rPr>
            </w:pPr>
            <w:r>
              <w:rPr>
                <w:rFonts w:ascii="Arial" w:cs="Arial" w:eastAsia="Arial" w:hAnsi="Arial"/>
                <w:sz w:val="14"/>
                <w:szCs w:val="14"/>
                <w:b w:val="1"/>
                <w:bCs w:val="1"/>
                <w:color w:val="auto"/>
              </w:rPr>
              <w:t>Anaplan</w:t>
            </w:r>
          </w:p>
        </w:tc>
        <w:tc>
          <w:tcPr>
            <w:tcW w:w="2400" w:type="dxa"/>
            <w:vAlign w:val="bottom"/>
          </w:tcPr>
          <w:p>
            <w:pPr>
              <w:ind w:left="660"/>
              <w:spacing w:after="0"/>
              <w:rPr>
                <w:sz w:val="20"/>
                <w:szCs w:val="20"/>
                <w:color w:val="auto"/>
              </w:rPr>
            </w:pPr>
            <w:r>
              <w:rPr>
                <w:rFonts w:ascii="Arial" w:cs="Arial" w:eastAsia="Arial" w:hAnsi="Arial"/>
                <w:sz w:val="14"/>
                <w:szCs w:val="14"/>
                <w:b w:val="1"/>
                <w:bCs w:val="1"/>
                <w:color w:val="auto"/>
              </w:rPr>
              <w:t>Datadog</w:t>
            </w:r>
          </w:p>
        </w:tc>
        <w:tc>
          <w:tcPr>
            <w:tcW w:w="3060" w:type="dxa"/>
            <w:vAlign w:val="bottom"/>
          </w:tcPr>
          <w:p>
            <w:pPr>
              <w:ind w:left="1060"/>
              <w:spacing w:after="0"/>
              <w:rPr>
                <w:sz w:val="20"/>
                <w:szCs w:val="20"/>
                <w:color w:val="auto"/>
              </w:rPr>
            </w:pPr>
            <w:r>
              <w:rPr>
                <w:rFonts w:ascii="Arial" w:cs="Arial" w:eastAsia="Arial" w:hAnsi="Arial"/>
                <w:sz w:val="14"/>
                <w:szCs w:val="14"/>
                <w:b w:val="1"/>
                <w:bCs w:val="1"/>
                <w:color w:val="auto"/>
              </w:rPr>
              <w:t>MongoDB</w:t>
            </w:r>
          </w:p>
        </w:tc>
        <w:tc>
          <w:tcPr>
            <w:tcW w:w="3600" w:type="dxa"/>
            <w:vAlign w:val="bottom"/>
          </w:tcPr>
          <w:p>
            <w:pPr>
              <w:ind w:left="820"/>
              <w:spacing w:after="0"/>
              <w:rPr>
                <w:sz w:val="20"/>
                <w:szCs w:val="20"/>
                <w:color w:val="auto"/>
              </w:rPr>
            </w:pPr>
            <w:r>
              <w:rPr>
                <w:rFonts w:ascii="Arial" w:cs="Arial" w:eastAsia="Arial" w:hAnsi="Arial"/>
                <w:sz w:val="14"/>
                <w:szCs w:val="14"/>
                <w:b w:val="1"/>
                <w:bCs w:val="1"/>
                <w:color w:val="auto"/>
              </w:rPr>
              <w:t>The Trade Desk</w:t>
            </w:r>
          </w:p>
        </w:tc>
      </w:tr>
      <w:tr>
        <w:trPr>
          <w:trHeight w:val="53"/>
        </w:trPr>
        <w:tc>
          <w:tcPr>
            <w:tcW w:w="21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c>
          <w:tcPr>
            <w:tcW w:w="3060" w:type="dxa"/>
            <w:vAlign w:val="bottom"/>
            <w:tcBorders>
              <w:bottom w:val="single" w:sz="8" w:color="auto"/>
            </w:tcBorders>
          </w:tcPr>
          <w:p>
            <w:pPr>
              <w:spacing w:after="0"/>
              <w:rPr>
                <w:sz w:val="4"/>
                <w:szCs w:val="4"/>
                <w:color w:val="auto"/>
              </w:rPr>
            </w:pPr>
          </w:p>
        </w:tc>
        <w:tc>
          <w:tcPr>
            <w:tcW w:w="3600" w:type="dxa"/>
            <w:vAlign w:val="bottom"/>
            <w:tcBorders>
              <w:bottom w:val="single" w:sz="8" w:color="auto"/>
            </w:tcBorders>
          </w:tcPr>
          <w:p>
            <w:pPr>
              <w:spacing w:after="0"/>
              <w:rPr>
                <w:sz w:val="4"/>
                <w:szCs w:val="4"/>
                <w:color w:val="auto"/>
              </w:rPr>
            </w:pPr>
          </w:p>
        </w:tc>
      </w:tr>
      <w:tr>
        <w:trPr>
          <w:trHeight w:val="225"/>
        </w:trPr>
        <w:tc>
          <w:tcPr>
            <w:tcW w:w="2180" w:type="dxa"/>
            <w:vAlign w:val="bottom"/>
          </w:tcPr>
          <w:p>
            <w:pPr>
              <w:ind w:left="20"/>
              <w:spacing w:after="0"/>
              <w:rPr>
                <w:sz w:val="20"/>
                <w:szCs w:val="20"/>
                <w:color w:val="auto"/>
              </w:rPr>
            </w:pPr>
            <w:r>
              <w:rPr>
                <w:rFonts w:ascii="Arial" w:cs="Arial" w:eastAsia="Arial" w:hAnsi="Arial"/>
                <w:sz w:val="14"/>
                <w:szCs w:val="14"/>
                <w:b w:val="1"/>
                <w:bCs w:val="1"/>
                <w:color w:val="auto"/>
              </w:rPr>
              <w:t>Avalara</w:t>
            </w:r>
          </w:p>
        </w:tc>
        <w:tc>
          <w:tcPr>
            <w:tcW w:w="2400" w:type="dxa"/>
            <w:vAlign w:val="bottom"/>
          </w:tcPr>
          <w:p>
            <w:pPr>
              <w:ind w:left="660"/>
              <w:spacing w:after="0"/>
              <w:rPr>
                <w:sz w:val="20"/>
                <w:szCs w:val="20"/>
                <w:color w:val="auto"/>
              </w:rPr>
            </w:pPr>
            <w:r>
              <w:rPr>
                <w:rFonts w:ascii="Arial" w:cs="Arial" w:eastAsia="Arial" w:hAnsi="Arial"/>
                <w:sz w:val="14"/>
                <w:szCs w:val="14"/>
                <w:b w:val="1"/>
                <w:bCs w:val="1"/>
                <w:color w:val="auto"/>
              </w:rPr>
              <w:t>DocuSign</w:t>
            </w:r>
          </w:p>
        </w:tc>
        <w:tc>
          <w:tcPr>
            <w:tcW w:w="3060" w:type="dxa"/>
            <w:vAlign w:val="bottom"/>
          </w:tcPr>
          <w:p>
            <w:pPr>
              <w:ind w:left="1060"/>
              <w:spacing w:after="0"/>
              <w:rPr>
                <w:sz w:val="20"/>
                <w:szCs w:val="20"/>
                <w:color w:val="auto"/>
              </w:rPr>
            </w:pPr>
            <w:r>
              <w:rPr>
                <w:rFonts w:ascii="Arial" w:cs="Arial" w:eastAsia="Arial" w:hAnsi="Arial"/>
                <w:sz w:val="14"/>
                <w:szCs w:val="14"/>
                <w:b w:val="1"/>
                <w:bCs w:val="1"/>
                <w:color w:val="auto"/>
              </w:rPr>
              <w:t>Okta</w:t>
            </w:r>
          </w:p>
        </w:tc>
        <w:tc>
          <w:tcPr>
            <w:tcW w:w="3600" w:type="dxa"/>
            <w:vAlign w:val="bottom"/>
          </w:tcPr>
          <w:p>
            <w:pPr>
              <w:ind w:left="820"/>
              <w:spacing w:after="0"/>
              <w:rPr>
                <w:sz w:val="20"/>
                <w:szCs w:val="20"/>
                <w:color w:val="auto"/>
              </w:rPr>
            </w:pPr>
            <w:r>
              <w:rPr>
                <w:rFonts w:ascii="Arial" w:cs="Arial" w:eastAsia="Arial" w:hAnsi="Arial"/>
                <w:sz w:val="14"/>
                <w:szCs w:val="14"/>
                <w:b w:val="1"/>
                <w:bCs w:val="1"/>
                <w:color w:val="auto"/>
              </w:rPr>
              <w:t>Zendesk</w:t>
            </w:r>
          </w:p>
        </w:tc>
      </w:tr>
      <w:tr>
        <w:trPr>
          <w:trHeight w:val="52"/>
        </w:trPr>
        <w:tc>
          <w:tcPr>
            <w:tcW w:w="21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c>
          <w:tcPr>
            <w:tcW w:w="3060" w:type="dxa"/>
            <w:vAlign w:val="bottom"/>
            <w:tcBorders>
              <w:bottom w:val="single" w:sz="8" w:color="auto"/>
            </w:tcBorders>
          </w:tcPr>
          <w:p>
            <w:pPr>
              <w:spacing w:after="0"/>
              <w:rPr>
                <w:sz w:val="4"/>
                <w:szCs w:val="4"/>
                <w:color w:val="auto"/>
              </w:rPr>
            </w:pPr>
          </w:p>
        </w:tc>
        <w:tc>
          <w:tcPr>
            <w:tcW w:w="3600" w:type="dxa"/>
            <w:vAlign w:val="bottom"/>
            <w:tcBorders>
              <w:bottom w:val="single" w:sz="8" w:color="auto"/>
            </w:tcBorders>
          </w:tcPr>
          <w:p>
            <w:pPr>
              <w:spacing w:after="0"/>
              <w:rPr>
                <w:sz w:val="4"/>
                <w:szCs w:val="4"/>
                <w:color w:val="auto"/>
              </w:rPr>
            </w:pPr>
          </w:p>
        </w:tc>
      </w:tr>
      <w:tr>
        <w:trPr>
          <w:trHeight w:val="225"/>
        </w:trPr>
        <w:tc>
          <w:tcPr>
            <w:tcW w:w="2180" w:type="dxa"/>
            <w:vAlign w:val="bottom"/>
          </w:tcPr>
          <w:p>
            <w:pPr>
              <w:ind w:left="20"/>
              <w:spacing w:after="0"/>
              <w:rPr>
                <w:sz w:val="20"/>
                <w:szCs w:val="20"/>
                <w:color w:val="auto"/>
              </w:rPr>
            </w:pPr>
            <w:r>
              <w:rPr>
                <w:rFonts w:ascii="Arial" w:cs="Arial" w:eastAsia="Arial" w:hAnsi="Arial"/>
                <w:sz w:val="14"/>
                <w:szCs w:val="14"/>
                <w:b w:val="1"/>
                <w:bCs w:val="1"/>
                <w:color w:val="auto"/>
              </w:rPr>
              <w:t>Cloudflare</w:t>
            </w:r>
          </w:p>
        </w:tc>
        <w:tc>
          <w:tcPr>
            <w:tcW w:w="2400" w:type="dxa"/>
            <w:vAlign w:val="bottom"/>
          </w:tcPr>
          <w:p>
            <w:pPr>
              <w:ind w:left="660"/>
              <w:spacing w:after="0"/>
              <w:rPr>
                <w:sz w:val="20"/>
                <w:szCs w:val="20"/>
                <w:color w:val="auto"/>
              </w:rPr>
            </w:pPr>
            <w:r>
              <w:rPr>
                <w:rFonts w:ascii="Arial" w:cs="Arial" w:eastAsia="Arial" w:hAnsi="Arial"/>
                <w:sz w:val="14"/>
                <w:szCs w:val="14"/>
                <w:b w:val="1"/>
                <w:bCs w:val="1"/>
                <w:color w:val="auto"/>
              </w:rPr>
              <w:t>Elastic N.V.</w:t>
            </w:r>
          </w:p>
        </w:tc>
        <w:tc>
          <w:tcPr>
            <w:tcW w:w="3060" w:type="dxa"/>
            <w:vAlign w:val="bottom"/>
          </w:tcPr>
          <w:p>
            <w:pPr>
              <w:ind w:left="1060"/>
              <w:spacing w:after="0"/>
              <w:rPr>
                <w:sz w:val="20"/>
                <w:szCs w:val="20"/>
                <w:color w:val="auto"/>
              </w:rPr>
            </w:pPr>
            <w:r>
              <w:rPr>
                <w:rFonts w:ascii="Arial" w:cs="Arial" w:eastAsia="Arial" w:hAnsi="Arial"/>
                <w:sz w:val="14"/>
                <w:szCs w:val="14"/>
                <w:b w:val="1"/>
                <w:bCs w:val="1"/>
                <w:color w:val="auto"/>
              </w:rPr>
              <w:t>Paycom Software</w:t>
            </w:r>
          </w:p>
        </w:tc>
        <w:tc>
          <w:tcPr>
            <w:tcW w:w="3600" w:type="dxa"/>
            <w:vAlign w:val="bottom"/>
          </w:tcPr>
          <w:p>
            <w:pPr>
              <w:spacing w:after="0"/>
              <w:rPr>
                <w:sz w:val="19"/>
                <w:szCs w:val="19"/>
                <w:color w:val="auto"/>
              </w:rPr>
            </w:pPr>
          </w:p>
        </w:tc>
      </w:tr>
      <w:tr>
        <w:trPr>
          <w:trHeight w:val="53"/>
        </w:trPr>
        <w:tc>
          <w:tcPr>
            <w:tcW w:w="21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c>
          <w:tcPr>
            <w:tcW w:w="3060" w:type="dxa"/>
            <w:vAlign w:val="bottom"/>
            <w:tcBorders>
              <w:bottom w:val="single" w:sz="8" w:color="auto"/>
            </w:tcBorders>
          </w:tcPr>
          <w:p>
            <w:pPr>
              <w:spacing w:after="0"/>
              <w:rPr>
                <w:sz w:val="4"/>
                <w:szCs w:val="4"/>
                <w:color w:val="auto"/>
              </w:rPr>
            </w:pPr>
          </w:p>
        </w:tc>
        <w:tc>
          <w:tcPr>
            <w:tcW w:w="3600" w:type="dxa"/>
            <w:vAlign w:val="bottom"/>
            <w:tcBorders>
              <w:bottom w:val="single" w:sz="8" w:color="auto"/>
            </w:tcBorders>
          </w:tcPr>
          <w:p>
            <w:pPr>
              <w:spacing w:after="0"/>
              <w:rPr>
                <w:sz w:val="4"/>
                <w:szCs w:val="4"/>
                <w:color w:val="auto"/>
              </w:rPr>
            </w:pPr>
          </w:p>
        </w:tc>
      </w:tr>
      <w:tr>
        <w:trPr>
          <w:trHeight w:val="225"/>
        </w:trPr>
        <w:tc>
          <w:tcPr>
            <w:tcW w:w="2180" w:type="dxa"/>
            <w:vAlign w:val="bottom"/>
          </w:tcPr>
          <w:p>
            <w:pPr>
              <w:ind w:left="20"/>
              <w:spacing w:after="0"/>
              <w:rPr>
                <w:sz w:val="20"/>
                <w:szCs w:val="20"/>
                <w:color w:val="auto"/>
              </w:rPr>
            </w:pPr>
            <w:r>
              <w:rPr>
                <w:rFonts w:ascii="Arial" w:cs="Arial" w:eastAsia="Arial" w:hAnsi="Arial"/>
                <w:sz w:val="14"/>
                <w:szCs w:val="14"/>
                <w:b w:val="1"/>
                <w:bCs w:val="1"/>
                <w:color w:val="auto"/>
              </w:rPr>
              <w:t>Coupa Software</w:t>
            </w:r>
          </w:p>
        </w:tc>
        <w:tc>
          <w:tcPr>
            <w:tcW w:w="2400" w:type="dxa"/>
            <w:vAlign w:val="bottom"/>
          </w:tcPr>
          <w:p>
            <w:pPr>
              <w:ind w:left="660"/>
              <w:spacing w:after="0"/>
              <w:rPr>
                <w:sz w:val="20"/>
                <w:szCs w:val="20"/>
                <w:color w:val="auto"/>
              </w:rPr>
            </w:pPr>
            <w:r>
              <w:rPr>
                <w:rFonts w:ascii="Arial" w:cs="Arial" w:eastAsia="Arial" w:hAnsi="Arial"/>
                <w:sz w:val="14"/>
                <w:szCs w:val="14"/>
                <w:b w:val="1"/>
                <w:bCs w:val="1"/>
                <w:color w:val="auto"/>
              </w:rPr>
              <w:t>Fastly</w:t>
            </w:r>
          </w:p>
        </w:tc>
        <w:tc>
          <w:tcPr>
            <w:tcW w:w="3060" w:type="dxa"/>
            <w:vAlign w:val="bottom"/>
          </w:tcPr>
          <w:p>
            <w:pPr>
              <w:ind w:left="1060"/>
              <w:spacing w:after="0"/>
              <w:rPr>
                <w:sz w:val="20"/>
                <w:szCs w:val="20"/>
                <w:color w:val="auto"/>
              </w:rPr>
            </w:pPr>
            <w:r>
              <w:rPr>
                <w:rFonts w:ascii="Arial" w:cs="Arial" w:eastAsia="Arial" w:hAnsi="Arial"/>
                <w:sz w:val="14"/>
                <w:szCs w:val="14"/>
                <w:b w:val="1"/>
                <w:bCs w:val="1"/>
                <w:color w:val="auto"/>
              </w:rPr>
              <w:t>Paylocity Holding</w:t>
            </w:r>
          </w:p>
        </w:tc>
        <w:tc>
          <w:tcPr>
            <w:tcW w:w="3600" w:type="dxa"/>
            <w:vAlign w:val="bottom"/>
          </w:tcPr>
          <w:p>
            <w:pPr>
              <w:spacing w:after="0"/>
              <w:rPr>
                <w:sz w:val="19"/>
                <w:szCs w:val="19"/>
                <w:color w:val="auto"/>
              </w:rPr>
            </w:pPr>
          </w:p>
        </w:tc>
      </w:tr>
      <w:tr>
        <w:trPr>
          <w:trHeight w:val="53"/>
        </w:trPr>
        <w:tc>
          <w:tcPr>
            <w:tcW w:w="21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c>
          <w:tcPr>
            <w:tcW w:w="3060" w:type="dxa"/>
            <w:vAlign w:val="bottom"/>
            <w:tcBorders>
              <w:bottom w:val="single" w:sz="8" w:color="auto"/>
            </w:tcBorders>
          </w:tcPr>
          <w:p>
            <w:pPr>
              <w:spacing w:after="0"/>
              <w:rPr>
                <w:sz w:val="4"/>
                <w:szCs w:val="4"/>
                <w:color w:val="auto"/>
              </w:rPr>
            </w:pPr>
          </w:p>
        </w:tc>
        <w:tc>
          <w:tcPr>
            <w:tcW w:w="3600" w:type="dxa"/>
            <w:vAlign w:val="bottom"/>
            <w:tcBorders>
              <w:bottom w:val="single" w:sz="8" w:color="auto"/>
            </w:tcBorders>
          </w:tcPr>
          <w:p>
            <w:pPr>
              <w:spacing w:after="0"/>
              <w:rPr>
                <w:sz w:val="4"/>
                <w:szCs w:val="4"/>
                <w:color w:val="auto"/>
              </w:rPr>
            </w:pPr>
          </w:p>
        </w:tc>
      </w:tr>
      <w:tr>
        <w:trPr>
          <w:trHeight w:val="225"/>
        </w:trPr>
        <w:tc>
          <w:tcPr>
            <w:tcW w:w="2180" w:type="dxa"/>
            <w:vAlign w:val="bottom"/>
          </w:tcPr>
          <w:p>
            <w:pPr>
              <w:ind w:left="20"/>
              <w:spacing w:after="0"/>
              <w:rPr>
                <w:sz w:val="20"/>
                <w:szCs w:val="20"/>
                <w:color w:val="auto"/>
              </w:rPr>
            </w:pPr>
            <w:r>
              <w:rPr>
                <w:rFonts w:ascii="Arial" w:cs="Arial" w:eastAsia="Arial" w:hAnsi="Arial"/>
                <w:sz w:val="14"/>
                <w:szCs w:val="14"/>
                <w:b w:val="1"/>
                <w:bCs w:val="1"/>
                <w:color w:val="auto"/>
              </w:rPr>
              <w:t>CrowdStrike Holdings</w:t>
            </w:r>
          </w:p>
        </w:tc>
        <w:tc>
          <w:tcPr>
            <w:tcW w:w="2400" w:type="dxa"/>
            <w:vAlign w:val="bottom"/>
          </w:tcPr>
          <w:p>
            <w:pPr>
              <w:ind w:left="660"/>
              <w:spacing w:after="0"/>
              <w:rPr>
                <w:sz w:val="20"/>
                <w:szCs w:val="20"/>
                <w:color w:val="auto"/>
              </w:rPr>
            </w:pPr>
            <w:r>
              <w:rPr>
                <w:rFonts w:ascii="Arial" w:cs="Arial" w:eastAsia="Arial" w:hAnsi="Arial"/>
                <w:sz w:val="14"/>
                <w:szCs w:val="14"/>
                <w:b w:val="1"/>
                <w:bCs w:val="1"/>
                <w:color w:val="auto"/>
              </w:rPr>
              <w:t>Five9</w:t>
            </w:r>
          </w:p>
        </w:tc>
        <w:tc>
          <w:tcPr>
            <w:tcW w:w="3060" w:type="dxa"/>
            <w:vAlign w:val="bottom"/>
          </w:tcPr>
          <w:p>
            <w:pPr>
              <w:ind w:left="1060"/>
              <w:spacing w:after="0"/>
              <w:rPr>
                <w:sz w:val="20"/>
                <w:szCs w:val="20"/>
                <w:color w:val="auto"/>
              </w:rPr>
            </w:pPr>
            <w:r>
              <w:rPr>
                <w:rFonts w:ascii="Arial" w:cs="Arial" w:eastAsia="Arial" w:hAnsi="Arial"/>
                <w:sz w:val="14"/>
                <w:szCs w:val="14"/>
                <w:b w:val="1"/>
                <w:bCs w:val="1"/>
                <w:color w:val="auto"/>
              </w:rPr>
              <w:t>RingCentral</w:t>
            </w:r>
          </w:p>
        </w:tc>
        <w:tc>
          <w:tcPr>
            <w:tcW w:w="3600" w:type="dxa"/>
            <w:vAlign w:val="bottom"/>
          </w:tcPr>
          <w:p>
            <w:pPr>
              <w:spacing w:after="0"/>
              <w:rPr>
                <w:sz w:val="19"/>
                <w:szCs w:val="19"/>
                <w:color w:val="auto"/>
              </w:rPr>
            </w:pPr>
          </w:p>
        </w:tc>
      </w:tr>
      <w:tr>
        <w:trPr>
          <w:trHeight w:val="52"/>
        </w:trPr>
        <w:tc>
          <w:tcPr>
            <w:tcW w:w="218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c>
          <w:tcPr>
            <w:tcW w:w="3060" w:type="dxa"/>
            <w:vAlign w:val="bottom"/>
            <w:tcBorders>
              <w:bottom w:val="single" w:sz="8" w:color="auto"/>
            </w:tcBorders>
          </w:tcPr>
          <w:p>
            <w:pPr>
              <w:spacing w:after="0"/>
              <w:rPr>
                <w:sz w:val="4"/>
                <w:szCs w:val="4"/>
                <w:color w:val="auto"/>
              </w:rPr>
            </w:pPr>
          </w:p>
        </w:tc>
        <w:tc>
          <w:tcPr>
            <w:tcW w:w="3600" w:type="dxa"/>
            <w:vAlign w:val="bottom"/>
            <w:tcBorders>
              <w:bottom w:val="single" w:sz="8" w:color="auto"/>
            </w:tcBorders>
          </w:tcPr>
          <w:p>
            <w:pPr>
              <w:spacing w:after="0"/>
              <w:rPr>
                <w:sz w:val="4"/>
                <w:szCs w:val="4"/>
                <w:color w:val="auto"/>
              </w:rPr>
            </w:pPr>
          </w:p>
        </w:tc>
      </w:tr>
      <w:tr>
        <w:trPr>
          <w:trHeight w:val="670"/>
        </w:trPr>
        <w:tc>
          <w:tcPr>
            <w:tcW w:w="21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3060" w:type="dxa"/>
            <w:vAlign w:val="bottom"/>
          </w:tcPr>
          <w:p>
            <w:pPr>
              <w:ind w:left="960"/>
              <w:spacing w:after="0"/>
              <w:rPr>
                <w:sz w:val="20"/>
                <w:szCs w:val="20"/>
                <w:color w:val="auto"/>
              </w:rPr>
            </w:pPr>
            <w:r>
              <w:rPr>
                <w:rFonts w:ascii="Arial" w:cs="Arial" w:eastAsia="Arial" w:hAnsi="Arial"/>
                <w:sz w:val="14"/>
                <w:szCs w:val="14"/>
                <w:color w:val="auto"/>
              </w:rPr>
              <w:t>44</w:t>
            </w:r>
          </w:p>
        </w:tc>
        <w:tc>
          <w:tcPr>
            <w:tcW w:w="3600" w:type="dxa"/>
            <w:vAlign w:val="bottom"/>
          </w:tcPr>
          <w:p>
            <w:pPr>
              <w:ind w:left="2160"/>
              <w:spacing w:after="0"/>
              <w:rPr>
                <w:sz w:val="20"/>
                <w:szCs w:val="20"/>
                <w:color w:val="auto"/>
              </w:rPr>
            </w:pPr>
            <w:r>
              <w:rPr>
                <w:rFonts w:ascii="Arial" w:cs="Arial" w:eastAsia="Arial" w:hAnsi="Arial"/>
                <w:sz w:val="14"/>
                <w:szCs w:val="14"/>
                <w:color w:val="auto"/>
              </w:rPr>
              <w:t>2021 Proxy Statement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-189230</wp:posOffset>
            </wp:positionV>
            <wp:extent cx="342900" cy="21463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42900" cy="214630"/>
                    </a:xfrm>
                    <a:prstGeom prst="rect">
                      <a:avLst/>
                    </a:prstGeom>
                    <a:noFill/>
                  </pic:spPr>
                </pic:pic>
              </a:graphicData>
            </a:graphic>
          </wp:anchor>
        </w:drawing>
      </w:r>
    </w:p>
    <w:p>
      <w:pPr>
        <w:sectPr>
          <w:pgSz w:w="11900" w:h="16838" w:orient="portrait"/>
          <w:cols w:equalWidth="0" w:num="1">
            <w:col w:w="11240"/>
          </w:cols>
          <w:pgMar w:left="320" w:top="172" w:right="339" w:bottom="1440" w:gutter="0" w:footer="0" w:header="0"/>
        </w:sectPr>
      </w:pPr>
    </w:p>
    <w:bookmarkStart w:id="48" w:name="page49"/>
    <w:bookmarkEnd w:id="48"/>
    <w:p>
      <w:pPr>
        <w:ind w:left="280"/>
        <w:spacing w:after="0"/>
        <w:rPr>
          <w:sz w:val="20"/>
          <w:szCs w:val="20"/>
          <w:color w:val="auto"/>
        </w:rPr>
      </w:pPr>
      <w:r>
        <w:rPr>
          <w:rFonts w:ascii="Arial" w:cs="Arial" w:eastAsia="Arial" w:hAnsi="Arial"/>
          <w:sz w:val="13"/>
          <w:szCs w:val="13"/>
          <w:b w:val="1"/>
          <w:bCs w:val="1"/>
          <w:color w:val="929292"/>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7470" cy="596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7470" cy="59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360"/>
        <w:spacing w:after="0" w:line="348" w:lineRule="auto"/>
        <w:rPr>
          <w:sz w:val="20"/>
          <w:szCs w:val="20"/>
          <w:color w:val="auto"/>
        </w:rPr>
      </w:pPr>
      <w:r>
        <w:rPr>
          <w:rFonts w:ascii="Arial" w:cs="Arial" w:eastAsia="Arial" w:hAnsi="Arial"/>
          <w:sz w:val="16"/>
          <w:szCs w:val="16"/>
          <w:color w:val="auto"/>
        </w:rPr>
        <w:t>The compensation committee reviews our compensation peer group at least annually and makes adjustments to its composition if warranted, taking into account changes in both our business and the businesses of the companies in the peer group.</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color w:val="2B338D"/>
        </w:rPr>
        <w:t>COMPENSATION ELEMENTS</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In fiscal 2021, the principal elements of our executive compensation program, and the purposes for each element,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147955</wp:posOffset>
            </wp:positionV>
            <wp:extent cx="8255" cy="21463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8255" cy="214630"/>
                    </a:xfrm>
                    <a:prstGeom prst="rect">
                      <a:avLst/>
                    </a:prstGeom>
                    <a:noFill/>
                  </pic:spPr>
                </pic:pic>
              </a:graphicData>
            </a:graphic>
          </wp:anchor>
        </w:drawing>
        <w:drawing>
          <wp:anchor simplePos="0" relativeHeight="251657728" behindDoc="1" locked="0" layoutInCell="0" allowOverlap="1">
            <wp:simplePos x="0" y="0"/>
            <wp:positionH relativeFrom="column">
              <wp:posOffset>2327910</wp:posOffset>
            </wp:positionH>
            <wp:positionV relativeFrom="paragraph">
              <wp:posOffset>147955</wp:posOffset>
            </wp:positionV>
            <wp:extent cx="8890" cy="21463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8890" cy="214630"/>
                    </a:xfrm>
                    <a:prstGeom prst="rect">
                      <a:avLst/>
                    </a:prstGeom>
                    <a:noFill/>
                  </pic:spPr>
                </pic:pic>
              </a:graphicData>
            </a:graphic>
          </wp:anchor>
        </w:drawing>
        <w:drawing>
          <wp:anchor simplePos="0" relativeHeight="251657728" behindDoc="1" locked="0" layoutInCell="0" allowOverlap="1">
            <wp:simplePos x="0" y="0"/>
            <wp:positionH relativeFrom="column">
              <wp:posOffset>1230630</wp:posOffset>
            </wp:positionH>
            <wp:positionV relativeFrom="paragraph">
              <wp:posOffset>147955</wp:posOffset>
            </wp:positionV>
            <wp:extent cx="8890" cy="21463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8890" cy="214630"/>
                    </a:xfrm>
                    <a:prstGeom prst="rect">
                      <a:avLst/>
                    </a:prstGeom>
                    <a:noFill/>
                  </pic:spPr>
                </pic:pic>
              </a:graphicData>
            </a:graphic>
          </wp:anchor>
        </w:drawing>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1940" w:type="dxa"/>
            <w:vAlign w:val="bottom"/>
            <w:shd w:val="clear" w:color="auto" w:fill="000000"/>
          </w:tcPr>
          <w:p>
            <w:pPr>
              <w:ind w:left="100"/>
              <w:spacing w:after="0"/>
              <w:rPr>
                <w:sz w:val="20"/>
                <w:szCs w:val="20"/>
                <w:color w:val="auto"/>
              </w:rPr>
            </w:pPr>
            <w:r>
              <w:rPr>
                <w:rFonts w:ascii="Arial" w:cs="Arial" w:eastAsia="Arial" w:hAnsi="Arial"/>
                <w:sz w:val="16"/>
                <w:szCs w:val="16"/>
                <w:b w:val="1"/>
                <w:bCs w:val="1"/>
                <w:color w:val="FFFFFF"/>
              </w:rPr>
              <w:t>Element</w:t>
            </w:r>
          </w:p>
        </w:tc>
        <w:tc>
          <w:tcPr>
            <w:tcW w:w="1720" w:type="dxa"/>
            <w:vAlign w:val="bottom"/>
            <w:shd w:val="clear" w:color="auto" w:fill="2B338D"/>
          </w:tcPr>
          <w:p>
            <w:pPr>
              <w:jc w:val="center"/>
              <w:spacing w:after="0"/>
              <w:rPr>
                <w:sz w:val="20"/>
                <w:szCs w:val="20"/>
                <w:color w:val="auto"/>
              </w:rPr>
            </w:pPr>
            <w:r>
              <w:rPr>
                <w:rFonts w:ascii="Arial" w:cs="Arial" w:eastAsia="Arial" w:hAnsi="Arial"/>
                <w:sz w:val="16"/>
                <w:szCs w:val="16"/>
                <w:b w:val="1"/>
                <w:bCs w:val="1"/>
                <w:color w:val="FFFFFF"/>
              </w:rPr>
              <w:t>Type of Element</w:t>
            </w:r>
          </w:p>
        </w:tc>
        <w:tc>
          <w:tcPr>
            <w:tcW w:w="3040" w:type="dxa"/>
            <w:vAlign w:val="bottom"/>
            <w:shd w:val="clear" w:color="auto" w:fill="009ADA"/>
          </w:tcPr>
          <w:p>
            <w:pPr>
              <w:jc w:val="center"/>
              <w:spacing w:after="0"/>
              <w:rPr>
                <w:sz w:val="20"/>
                <w:szCs w:val="20"/>
                <w:color w:val="auto"/>
              </w:rPr>
            </w:pPr>
            <w:r>
              <w:rPr>
                <w:rFonts w:ascii="Arial" w:cs="Arial" w:eastAsia="Arial" w:hAnsi="Arial"/>
                <w:sz w:val="16"/>
                <w:szCs w:val="16"/>
                <w:b w:val="1"/>
                <w:bCs w:val="1"/>
                <w:color w:val="FFFFFF"/>
              </w:rPr>
              <w:t>Compensation Element</w:t>
            </w:r>
          </w:p>
        </w:tc>
        <w:tc>
          <w:tcPr>
            <w:tcW w:w="4540" w:type="dxa"/>
            <w:vAlign w:val="bottom"/>
            <w:shd w:val="clear" w:color="auto" w:fill="929292"/>
          </w:tcPr>
          <w:p>
            <w:pPr>
              <w:ind w:left="100"/>
              <w:spacing w:after="0"/>
              <w:rPr>
                <w:sz w:val="20"/>
                <w:szCs w:val="20"/>
                <w:color w:val="auto"/>
              </w:rPr>
            </w:pPr>
            <w:r>
              <w:rPr>
                <w:rFonts w:ascii="Arial" w:cs="Arial" w:eastAsia="Arial" w:hAnsi="Arial"/>
                <w:sz w:val="16"/>
                <w:szCs w:val="16"/>
                <w:b w:val="1"/>
                <w:bCs w:val="1"/>
                <w:color w:val="FFFFFF"/>
              </w:rPr>
              <w:t>Objective</w:t>
            </w:r>
          </w:p>
        </w:tc>
        <w:tc>
          <w:tcPr>
            <w:tcW w:w="0" w:type="dxa"/>
            <w:vAlign w:val="bottom"/>
          </w:tcPr>
          <w:p>
            <w:pPr>
              <w:spacing w:after="0"/>
              <w:rPr>
                <w:sz w:val="1"/>
                <w:szCs w:val="1"/>
                <w:color w:val="auto"/>
              </w:rPr>
            </w:pPr>
          </w:p>
        </w:tc>
      </w:tr>
      <w:tr>
        <w:trPr>
          <w:trHeight w:val="103"/>
        </w:trPr>
        <w:tc>
          <w:tcPr>
            <w:tcW w:w="1940" w:type="dxa"/>
            <w:vAlign w:val="bottom"/>
            <w:shd w:val="clear" w:color="auto" w:fill="000000"/>
          </w:tcPr>
          <w:p>
            <w:pPr>
              <w:spacing w:after="0"/>
              <w:rPr>
                <w:sz w:val="8"/>
                <w:szCs w:val="8"/>
                <w:color w:val="auto"/>
              </w:rPr>
            </w:pPr>
          </w:p>
        </w:tc>
        <w:tc>
          <w:tcPr>
            <w:tcW w:w="1720" w:type="dxa"/>
            <w:vAlign w:val="bottom"/>
            <w:shd w:val="clear" w:color="auto" w:fill="2B338D"/>
          </w:tcPr>
          <w:p>
            <w:pPr>
              <w:spacing w:after="0"/>
              <w:rPr>
                <w:sz w:val="8"/>
                <w:szCs w:val="8"/>
                <w:color w:val="auto"/>
              </w:rPr>
            </w:pPr>
          </w:p>
        </w:tc>
        <w:tc>
          <w:tcPr>
            <w:tcW w:w="3040" w:type="dxa"/>
            <w:vAlign w:val="bottom"/>
            <w:shd w:val="clear" w:color="auto" w:fill="009ADA"/>
          </w:tcPr>
          <w:p>
            <w:pPr>
              <w:spacing w:after="0"/>
              <w:rPr>
                <w:sz w:val="8"/>
                <w:szCs w:val="8"/>
                <w:color w:val="auto"/>
              </w:rPr>
            </w:pPr>
          </w:p>
        </w:tc>
        <w:tc>
          <w:tcPr>
            <w:tcW w:w="4540" w:type="dxa"/>
            <w:vAlign w:val="bottom"/>
            <w:shd w:val="clear" w:color="auto" w:fill="929292"/>
          </w:tcPr>
          <w:p>
            <w:pPr>
              <w:spacing w:after="0"/>
              <w:rPr>
                <w:sz w:val="8"/>
                <w:szCs w:val="8"/>
                <w:color w:val="auto"/>
              </w:rPr>
            </w:pPr>
          </w:p>
        </w:tc>
        <w:tc>
          <w:tcPr>
            <w:tcW w:w="0" w:type="dxa"/>
            <w:vAlign w:val="bottom"/>
          </w:tcPr>
          <w:p>
            <w:pPr>
              <w:spacing w:after="0"/>
              <w:rPr>
                <w:sz w:val="1"/>
                <w:szCs w:val="1"/>
                <w:color w:val="auto"/>
              </w:rPr>
            </w:pPr>
          </w:p>
        </w:tc>
      </w:tr>
      <w:tr>
        <w:trPr>
          <w:trHeight w:val="204"/>
        </w:trPr>
        <w:tc>
          <w:tcPr>
            <w:tcW w:w="194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Base Salary</w:t>
            </w:r>
          </w:p>
        </w:tc>
        <w:tc>
          <w:tcPr>
            <w:tcW w:w="1720" w:type="dxa"/>
            <w:vAlign w:val="bottom"/>
            <w:vMerge w:val="restart"/>
          </w:tcPr>
          <w:p>
            <w:pPr>
              <w:jc w:val="center"/>
              <w:spacing w:after="0"/>
              <w:rPr>
                <w:sz w:val="20"/>
                <w:szCs w:val="20"/>
                <w:color w:val="auto"/>
              </w:rPr>
            </w:pPr>
            <w:r>
              <w:rPr>
                <w:rFonts w:ascii="Arial" w:cs="Arial" w:eastAsia="Arial" w:hAnsi="Arial"/>
                <w:sz w:val="14"/>
                <w:szCs w:val="14"/>
                <w:color w:val="auto"/>
              </w:rPr>
              <w:t>Fixed</w:t>
            </w:r>
          </w:p>
        </w:tc>
        <w:tc>
          <w:tcPr>
            <w:tcW w:w="3040" w:type="dxa"/>
            <w:vAlign w:val="bottom"/>
            <w:vMerge w:val="restart"/>
          </w:tcPr>
          <w:p>
            <w:pPr>
              <w:jc w:val="center"/>
              <w:spacing w:after="0"/>
              <w:rPr>
                <w:sz w:val="20"/>
                <w:szCs w:val="20"/>
                <w:color w:val="auto"/>
              </w:rPr>
            </w:pPr>
            <w:r>
              <w:rPr>
                <w:rFonts w:ascii="Arial" w:cs="Arial" w:eastAsia="Arial" w:hAnsi="Arial"/>
                <w:sz w:val="14"/>
                <w:szCs w:val="14"/>
                <w:color w:val="auto"/>
                <w:w w:val="97"/>
              </w:rPr>
              <w:t>Cash</w:t>
            </w:r>
          </w:p>
        </w:tc>
        <w:tc>
          <w:tcPr>
            <w:tcW w:w="4540" w:type="dxa"/>
            <w:vAlign w:val="bottom"/>
          </w:tcPr>
          <w:p>
            <w:pPr>
              <w:ind w:left="80"/>
              <w:spacing w:after="0"/>
              <w:rPr>
                <w:sz w:val="20"/>
                <w:szCs w:val="20"/>
                <w:color w:val="auto"/>
              </w:rPr>
            </w:pPr>
            <w:r>
              <w:rPr>
                <w:rFonts w:ascii="Arial" w:cs="Arial" w:eastAsia="Arial" w:hAnsi="Arial"/>
                <w:sz w:val="14"/>
                <w:szCs w:val="14"/>
                <w:color w:val="auto"/>
              </w:rPr>
              <w:t>Designed to attract and retain highly talented executives by providing</w:t>
            </w:r>
          </w:p>
        </w:tc>
        <w:tc>
          <w:tcPr>
            <w:tcW w:w="0" w:type="dxa"/>
            <w:vAlign w:val="bottom"/>
          </w:tcPr>
          <w:p>
            <w:pPr>
              <w:spacing w:after="0"/>
              <w:rPr>
                <w:sz w:val="1"/>
                <w:szCs w:val="1"/>
                <w:color w:val="auto"/>
              </w:rPr>
            </w:pPr>
          </w:p>
        </w:tc>
      </w:tr>
      <w:tr>
        <w:trPr>
          <w:trHeight w:val="81"/>
        </w:trPr>
        <w:tc>
          <w:tcPr>
            <w:tcW w:w="1940" w:type="dxa"/>
            <w:vAlign w:val="bottom"/>
            <w:vMerge w:val="continue"/>
          </w:tcPr>
          <w:p>
            <w:pPr>
              <w:spacing w:after="0"/>
              <w:rPr>
                <w:sz w:val="7"/>
                <w:szCs w:val="7"/>
                <w:color w:val="auto"/>
              </w:rPr>
            </w:pPr>
          </w:p>
        </w:tc>
        <w:tc>
          <w:tcPr>
            <w:tcW w:w="1720" w:type="dxa"/>
            <w:vAlign w:val="bottom"/>
            <w:vMerge w:val="continue"/>
          </w:tcPr>
          <w:p>
            <w:pPr>
              <w:spacing w:after="0"/>
              <w:rPr>
                <w:sz w:val="7"/>
                <w:szCs w:val="7"/>
                <w:color w:val="auto"/>
              </w:rPr>
            </w:pPr>
          </w:p>
        </w:tc>
        <w:tc>
          <w:tcPr>
            <w:tcW w:w="3040" w:type="dxa"/>
            <w:vAlign w:val="bottom"/>
            <w:vMerge w:val="continue"/>
          </w:tcPr>
          <w:p>
            <w:pPr>
              <w:spacing w:after="0"/>
              <w:rPr>
                <w:sz w:val="7"/>
                <w:szCs w:val="7"/>
                <w:color w:val="auto"/>
              </w:rPr>
            </w:pPr>
          </w:p>
        </w:tc>
        <w:tc>
          <w:tcPr>
            <w:tcW w:w="4540" w:type="dxa"/>
            <w:vAlign w:val="bottom"/>
            <w:vMerge w:val="restart"/>
          </w:tcPr>
          <w:p>
            <w:pPr>
              <w:ind w:left="80"/>
              <w:spacing w:after="0"/>
              <w:rPr>
                <w:sz w:val="20"/>
                <w:szCs w:val="20"/>
                <w:color w:val="auto"/>
              </w:rPr>
            </w:pPr>
            <w:r>
              <w:rPr>
                <w:rFonts w:ascii="Arial" w:cs="Arial" w:eastAsia="Arial" w:hAnsi="Arial"/>
                <w:sz w:val="14"/>
                <w:szCs w:val="14"/>
                <w:color w:val="auto"/>
              </w:rPr>
              <w:t>fixed compensation amounts that are competitive in the market</w:t>
            </w:r>
          </w:p>
        </w:tc>
        <w:tc>
          <w:tcPr>
            <w:tcW w:w="0" w:type="dxa"/>
            <w:vAlign w:val="bottom"/>
          </w:tcPr>
          <w:p>
            <w:pPr>
              <w:spacing w:after="0"/>
              <w:rPr>
                <w:sz w:val="1"/>
                <w:szCs w:val="1"/>
                <w:color w:val="auto"/>
              </w:rPr>
            </w:pPr>
          </w:p>
        </w:tc>
      </w:tr>
      <w:tr>
        <w:trPr>
          <w:trHeight w:val="95"/>
        </w:trPr>
        <w:tc>
          <w:tcPr>
            <w:tcW w:w="1940" w:type="dxa"/>
            <w:vAlign w:val="bottom"/>
          </w:tcPr>
          <w:p>
            <w:pPr>
              <w:spacing w:after="0"/>
              <w:rPr>
                <w:sz w:val="8"/>
                <w:szCs w:val="8"/>
                <w:color w:val="auto"/>
              </w:rPr>
            </w:pPr>
          </w:p>
        </w:tc>
        <w:tc>
          <w:tcPr>
            <w:tcW w:w="1720" w:type="dxa"/>
            <w:vAlign w:val="bottom"/>
          </w:tcPr>
          <w:p>
            <w:pPr>
              <w:spacing w:after="0"/>
              <w:rPr>
                <w:sz w:val="8"/>
                <w:szCs w:val="8"/>
                <w:color w:val="auto"/>
              </w:rPr>
            </w:pPr>
          </w:p>
        </w:tc>
        <w:tc>
          <w:tcPr>
            <w:tcW w:w="3040" w:type="dxa"/>
            <w:vAlign w:val="bottom"/>
          </w:tcPr>
          <w:p>
            <w:pPr>
              <w:spacing w:after="0"/>
              <w:rPr>
                <w:sz w:val="8"/>
                <w:szCs w:val="8"/>
                <w:color w:val="auto"/>
              </w:rPr>
            </w:pPr>
          </w:p>
        </w:tc>
        <w:tc>
          <w:tcPr>
            <w:tcW w:w="45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6"/>
        </w:trPr>
        <w:tc>
          <w:tcPr>
            <w:tcW w:w="19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4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940" w:type="dxa"/>
            <w:vAlign w:val="bottom"/>
          </w:tcPr>
          <w:p>
            <w:pPr>
              <w:ind w:left="100"/>
              <w:spacing w:after="0"/>
              <w:rPr>
                <w:sz w:val="20"/>
                <w:szCs w:val="20"/>
                <w:color w:val="auto"/>
              </w:rPr>
            </w:pPr>
            <w:r>
              <w:rPr>
                <w:rFonts w:ascii="Arial" w:cs="Arial" w:eastAsia="Arial" w:hAnsi="Arial"/>
                <w:sz w:val="14"/>
                <w:szCs w:val="14"/>
                <w:b w:val="1"/>
                <w:bCs w:val="1"/>
                <w:color w:val="auto"/>
              </w:rPr>
              <w:t>Annual Cash</w:t>
            </w:r>
          </w:p>
        </w:tc>
        <w:tc>
          <w:tcPr>
            <w:tcW w:w="1720" w:type="dxa"/>
            <w:vAlign w:val="bottom"/>
            <w:vMerge w:val="restart"/>
          </w:tcPr>
          <w:p>
            <w:pPr>
              <w:jc w:val="center"/>
              <w:spacing w:after="0"/>
              <w:rPr>
                <w:sz w:val="20"/>
                <w:szCs w:val="20"/>
                <w:color w:val="auto"/>
              </w:rPr>
            </w:pPr>
            <w:r>
              <w:rPr>
                <w:rFonts w:ascii="Arial" w:cs="Arial" w:eastAsia="Arial" w:hAnsi="Arial"/>
                <w:sz w:val="14"/>
                <w:szCs w:val="14"/>
                <w:color w:val="auto"/>
              </w:rPr>
              <w:t>Variable</w:t>
            </w:r>
          </w:p>
        </w:tc>
        <w:tc>
          <w:tcPr>
            <w:tcW w:w="3040" w:type="dxa"/>
            <w:vAlign w:val="bottom"/>
            <w:vMerge w:val="restart"/>
          </w:tcPr>
          <w:p>
            <w:pPr>
              <w:jc w:val="center"/>
              <w:spacing w:after="0"/>
              <w:rPr>
                <w:sz w:val="20"/>
                <w:szCs w:val="20"/>
                <w:color w:val="auto"/>
              </w:rPr>
            </w:pPr>
            <w:r>
              <w:rPr>
                <w:rFonts w:ascii="Arial" w:cs="Arial" w:eastAsia="Arial" w:hAnsi="Arial"/>
                <w:sz w:val="14"/>
                <w:szCs w:val="14"/>
                <w:color w:val="auto"/>
                <w:w w:val="97"/>
              </w:rPr>
              <w:t>Cash</w:t>
            </w:r>
          </w:p>
        </w:tc>
        <w:tc>
          <w:tcPr>
            <w:tcW w:w="4540" w:type="dxa"/>
            <w:vAlign w:val="bottom"/>
          </w:tcPr>
          <w:p>
            <w:pPr>
              <w:ind w:left="80"/>
              <w:spacing w:after="0"/>
              <w:rPr>
                <w:sz w:val="20"/>
                <w:szCs w:val="20"/>
                <w:color w:val="auto"/>
              </w:rPr>
            </w:pPr>
            <w:r>
              <w:rPr>
                <w:rFonts w:ascii="Arial" w:cs="Arial" w:eastAsia="Arial" w:hAnsi="Arial"/>
                <w:sz w:val="14"/>
                <w:szCs w:val="14"/>
                <w:color w:val="auto"/>
              </w:rPr>
              <w:t>Designed to motivate our executives to achieve semi-annual (and, in</w:t>
            </w:r>
          </w:p>
        </w:tc>
        <w:tc>
          <w:tcPr>
            <w:tcW w:w="0" w:type="dxa"/>
            <w:vAlign w:val="bottom"/>
          </w:tcPr>
          <w:p>
            <w:pPr>
              <w:spacing w:after="0"/>
              <w:rPr>
                <w:sz w:val="1"/>
                <w:szCs w:val="1"/>
                <w:color w:val="auto"/>
              </w:rPr>
            </w:pPr>
          </w:p>
        </w:tc>
      </w:tr>
      <w:tr>
        <w:trPr>
          <w:trHeight w:val="167"/>
        </w:trPr>
        <w:tc>
          <w:tcPr>
            <w:tcW w:w="194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Bonuses</w:t>
            </w:r>
          </w:p>
        </w:tc>
        <w:tc>
          <w:tcPr>
            <w:tcW w:w="1720" w:type="dxa"/>
            <w:vAlign w:val="bottom"/>
            <w:vMerge w:val="continue"/>
          </w:tcPr>
          <w:p>
            <w:pPr>
              <w:spacing w:after="0"/>
              <w:rPr>
                <w:sz w:val="14"/>
                <w:szCs w:val="14"/>
                <w:color w:val="auto"/>
              </w:rPr>
            </w:pPr>
          </w:p>
        </w:tc>
        <w:tc>
          <w:tcPr>
            <w:tcW w:w="3040" w:type="dxa"/>
            <w:vAlign w:val="bottom"/>
            <w:vMerge w:val="continue"/>
          </w:tcPr>
          <w:p>
            <w:pPr>
              <w:spacing w:after="0"/>
              <w:rPr>
                <w:sz w:val="14"/>
                <w:szCs w:val="14"/>
                <w:color w:val="auto"/>
              </w:rPr>
            </w:pPr>
          </w:p>
        </w:tc>
        <w:tc>
          <w:tcPr>
            <w:tcW w:w="4540" w:type="dxa"/>
            <w:vAlign w:val="bottom"/>
          </w:tcPr>
          <w:p>
            <w:pPr>
              <w:ind w:left="80"/>
              <w:spacing w:after="0"/>
              <w:rPr>
                <w:sz w:val="20"/>
                <w:szCs w:val="20"/>
                <w:color w:val="auto"/>
              </w:rPr>
            </w:pPr>
            <w:r>
              <w:rPr>
                <w:rFonts w:ascii="Arial" w:cs="Arial" w:eastAsia="Arial" w:hAnsi="Arial"/>
                <w:sz w:val="14"/>
                <w:szCs w:val="14"/>
                <w:color w:val="auto"/>
              </w:rPr>
              <w:t>the case of Mr. Rajic, quarterly) financial objectives and provide</w:t>
            </w:r>
          </w:p>
        </w:tc>
        <w:tc>
          <w:tcPr>
            <w:tcW w:w="0" w:type="dxa"/>
            <w:vAlign w:val="bottom"/>
          </w:tcPr>
          <w:p>
            <w:pPr>
              <w:spacing w:after="0"/>
              <w:rPr>
                <w:sz w:val="1"/>
                <w:szCs w:val="1"/>
                <w:color w:val="auto"/>
              </w:rPr>
            </w:pPr>
          </w:p>
        </w:tc>
      </w:tr>
      <w:tr>
        <w:trPr>
          <w:trHeight w:val="105"/>
        </w:trPr>
        <w:tc>
          <w:tcPr>
            <w:tcW w:w="1940" w:type="dxa"/>
            <w:vAlign w:val="bottom"/>
            <w:vMerge w:val="continue"/>
          </w:tcPr>
          <w:p>
            <w:pPr>
              <w:spacing w:after="0"/>
              <w:rPr>
                <w:sz w:val="9"/>
                <w:szCs w:val="9"/>
                <w:color w:val="auto"/>
              </w:rPr>
            </w:pPr>
          </w:p>
        </w:tc>
        <w:tc>
          <w:tcPr>
            <w:tcW w:w="1720" w:type="dxa"/>
            <w:vAlign w:val="bottom"/>
          </w:tcPr>
          <w:p>
            <w:pPr>
              <w:spacing w:after="0"/>
              <w:rPr>
                <w:sz w:val="9"/>
                <w:szCs w:val="9"/>
                <w:color w:val="auto"/>
              </w:rPr>
            </w:pPr>
          </w:p>
        </w:tc>
        <w:tc>
          <w:tcPr>
            <w:tcW w:w="3040" w:type="dxa"/>
            <w:vAlign w:val="bottom"/>
          </w:tcPr>
          <w:p>
            <w:pPr>
              <w:spacing w:after="0"/>
              <w:rPr>
                <w:sz w:val="9"/>
                <w:szCs w:val="9"/>
                <w:color w:val="auto"/>
              </w:rPr>
            </w:pPr>
          </w:p>
        </w:tc>
        <w:tc>
          <w:tcPr>
            <w:tcW w:w="4540" w:type="dxa"/>
            <w:vAlign w:val="bottom"/>
            <w:vMerge w:val="restart"/>
          </w:tcPr>
          <w:p>
            <w:pPr>
              <w:ind w:left="80"/>
              <w:spacing w:after="0"/>
              <w:rPr>
                <w:sz w:val="20"/>
                <w:szCs w:val="20"/>
                <w:color w:val="auto"/>
              </w:rPr>
            </w:pPr>
            <w:r>
              <w:rPr>
                <w:rFonts w:ascii="Arial" w:cs="Arial" w:eastAsia="Arial" w:hAnsi="Arial"/>
                <w:sz w:val="14"/>
                <w:szCs w:val="14"/>
                <w:color w:val="auto"/>
              </w:rPr>
              <w:t>financial incentives</w:t>
            </w:r>
          </w:p>
        </w:tc>
        <w:tc>
          <w:tcPr>
            <w:tcW w:w="0" w:type="dxa"/>
            <w:vAlign w:val="bottom"/>
          </w:tcPr>
          <w:p>
            <w:pPr>
              <w:spacing w:after="0"/>
              <w:rPr>
                <w:sz w:val="1"/>
                <w:szCs w:val="1"/>
                <w:color w:val="auto"/>
              </w:rPr>
            </w:pPr>
          </w:p>
        </w:tc>
      </w:tr>
      <w:tr>
        <w:trPr>
          <w:trHeight w:val="68"/>
        </w:trPr>
        <w:tc>
          <w:tcPr>
            <w:tcW w:w="1940" w:type="dxa"/>
            <w:vAlign w:val="bottom"/>
          </w:tcPr>
          <w:p>
            <w:pPr>
              <w:spacing w:after="0"/>
              <w:rPr>
                <w:sz w:val="5"/>
                <w:szCs w:val="5"/>
                <w:color w:val="auto"/>
              </w:rPr>
            </w:pPr>
          </w:p>
        </w:tc>
        <w:tc>
          <w:tcPr>
            <w:tcW w:w="1720" w:type="dxa"/>
            <w:vAlign w:val="bottom"/>
          </w:tcPr>
          <w:p>
            <w:pPr>
              <w:spacing w:after="0"/>
              <w:rPr>
                <w:sz w:val="5"/>
                <w:szCs w:val="5"/>
                <w:color w:val="auto"/>
              </w:rPr>
            </w:pPr>
          </w:p>
        </w:tc>
        <w:tc>
          <w:tcPr>
            <w:tcW w:w="3040" w:type="dxa"/>
            <w:vAlign w:val="bottom"/>
          </w:tcPr>
          <w:p>
            <w:pPr>
              <w:spacing w:after="0"/>
              <w:rPr>
                <w:sz w:val="5"/>
                <w:szCs w:val="5"/>
                <w:color w:val="auto"/>
              </w:rPr>
            </w:pPr>
          </w:p>
        </w:tc>
        <w:tc>
          <w:tcPr>
            <w:tcW w:w="45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6"/>
        </w:trPr>
        <w:tc>
          <w:tcPr>
            <w:tcW w:w="19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4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1940" w:type="dxa"/>
            <w:vAlign w:val="bottom"/>
          </w:tcPr>
          <w:p>
            <w:pPr>
              <w:ind w:left="100"/>
              <w:spacing w:after="0"/>
              <w:rPr>
                <w:sz w:val="20"/>
                <w:szCs w:val="20"/>
                <w:color w:val="auto"/>
              </w:rPr>
            </w:pPr>
            <w:r>
              <w:rPr>
                <w:rFonts w:ascii="Arial" w:cs="Arial" w:eastAsia="Arial" w:hAnsi="Arial"/>
                <w:sz w:val="14"/>
                <w:szCs w:val="14"/>
                <w:b w:val="1"/>
                <w:bCs w:val="1"/>
                <w:color w:val="auto"/>
              </w:rPr>
              <w:t>Long Term Incentive</w:t>
            </w:r>
          </w:p>
        </w:tc>
        <w:tc>
          <w:tcPr>
            <w:tcW w:w="1720" w:type="dxa"/>
            <w:vAlign w:val="bottom"/>
            <w:vMerge w:val="restart"/>
          </w:tcPr>
          <w:p>
            <w:pPr>
              <w:jc w:val="center"/>
              <w:spacing w:after="0"/>
              <w:rPr>
                <w:sz w:val="20"/>
                <w:szCs w:val="20"/>
                <w:color w:val="auto"/>
              </w:rPr>
            </w:pPr>
            <w:r>
              <w:rPr>
                <w:rFonts w:ascii="Arial" w:cs="Arial" w:eastAsia="Arial" w:hAnsi="Arial"/>
                <w:sz w:val="14"/>
                <w:szCs w:val="14"/>
                <w:color w:val="auto"/>
              </w:rPr>
              <w:t>Variable</w:t>
            </w:r>
          </w:p>
        </w:tc>
        <w:tc>
          <w:tcPr>
            <w:tcW w:w="3040" w:type="dxa"/>
            <w:vAlign w:val="bottom"/>
          </w:tcPr>
          <w:p>
            <w:pPr>
              <w:jc w:val="center"/>
              <w:spacing w:after="0"/>
              <w:rPr>
                <w:sz w:val="20"/>
                <w:szCs w:val="20"/>
                <w:color w:val="auto"/>
              </w:rPr>
            </w:pPr>
            <w:r>
              <w:rPr>
                <w:rFonts w:ascii="Arial" w:cs="Arial" w:eastAsia="Arial" w:hAnsi="Arial"/>
                <w:sz w:val="14"/>
                <w:szCs w:val="14"/>
                <w:color w:val="auto"/>
              </w:rPr>
              <w:t>Equity awards in the form of PSU awards and</w:t>
            </w:r>
          </w:p>
        </w:tc>
        <w:tc>
          <w:tcPr>
            <w:tcW w:w="4540" w:type="dxa"/>
            <w:vAlign w:val="bottom"/>
          </w:tcPr>
          <w:p>
            <w:pPr>
              <w:ind w:left="80"/>
              <w:spacing w:after="0"/>
              <w:rPr>
                <w:sz w:val="20"/>
                <w:szCs w:val="20"/>
                <w:color w:val="auto"/>
              </w:rPr>
            </w:pPr>
            <w:r>
              <w:rPr>
                <w:rFonts w:ascii="Arial" w:cs="Arial" w:eastAsia="Arial" w:hAnsi="Arial"/>
                <w:sz w:val="14"/>
                <w:szCs w:val="14"/>
                <w:color w:val="auto"/>
              </w:rPr>
              <w:t>Designed to align the interests of our executives and our</w:t>
            </w:r>
          </w:p>
        </w:tc>
        <w:tc>
          <w:tcPr>
            <w:tcW w:w="0" w:type="dxa"/>
            <w:vAlign w:val="bottom"/>
          </w:tcPr>
          <w:p>
            <w:pPr>
              <w:spacing w:after="0"/>
              <w:rPr>
                <w:sz w:val="1"/>
                <w:szCs w:val="1"/>
                <w:color w:val="auto"/>
              </w:rPr>
            </w:pPr>
          </w:p>
        </w:tc>
      </w:tr>
      <w:tr>
        <w:trPr>
          <w:trHeight w:val="167"/>
        </w:trPr>
        <w:tc>
          <w:tcPr>
            <w:tcW w:w="194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Compensation</w:t>
            </w:r>
          </w:p>
        </w:tc>
        <w:tc>
          <w:tcPr>
            <w:tcW w:w="1720" w:type="dxa"/>
            <w:vAlign w:val="bottom"/>
            <w:vMerge w:val="continue"/>
          </w:tcPr>
          <w:p>
            <w:pPr>
              <w:spacing w:after="0"/>
              <w:rPr>
                <w:sz w:val="14"/>
                <w:szCs w:val="14"/>
                <w:color w:val="auto"/>
              </w:rPr>
            </w:pPr>
          </w:p>
        </w:tc>
        <w:tc>
          <w:tcPr>
            <w:tcW w:w="3040" w:type="dxa"/>
            <w:vAlign w:val="bottom"/>
          </w:tcPr>
          <w:p>
            <w:pPr>
              <w:jc w:val="center"/>
              <w:spacing w:after="0"/>
              <w:rPr>
                <w:sz w:val="20"/>
                <w:szCs w:val="20"/>
                <w:color w:val="auto"/>
              </w:rPr>
            </w:pPr>
            <w:r>
              <w:rPr>
                <w:rFonts w:ascii="Arial" w:cs="Arial" w:eastAsia="Arial" w:hAnsi="Arial"/>
                <w:sz w:val="14"/>
                <w:szCs w:val="14"/>
                <w:color w:val="auto"/>
              </w:rPr>
              <w:t>RSU awards that may be settled for shares of</w:t>
            </w:r>
          </w:p>
        </w:tc>
        <w:tc>
          <w:tcPr>
            <w:tcW w:w="4540" w:type="dxa"/>
            <w:vAlign w:val="bottom"/>
          </w:tcPr>
          <w:p>
            <w:pPr>
              <w:ind w:left="80"/>
              <w:spacing w:after="0"/>
              <w:rPr>
                <w:sz w:val="20"/>
                <w:szCs w:val="20"/>
                <w:color w:val="auto"/>
              </w:rPr>
            </w:pPr>
            <w:r>
              <w:rPr>
                <w:rFonts w:ascii="Arial" w:cs="Arial" w:eastAsia="Arial" w:hAnsi="Arial"/>
                <w:sz w:val="14"/>
                <w:szCs w:val="14"/>
                <w:color w:val="auto"/>
              </w:rPr>
              <w:t>stockholders by motivating them to create sustainable long-term</w:t>
            </w:r>
          </w:p>
        </w:tc>
        <w:tc>
          <w:tcPr>
            <w:tcW w:w="0" w:type="dxa"/>
            <w:vAlign w:val="bottom"/>
          </w:tcPr>
          <w:p>
            <w:pPr>
              <w:spacing w:after="0"/>
              <w:rPr>
                <w:sz w:val="1"/>
                <w:szCs w:val="1"/>
                <w:color w:val="auto"/>
              </w:rPr>
            </w:pPr>
          </w:p>
        </w:tc>
      </w:tr>
      <w:tr>
        <w:trPr>
          <w:trHeight w:val="105"/>
        </w:trPr>
        <w:tc>
          <w:tcPr>
            <w:tcW w:w="1940" w:type="dxa"/>
            <w:vAlign w:val="bottom"/>
            <w:vMerge w:val="continue"/>
          </w:tcPr>
          <w:p>
            <w:pPr>
              <w:spacing w:after="0"/>
              <w:rPr>
                <w:sz w:val="9"/>
                <w:szCs w:val="9"/>
                <w:color w:val="auto"/>
              </w:rPr>
            </w:pPr>
          </w:p>
        </w:tc>
        <w:tc>
          <w:tcPr>
            <w:tcW w:w="1720" w:type="dxa"/>
            <w:vAlign w:val="bottom"/>
          </w:tcPr>
          <w:p>
            <w:pPr>
              <w:spacing w:after="0"/>
              <w:rPr>
                <w:sz w:val="9"/>
                <w:szCs w:val="9"/>
                <w:color w:val="auto"/>
              </w:rPr>
            </w:pPr>
          </w:p>
        </w:tc>
        <w:tc>
          <w:tcPr>
            <w:tcW w:w="3040" w:type="dxa"/>
            <w:vAlign w:val="bottom"/>
            <w:vMerge w:val="restart"/>
          </w:tcPr>
          <w:p>
            <w:pPr>
              <w:jc w:val="center"/>
              <w:spacing w:after="0"/>
              <w:rPr>
                <w:sz w:val="20"/>
                <w:szCs w:val="20"/>
                <w:color w:val="auto"/>
              </w:rPr>
            </w:pPr>
            <w:r>
              <w:rPr>
                <w:rFonts w:ascii="Arial" w:cs="Arial" w:eastAsia="Arial" w:hAnsi="Arial"/>
                <w:sz w:val="14"/>
                <w:szCs w:val="14"/>
                <w:color w:val="auto"/>
              </w:rPr>
              <w:t>our common stock</w:t>
            </w:r>
          </w:p>
        </w:tc>
        <w:tc>
          <w:tcPr>
            <w:tcW w:w="4540" w:type="dxa"/>
            <w:vAlign w:val="bottom"/>
            <w:vMerge w:val="restart"/>
          </w:tcPr>
          <w:p>
            <w:pPr>
              <w:ind w:left="80"/>
              <w:spacing w:after="0"/>
              <w:rPr>
                <w:sz w:val="20"/>
                <w:szCs w:val="20"/>
                <w:color w:val="auto"/>
              </w:rPr>
            </w:pPr>
            <w:r>
              <w:rPr>
                <w:rFonts w:ascii="Arial" w:cs="Arial" w:eastAsia="Arial" w:hAnsi="Arial"/>
                <w:sz w:val="14"/>
                <w:szCs w:val="14"/>
                <w:color w:val="auto"/>
              </w:rPr>
              <w:t>stockholder value</w:t>
            </w:r>
          </w:p>
        </w:tc>
        <w:tc>
          <w:tcPr>
            <w:tcW w:w="0" w:type="dxa"/>
            <w:vAlign w:val="bottom"/>
          </w:tcPr>
          <w:p>
            <w:pPr>
              <w:spacing w:after="0"/>
              <w:rPr>
                <w:sz w:val="1"/>
                <w:szCs w:val="1"/>
                <w:color w:val="auto"/>
              </w:rPr>
            </w:pPr>
          </w:p>
        </w:tc>
      </w:tr>
      <w:tr>
        <w:trPr>
          <w:trHeight w:val="68"/>
        </w:trPr>
        <w:tc>
          <w:tcPr>
            <w:tcW w:w="1940" w:type="dxa"/>
            <w:vAlign w:val="bottom"/>
          </w:tcPr>
          <w:p>
            <w:pPr>
              <w:spacing w:after="0"/>
              <w:rPr>
                <w:sz w:val="5"/>
                <w:szCs w:val="5"/>
                <w:color w:val="auto"/>
              </w:rPr>
            </w:pPr>
          </w:p>
        </w:tc>
        <w:tc>
          <w:tcPr>
            <w:tcW w:w="1720" w:type="dxa"/>
            <w:vAlign w:val="bottom"/>
          </w:tcPr>
          <w:p>
            <w:pPr>
              <w:spacing w:after="0"/>
              <w:rPr>
                <w:sz w:val="5"/>
                <w:szCs w:val="5"/>
                <w:color w:val="auto"/>
              </w:rPr>
            </w:pPr>
          </w:p>
        </w:tc>
        <w:tc>
          <w:tcPr>
            <w:tcW w:w="3040" w:type="dxa"/>
            <w:vAlign w:val="bottom"/>
            <w:vMerge w:val="continue"/>
          </w:tcPr>
          <w:p>
            <w:pPr>
              <w:spacing w:after="0"/>
              <w:rPr>
                <w:sz w:val="5"/>
                <w:szCs w:val="5"/>
                <w:color w:val="auto"/>
              </w:rPr>
            </w:pPr>
          </w:p>
        </w:tc>
        <w:tc>
          <w:tcPr>
            <w:tcW w:w="45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6"/>
        </w:trPr>
        <w:tc>
          <w:tcPr>
            <w:tcW w:w="19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4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Base Salary</w:t>
      </w:r>
    </w:p>
    <w:p>
      <w:pPr>
        <w:spacing w:after="0" w:line="147" w:lineRule="exact"/>
        <w:rPr>
          <w:sz w:val="20"/>
          <w:szCs w:val="20"/>
          <w:color w:val="auto"/>
        </w:rPr>
      </w:pPr>
    </w:p>
    <w:p>
      <w:pPr>
        <w:ind w:right="380"/>
        <w:spacing w:after="0" w:line="339" w:lineRule="auto"/>
        <w:rPr>
          <w:sz w:val="20"/>
          <w:szCs w:val="20"/>
          <w:color w:val="auto"/>
        </w:rPr>
      </w:pPr>
      <w:r>
        <w:rPr>
          <w:rFonts w:ascii="Arial" w:cs="Arial" w:eastAsia="Arial" w:hAnsi="Arial"/>
          <w:sz w:val="16"/>
          <w:szCs w:val="16"/>
          <w:color w:val="auto"/>
        </w:rPr>
        <w:t>Base salary represents the fixed portion of the compensation of our Named Executive Officers and is an important element of compensation intended to attract and retain highly talented individuals. Generally, we use base salary to provide each Named Executive Officer with a specified level of cash compensation during the year with the expectation that he or she will perform his or her responsibilities to the best of his or her ability and in our best interests.</w:t>
      </w:r>
    </w:p>
    <w:p>
      <w:pPr>
        <w:spacing w:after="0" w:line="148" w:lineRule="exact"/>
        <w:rPr>
          <w:sz w:val="20"/>
          <w:szCs w:val="20"/>
          <w:color w:val="auto"/>
        </w:rPr>
      </w:pPr>
    </w:p>
    <w:p>
      <w:pPr>
        <w:ind w:right="260"/>
        <w:spacing w:after="0" w:line="338" w:lineRule="auto"/>
        <w:rPr>
          <w:sz w:val="20"/>
          <w:szCs w:val="20"/>
          <w:color w:val="auto"/>
        </w:rPr>
      </w:pPr>
      <w:r>
        <w:rPr>
          <w:rFonts w:ascii="Arial" w:cs="Arial" w:eastAsia="Arial" w:hAnsi="Arial"/>
          <w:sz w:val="16"/>
          <w:szCs w:val="16"/>
          <w:color w:val="auto"/>
        </w:rPr>
        <w:t>Generally, we establish the initial base salaries of our Named Executive Officers through arm’s-length negotiation at the time we hire the individual, taking into account his or her position, qualifications, experience, prior salary level, and the base salaries of our other executive officers. Thereafter, the compensation committee reviews the base salaries of our Named Executive Officers each year as part of its annual compensation review, with input from our CEO (except with respect to his own base salary) and makes adjustments as it determines to be reasonable and necessary to reflect the scope of a Named Executive Officer’s performance, individual contributions and responsibilities, position in the case of a promotion, and market conditions.</w:t>
      </w:r>
    </w:p>
    <w:p>
      <w:pPr>
        <w:spacing w:after="0" w:line="149" w:lineRule="exact"/>
        <w:rPr>
          <w:sz w:val="20"/>
          <w:szCs w:val="20"/>
          <w:color w:val="auto"/>
        </w:rPr>
      </w:pPr>
    </w:p>
    <w:p>
      <w:pPr>
        <w:ind w:right="20"/>
        <w:spacing w:after="0" w:line="338" w:lineRule="auto"/>
        <w:rPr>
          <w:sz w:val="20"/>
          <w:szCs w:val="20"/>
          <w:color w:val="auto"/>
        </w:rPr>
      </w:pPr>
      <w:r>
        <w:rPr>
          <w:rFonts w:ascii="Arial" w:cs="Arial" w:eastAsia="Arial" w:hAnsi="Arial"/>
          <w:sz w:val="16"/>
          <w:szCs w:val="16"/>
          <w:color w:val="auto"/>
        </w:rPr>
        <w:t>In September 2020, the compensation committee reviewed the base salaries of our Named Executive Officers, taking into consideration a competitive market analysis and the recommendations of our CEO (except with respect to his own base salary), as well as the other factors described in “Compensation-Setting Process – Setting Target Total Direct Compensation” above. Following this review, the compensation committee determined to maintain the base salary of our CEO and Mr. Rajic at their fiscal 2020 levels and to increase the base salaries of our other Named Executive Officers to levels that were comparable to those of similarly-situated executives in the competitive marketplace. The base salary adjustments were effective August 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256540</wp:posOffset>
            </wp:positionV>
            <wp:extent cx="342900" cy="21463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42900" cy="214630"/>
                    </a:xfrm>
                    <a:prstGeom prst="rect">
                      <a:avLst/>
                    </a:prstGeom>
                    <a:noFill/>
                  </pic:spPr>
                </pic:pic>
              </a:graphicData>
            </a:graphic>
          </wp:anchor>
        </w:drawing>
      </w:r>
    </w:p>
    <w:p>
      <w:pPr>
        <w:spacing w:after="0" w:line="322" w:lineRule="exact"/>
        <w:rPr>
          <w:sz w:val="20"/>
          <w:szCs w:val="20"/>
          <w:color w:val="auto"/>
        </w:rPr>
      </w:pPr>
    </w:p>
    <w:p>
      <w:pPr>
        <w:ind w:left="5540"/>
        <w:spacing w:after="0"/>
        <w:tabs>
          <w:tab w:leader="none" w:pos="9780" w:val="left"/>
        </w:tabs>
        <w:rPr>
          <w:sz w:val="20"/>
          <w:szCs w:val="20"/>
          <w:color w:val="auto"/>
        </w:rPr>
      </w:pPr>
      <w:r>
        <w:rPr>
          <w:rFonts w:ascii="Arial" w:cs="Arial" w:eastAsia="Arial" w:hAnsi="Arial"/>
          <w:sz w:val="29"/>
          <w:szCs w:val="29"/>
          <w:color w:val="auto"/>
          <w:vertAlign w:val="superscript"/>
        </w:rPr>
        <w:t>45</w:t>
      </w:r>
      <w:r>
        <w:rPr>
          <w:sz w:val="20"/>
          <w:szCs w:val="20"/>
          <w:color w:val="auto"/>
        </w:rPr>
        <w:tab/>
      </w:r>
      <w:r>
        <w:rPr>
          <w:rFonts w:ascii="Arial" w:cs="Arial" w:eastAsia="Arial" w:hAnsi="Arial"/>
          <w:sz w:val="14"/>
          <w:szCs w:val="14"/>
          <w:color w:val="auto"/>
        </w:rPr>
        <w:t>2021 Proxy Statement</w:t>
      </w:r>
    </w:p>
    <w:p>
      <w:pPr>
        <w:sectPr>
          <w:pgSz w:w="11900" w:h="16838" w:orient="portrait"/>
          <w:cols w:equalWidth="0" w:num="1">
            <w:col w:w="11240"/>
          </w:cols>
          <w:pgMar w:left="320" w:top="172" w:right="339" w:bottom="1440" w:gutter="0" w:footer="0" w:header="0"/>
        </w:sectPr>
      </w:pPr>
    </w:p>
    <w:bookmarkStart w:id="49" w:name="page50"/>
    <w:bookmarkEnd w:id="49"/>
    <w:p>
      <w:pPr>
        <w:ind w:left="280"/>
        <w:spacing w:after="0"/>
        <w:rPr>
          <w:sz w:val="20"/>
          <w:szCs w:val="20"/>
          <w:color w:val="auto"/>
        </w:rPr>
      </w:pPr>
      <w:r>
        <w:rPr>
          <w:rFonts w:ascii="Arial" w:cs="Arial" w:eastAsia="Arial" w:hAnsi="Arial"/>
          <w:sz w:val="13"/>
          <w:szCs w:val="13"/>
          <w:b w:val="1"/>
          <w:bCs w:val="1"/>
          <w:color w:val="929292"/>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7470" cy="596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7470" cy="59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6"/>
          <w:szCs w:val="16"/>
          <w:color w:val="auto"/>
        </w:rPr>
        <w:t>The base salaries of our Named Executive Officers for fiscal 2021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5731510</wp:posOffset>
            </wp:positionH>
            <wp:positionV relativeFrom="paragraph">
              <wp:posOffset>147955</wp:posOffset>
            </wp:positionV>
            <wp:extent cx="8255" cy="42862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8255" cy="42862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147955</wp:posOffset>
            </wp:positionV>
            <wp:extent cx="8255" cy="42862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8255" cy="42862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147955</wp:posOffset>
            </wp:positionV>
            <wp:extent cx="8890" cy="42862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8890" cy="428625"/>
                    </a:xfrm>
                    <a:prstGeom prst="rect">
                      <a:avLst/>
                    </a:prstGeom>
                    <a:noFill/>
                  </pic:spPr>
                </pic:pic>
              </a:graphicData>
            </a:graphic>
          </wp:anchor>
        </w:drawing>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400" w:type="dxa"/>
            <w:vAlign w:val="bottom"/>
            <w:shd w:val="clear" w:color="auto" w:fill="000000"/>
          </w:tcPr>
          <w:p>
            <w:pPr>
              <w:spacing w:after="0"/>
              <w:rPr>
                <w:sz w:val="17"/>
                <w:szCs w:val="17"/>
                <w:color w:val="auto"/>
              </w:rPr>
            </w:pPr>
          </w:p>
        </w:tc>
        <w:tc>
          <w:tcPr>
            <w:tcW w:w="2320" w:type="dxa"/>
            <w:vAlign w:val="bottom"/>
            <w:shd w:val="clear" w:color="auto" w:fill="2B338D"/>
          </w:tcPr>
          <w:p>
            <w:pPr>
              <w:jc w:val="right"/>
              <w:ind w:right="125"/>
              <w:spacing w:after="0"/>
              <w:rPr>
                <w:sz w:val="20"/>
                <w:szCs w:val="20"/>
                <w:color w:val="auto"/>
              </w:rPr>
            </w:pPr>
            <w:r>
              <w:rPr>
                <w:rFonts w:ascii="Arial" w:cs="Arial" w:eastAsia="Arial" w:hAnsi="Arial"/>
                <w:sz w:val="16"/>
                <w:szCs w:val="16"/>
                <w:b w:val="1"/>
                <w:bCs w:val="1"/>
                <w:color w:val="FFFFFF"/>
              </w:rPr>
              <w:t>Fiscal 2020</w:t>
            </w:r>
          </w:p>
        </w:tc>
        <w:tc>
          <w:tcPr>
            <w:tcW w:w="2300" w:type="dxa"/>
            <w:vAlign w:val="bottom"/>
            <w:shd w:val="clear" w:color="auto" w:fill="009ADA"/>
          </w:tcPr>
          <w:p>
            <w:pPr>
              <w:jc w:val="right"/>
              <w:ind w:right="65"/>
              <w:spacing w:after="0"/>
              <w:rPr>
                <w:sz w:val="20"/>
                <w:szCs w:val="20"/>
                <w:color w:val="auto"/>
              </w:rPr>
            </w:pPr>
            <w:r>
              <w:rPr>
                <w:rFonts w:ascii="Arial" w:cs="Arial" w:eastAsia="Arial" w:hAnsi="Arial"/>
                <w:sz w:val="16"/>
                <w:szCs w:val="16"/>
                <w:b w:val="1"/>
                <w:bCs w:val="1"/>
                <w:color w:val="FFFFFF"/>
              </w:rPr>
              <w:t>Fiscal 2021</w:t>
            </w:r>
          </w:p>
        </w:tc>
        <w:tc>
          <w:tcPr>
            <w:tcW w:w="2200" w:type="dxa"/>
            <w:vAlign w:val="bottom"/>
            <w:shd w:val="clear" w:color="auto" w:fill="929292"/>
          </w:tcPr>
          <w:p>
            <w:pPr>
              <w:spacing w:after="0"/>
              <w:rPr>
                <w:sz w:val="17"/>
                <w:szCs w:val="17"/>
                <w:color w:val="auto"/>
              </w:rPr>
            </w:pPr>
          </w:p>
        </w:tc>
      </w:tr>
      <w:tr>
        <w:trPr>
          <w:trHeight w:val="189"/>
        </w:trPr>
        <w:tc>
          <w:tcPr>
            <w:tcW w:w="4400" w:type="dxa"/>
            <w:vAlign w:val="bottom"/>
            <w:shd w:val="clear" w:color="auto" w:fill="000000"/>
          </w:tcPr>
          <w:p>
            <w:pPr>
              <w:spacing w:after="0"/>
              <w:rPr>
                <w:sz w:val="16"/>
                <w:szCs w:val="16"/>
                <w:color w:val="auto"/>
              </w:rPr>
            </w:pPr>
          </w:p>
        </w:tc>
        <w:tc>
          <w:tcPr>
            <w:tcW w:w="2320" w:type="dxa"/>
            <w:vAlign w:val="bottom"/>
            <w:shd w:val="clear" w:color="auto" w:fill="2B338D"/>
          </w:tcPr>
          <w:p>
            <w:pPr>
              <w:jc w:val="right"/>
              <w:ind w:right="85"/>
              <w:spacing w:after="0"/>
              <w:rPr>
                <w:sz w:val="20"/>
                <w:szCs w:val="20"/>
                <w:color w:val="auto"/>
              </w:rPr>
            </w:pPr>
            <w:r>
              <w:rPr>
                <w:rFonts w:ascii="Arial" w:cs="Arial" w:eastAsia="Arial" w:hAnsi="Arial"/>
                <w:sz w:val="16"/>
                <w:szCs w:val="16"/>
                <w:b w:val="1"/>
                <w:bCs w:val="1"/>
                <w:color w:val="FFFFFF"/>
              </w:rPr>
              <w:t>Base Salary</w:t>
            </w:r>
          </w:p>
        </w:tc>
        <w:tc>
          <w:tcPr>
            <w:tcW w:w="2300" w:type="dxa"/>
            <w:vAlign w:val="bottom"/>
            <w:shd w:val="clear" w:color="auto" w:fill="009ADA"/>
          </w:tcPr>
          <w:p>
            <w:pPr>
              <w:jc w:val="right"/>
              <w:ind w:right="65"/>
              <w:spacing w:after="0"/>
              <w:rPr>
                <w:sz w:val="20"/>
                <w:szCs w:val="20"/>
                <w:color w:val="auto"/>
              </w:rPr>
            </w:pPr>
            <w:r>
              <w:rPr>
                <w:rFonts w:ascii="Arial" w:cs="Arial" w:eastAsia="Arial" w:hAnsi="Arial"/>
                <w:sz w:val="16"/>
                <w:szCs w:val="16"/>
                <w:b w:val="1"/>
                <w:bCs w:val="1"/>
                <w:color w:val="FFFFFF"/>
              </w:rPr>
              <w:t>Base Salary</w:t>
            </w:r>
          </w:p>
        </w:tc>
        <w:tc>
          <w:tcPr>
            <w:tcW w:w="2200" w:type="dxa"/>
            <w:vAlign w:val="bottom"/>
            <w:shd w:val="clear" w:color="auto" w:fill="929292"/>
          </w:tcPr>
          <w:p>
            <w:pPr>
              <w:ind w:left="640"/>
              <w:spacing w:after="0"/>
              <w:rPr>
                <w:sz w:val="20"/>
                <w:szCs w:val="20"/>
                <w:color w:val="auto"/>
              </w:rPr>
            </w:pPr>
            <w:r>
              <w:rPr>
                <w:rFonts w:ascii="Arial" w:cs="Arial" w:eastAsia="Arial" w:hAnsi="Arial"/>
                <w:sz w:val="16"/>
                <w:szCs w:val="16"/>
                <w:b w:val="1"/>
                <w:bCs w:val="1"/>
                <w:color w:val="FFFFFF"/>
              </w:rPr>
              <w:t>Percentage</w:t>
            </w:r>
          </w:p>
        </w:tc>
      </w:tr>
      <w:tr>
        <w:trPr>
          <w:trHeight w:val="215"/>
        </w:trPr>
        <w:tc>
          <w:tcPr>
            <w:tcW w:w="4400" w:type="dxa"/>
            <w:vAlign w:val="bottom"/>
            <w:shd w:val="clear" w:color="auto" w:fill="000000"/>
          </w:tcPr>
          <w:p>
            <w:pPr>
              <w:ind w:left="100"/>
              <w:spacing w:after="0"/>
              <w:rPr>
                <w:sz w:val="20"/>
                <w:szCs w:val="20"/>
                <w:color w:val="auto"/>
              </w:rPr>
            </w:pPr>
            <w:r>
              <w:rPr>
                <w:rFonts w:ascii="Arial" w:cs="Arial" w:eastAsia="Arial" w:hAnsi="Arial"/>
                <w:sz w:val="16"/>
                <w:szCs w:val="16"/>
                <w:b w:val="1"/>
                <w:bCs w:val="1"/>
                <w:color w:val="FFFFFF"/>
              </w:rPr>
              <w:t>Named Executive Officer</w:t>
            </w:r>
          </w:p>
        </w:tc>
        <w:tc>
          <w:tcPr>
            <w:tcW w:w="2320" w:type="dxa"/>
            <w:vAlign w:val="bottom"/>
            <w:shd w:val="clear" w:color="auto" w:fill="2B338D"/>
          </w:tcPr>
          <w:p>
            <w:pPr>
              <w:jc w:val="right"/>
              <w:ind w:right="85"/>
              <w:spacing w:after="0"/>
              <w:rPr>
                <w:sz w:val="20"/>
                <w:szCs w:val="20"/>
                <w:color w:val="auto"/>
              </w:rPr>
            </w:pPr>
            <w:r>
              <w:rPr>
                <w:rFonts w:ascii="Arial" w:cs="Arial" w:eastAsia="Arial" w:hAnsi="Arial"/>
                <w:sz w:val="16"/>
                <w:szCs w:val="16"/>
                <w:b w:val="1"/>
                <w:bCs w:val="1"/>
                <w:color w:val="FFFFFF"/>
              </w:rPr>
              <w:t>($)</w:t>
            </w:r>
          </w:p>
        </w:tc>
        <w:tc>
          <w:tcPr>
            <w:tcW w:w="2300" w:type="dxa"/>
            <w:vAlign w:val="bottom"/>
            <w:shd w:val="clear" w:color="auto" w:fill="009ADA"/>
          </w:tcPr>
          <w:p>
            <w:pPr>
              <w:jc w:val="right"/>
              <w:ind w:right="65"/>
              <w:spacing w:after="0"/>
              <w:rPr>
                <w:sz w:val="20"/>
                <w:szCs w:val="20"/>
                <w:color w:val="auto"/>
              </w:rPr>
            </w:pPr>
            <w:r>
              <w:rPr>
                <w:rFonts w:ascii="Arial" w:cs="Arial" w:eastAsia="Arial" w:hAnsi="Arial"/>
                <w:sz w:val="16"/>
                <w:szCs w:val="16"/>
                <w:b w:val="1"/>
                <w:bCs w:val="1"/>
                <w:color w:val="FFFFFF"/>
              </w:rPr>
              <w:t>($)</w:t>
            </w:r>
          </w:p>
        </w:tc>
        <w:tc>
          <w:tcPr>
            <w:tcW w:w="2200" w:type="dxa"/>
            <w:vAlign w:val="bottom"/>
            <w:shd w:val="clear" w:color="auto" w:fill="929292"/>
          </w:tcPr>
          <w:p>
            <w:pPr>
              <w:ind w:left="660"/>
              <w:spacing w:after="0"/>
              <w:rPr>
                <w:sz w:val="20"/>
                <w:szCs w:val="20"/>
                <w:color w:val="auto"/>
              </w:rPr>
            </w:pPr>
            <w:r>
              <w:rPr>
                <w:rFonts w:ascii="Arial" w:cs="Arial" w:eastAsia="Arial" w:hAnsi="Arial"/>
                <w:sz w:val="16"/>
                <w:szCs w:val="16"/>
                <w:b w:val="1"/>
                <w:bCs w:val="1"/>
                <w:color w:val="FFFFFF"/>
              </w:rPr>
              <w:t>Adjustment</w:t>
            </w:r>
          </w:p>
        </w:tc>
      </w:tr>
      <w:tr>
        <w:trPr>
          <w:trHeight w:val="73"/>
        </w:trPr>
        <w:tc>
          <w:tcPr>
            <w:tcW w:w="4400" w:type="dxa"/>
            <w:vAlign w:val="bottom"/>
            <w:shd w:val="clear" w:color="auto" w:fill="000000"/>
          </w:tcPr>
          <w:p>
            <w:pPr>
              <w:spacing w:after="0"/>
              <w:rPr>
                <w:sz w:val="6"/>
                <w:szCs w:val="6"/>
                <w:color w:val="auto"/>
              </w:rPr>
            </w:pPr>
          </w:p>
        </w:tc>
        <w:tc>
          <w:tcPr>
            <w:tcW w:w="2320" w:type="dxa"/>
            <w:vAlign w:val="bottom"/>
            <w:shd w:val="clear" w:color="auto" w:fill="2B338D"/>
          </w:tcPr>
          <w:p>
            <w:pPr>
              <w:spacing w:after="0"/>
              <w:rPr>
                <w:sz w:val="6"/>
                <w:szCs w:val="6"/>
                <w:color w:val="auto"/>
              </w:rPr>
            </w:pPr>
          </w:p>
        </w:tc>
        <w:tc>
          <w:tcPr>
            <w:tcW w:w="2300" w:type="dxa"/>
            <w:vAlign w:val="bottom"/>
            <w:shd w:val="clear" w:color="auto" w:fill="009ADA"/>
          </w:tcPr>
          <w:p>
            <w:pPr>
              <w:spacing w:after="0"/>
              <w:rPr>
                <w:sz w:val="6"/>
                <w:szCs w:val="6"/>
                <w:color w:val="auto"/>
              </w:rPr>
            </w:pPr>
          </w:p>
        </w:tc>
        <w:tc>
          <w:tcPr>
            <w:tcW w:w="2200" w:type="dxa"/>
            <w:vAlign w:val="bottom"/>
            <w:shd w:val="clear" w:color="auto" w:fill="929292"/>
          </w:tcPr>
          <w:p>
            <w:pPr>
              <w:spacing w:after="0"/>
              <w:rPr>
                <w:sz w:val="6"/>
                <w:szCs w:val="6"/>
                <w:color w:val="auto"/>
              </w:rPr>
            </w:pPr>
          </w:p>
        </w:tc>
      </w:tr>
      <w:tr>
        <w:trPr>
          <w:trHeight w:val="231"/>
        </w:trPr>
        <w:tc>
          <w:tcPr>
            <w:tcW w:w="4400" w:type="dxa"/>
            <w:vAlign w:val="bottom"/>
          </w:tcPr>
          <w:p>
            <w:pPr>
              <w:ind w:left="100"/>
              <w:spacing w:after="0"/>
              <w:rPr>
                <w:sz w:val="20"/>
                <w:szCs w:val="20"/>
                <w:color w:val="auto"/>
              </w:rPr>
            </w:pPr>
            <w:r>
              <w:rPr>
                <w:rFonts w:ascii="Arial" w:cs="Arial" w:eastAsia="Arial" w:hAnsi="Arial"/>
                <w:sz w:val="14"/>
                <w:szCs w:val="14"/>
                <w:b w:val="1"/>
                <w:bCs w:val="1"/>
                <w:color w:val="auto"/>
              </w:rPr>
              <w:t>Mr. Chaudhry</w:t>
            </w:r>
          </w:p>
        </w:tc>
        <w:tc>
          <w:tcPr>
            <w:tcW w:w="2320" w:type="dxa"/>
            <w:vAlign w:val="bottom"/>
          </w:tcPr>
          <w:p>
            <w:pPr>
              <w:jc w:val="right"/>
              <w:ind w:right="85"/>
              <w:spacing w:after="0"/>
              <w:rPr>
                <w:sz w:val="20"/>
                <w:szCs w:val="20"/>
                <w:color w:val="auto"/>
              </w:rPr>
            </w:pPr>
            <w:r>
              <w:rPr>
                <w:rFonts w:ascii="Arial" w:cs="Arial" w:eastAsia="Arial" w:hAnsi="Arial"/>
                <w:sz w:val="14"/>
                <w:szCs w:val="14"/>
                <w:color w:val="auto"/>
              </w:rPr>
              <w:t>23,660</w:t>
            </w:r>
          </w:p>
        </w:tc>
        <w:tc>
          <w:tcPr>
            <w:tcW w:w="2300" w:type="dxa"/>
            <w:vAlign w:val="bottom"/>
          </w:tcPr>
          <w:p>
            <w:pPr>
              <w:jc w:val="right"/>
              <w:ind w:right="65"/>
              <w:spacing w:after="0"/>
              <w:rPr>
                <w:sz w:val="20"/>
                <w:szCs w:val="20"/>
                <w:color w:val="auto"/>
              </w:rPr>
            </w:pPr>
            <w:r>
              <w:rPr>
                <w:rFonts w:ascii="Arial" w:cs="Arial" w:eastAsia="Arial" w:hAnsi="Arial"/>
                <w:sz w:val="14"/>
                <w:szCs w:val="14"/>
                <w:color w:val="auto"/>
              </w:rPr>
              <w:t>23,660</w:t>
            </w:r>
          </w:p>
        </w:tc>
        <w:tc>
          <w:tcPr>
            <w:tcW w:w="2200" w:type="dxa"/>
            <w:vAlign w:val="bottom"/>
          </w:tcPr>
          <w:p>
            <w:pPr>
              <w:jc w:val="center"/>
              <w:spacing w:after="0"/>
              <w:rPr>
                <w:sz w:val="20"/>
                <w:szCs w:val="20"/>
                <w:color w:val="auto"/>
              </w:rPr>
            </w:pPr>
            <w:r>
              <w:rPr>
                <w:rFonts w:ascii="Arial" w:cs="Arial" w:eastAsia="Arial" w:hAnsi="Arial"/>
                <w:sz w:val="14"/>
                <w:szCs w:val="14"/>
                <w:color w:val="auto"/>
                <w:w w:val="98"/>
              </w:rPr>
              <w:t>0%</w:t>
            </w:r>
          </w:p>
        </w:tc>
      </w:tr>
      <w:tr>
        <w:trPr>
          <w:trHeight w:val="53"/>
        </w:trPr>
        <w:tc>
          <w:tcPr>
            <w:tcW w:w="4400" w:type="dxa"/>
            <w:vAlign w:val="bottom"/>
            <w:tcBorders>
              <w:bottom w:val="single" w:sz="8" w:color="auto"/>
            </w:tcBorders>
          </w:tcPr>
          <w:p>
            <w:pPr>
              <w:spacing w:after="0"/>
              <w:rPr>
                <w:sz w:val="4"/>
                <w:szCs w:val="4"/>
                <w:color w:val="auto"/>
              </w:rPr>
            </w:pPr>
          </w:p>
        </w:tc>
        <w:tc>
          <w:tcPr>
            <w:tcW w:w="2320" w:type="dxa"/>
            <w:vAlign w:val="bottom"/>
            <w:tcBorders>
              <w:bottom w:val="single" w:sz="8" w:color="auto"/>
            </w:tcBorders>
          </w:tcPr>
          <w:p>
            <w:pPr>
              <w:spacing w:after="0"/>
              <w:rPr>
                <w:sz w:val="4"/>
                <w:szCs w:val="4"/>
                <w:color w:val="auto"/>
              </w:rPr>
            </w:pPr>
          </w:p>
        </w:tc>
        <w:tc>
          <w:tcPr>
            <w:tcW w:w="2300" w:type="dxa"/>
            <w:vAlign w:val="bottom"/>
            <w:tcBorders>
              <w:bottom w:val="single" w:sz="8" w:color="auto"/>
            </w:tcBorders>
          </w:tcPr>
          <w:p>
            <w:pPr>
              <w:spacing w:after="0"/>
              <w:rPr>
                <w:sz w:val="4"/>
                <w:szCs w:val="4"/>
                <w:color w:val="auto"/>
              </w:rPr>
            </w:pPr>
          </w:p>
        </w:tc>
        <w:tc>
          <w:tcPr>
            <w:tcW w:w="2200" w:type="dxa"/>
            <w:vAlign w:val="bottom"/>
            <w:tcBorders>
              <w:bottom w:val="single" w:sz="8" w:color="auto"/>
            </w:tcBorders>
          </w:tcPr>
          <w:p>
            <w:pPr>
              <w:spacing w:after="0"/>
              <w:rPr>
                <w:sz w:val="4"/>
                <w:szCs w:val="4"/>
                <w:color w:val="auto"/>
              </w:rPr>
            </w:pPr>
          </w:p>
        </w:tc>
      </w:tr>
      <w:tr>
        <w:trPr>
          <w:trHeight w:val="224"/>
        </w:trPr>
        <w:tc>
          <w:tcPr>
            <w:tcW w:w="4400" w:type="dxa"/>
            <w:vAlign w:val="bottom"/>
          </w:tcPr>
          <w:p>
            <w:pPr>
              <w:ind w:left="100"/>
              <w:spacing w:after="0"/>
              <w:rPr>
                <w:sz w:val="20"/>
                <w:szCs w:val="20"/>
                <w:color w:val="auto"/>
              </w:rPr>
            </w:pPr>
            <w:r>
              <w:rPr>
                <w:rFonts w:ascii="Arial" w:cs="Arial" w:eastAsia="Arial" w:hAnsi="Arial"/>
                <w:sz w:val="14"/>
                <w:szCs w:val="14"/>
                <w:b w:val="1"/>
                <w:bCs w:val="1"/>
                <w:color w:val="auto"/>
              </w:rPr>
              <w:t>Mr. Canessa</w:t>
            </w:r>
          </w:p>
        </w:tc>
        <w:tc>
          <w:tcPr>
            <w:tcW w:w="2320" w:type="dxa"/>
            <w:vAlign w:val="bottom"/>
          </w:tcPr>
          <w:p>
            <w:pPr>
              <w:jc w:val="right"/>
              <w:ind w:right="85"/>
              <w:spacing w:after="0"/>
              <w:rPr>
                <w:sz w:val="20"/>
                <w:szCs w:val="20"/>
                <w:color w:val="auto"/>
              </w:rPr>
            </w:pPr>
            <w:r>
              <w:rPr>
                <w:rFonts w:ascii="Arial" w:cs="Arial" w:eastAsia="Arial" w:hAnsi="Arial"/>
                <w:sz w:val="14"/>
                <w:szCs w:val="14"/>
                <w:color w:val="auto"/>
              </w:rPr>
              <w:t>350,000</w:t>
            </w:r>
          </w:p>
        </w:tc>
        <w:tc>
          <w:tcPr>
            <w:tcW w:w="2300" w:type="dxa"/>
            <w:vAlign w:val="bottom"/>
          </w:tcPr>
          <w:p>
            <w:pPr>
              <w:jc w:val="right"/>
              <w:ind w:right="65"/>
              <w:spacing w:after="0"/>
              <w:rPr>
                <w:sz w:val="20"/>
                <w:szCs w:val="20"/>
                <w:color w:val="auto"/>
              </w:rPr>
            </w:pPr>
            <w:r>
              <w:rPr>
                <w:rFonts w:ascii="Arial" w:cs="Arial" w:eastAsia="Arial" w:hAnsi="Arial"/>
                <w:sz w:val="14"/>
                <w:szCs w:val="14"/>
                <w:color w:val="auto"/>
              </w:rPr>
              <w:t>375,000</w:t>
            </w:r>
          </w:p>
        </w:tc>
        <w:tc>
          <w:tcPr>
            <w:tcW w:w="2200" w:type="dxa"/>
            <w:vAlign w:val="bottom"/>
          </w:tcPr>
          <w:p>
            <w:pPr>
              <w:jc w:val="center"/>
              <w:spacing w:after="0"/>
              <w:rPr>
                <w:sz w:val="20"/>
                <w:szCs w:val="20"/>
                <w:color w:val="auto"/>
              </w:rPr>
            </w:pPr>
            <w:r>
              <w:rPr>
                <w:rFonts w:ascii="Arial" w:cs="Arial" w:eastAsia="Arial" w:hAnsi="Arial"/>
                <w:sz w:val="14"/>
                <w:szCs w:val="14"/>
                <w:color w:val="auto"/>
              </w:rPr>
              <w:t>7.1%</w:t>
            </w:r>
          </w:p>
        </w:tc>
      </w:tr>
      <w:tr>
        <w:trPr>
          <w:trHeight w:val="53"/>
        </w:trPr>
        <w:tc>
          <w:tcPr>
            <w:tcW w:w="4400" w:type="dxa"/>
            <w:vAlign w:val="bottom"/>
            <w:tcBorders>
              <w:bottom w:val="single" w:sz="8" w:color="auto"/>
            </w:tcBorders>
          </w:tcPr>
          <w:p>
            <w:pPr>
              <w:spacing w:after="0"/>
              <w:rPr>
                <w:sz w:val="4"/>
                <w:szCs w:val="4"/>
                <w:color w:val="auto"/>
              </w:rPr>
            </w:pPr>
          </w:p>
        </w:tc>
        <w:tc>
          <w:tcPr>
            <w:tcW w:w="2320" w:type="dxa"/>
            <w:vAlign w:val="bottom"/>
            <w:tcBorders>
              <w:bottom w:val="single" w:sz="8" w:color="auto"/>
            </w:tcBorders>
          </w:tcPr>
          <w:p>
            <w:pPr>
              <w:spacing w:after="0"/>
              <w:rPr>
                <w:sz w:val="4"/>
                <w:szCs w:val="4"/>
                <w:color w:val="auto"/>
              </w:rPr>
            </w:pPr>
          </w:p>
        </w:tc>
        <w:tc>
          <w:tcPr>
            <w:tcW w:w="2300" w:type="dxa"/>
            <w:vAlign w:val="bottom"/>
            <w:tcBorders>
              <w:bottom w:val="single" w:sz="8" w:color="auto"/>
            </w:tcBorders>
          </w:tcPr>
          <w:p>
            <w:pPr>
              <w:spacing w:after="0"/>
              <w:rPr>
                <w:sz w:val="4"/>
                <w:szCs w:val="4"/>
                <w:color w:val="auto"/>
              </w:rPr>
            </w:pPr>
          </w:p>
        </w:tc>
        <w:tc>
          <w:tcPr>
            <w:tcW w:w="2200" w:type="dxa"/>
            <w:vAlign w:val="bottom"/>
            <w:tcBorders>
              <w:bottom w:val="single" w:sz="8" w:color="auto"/>
            </w:tcBorders>
          </w:tcPr>
          <w:p>
            <w:pPr>
              <w:spacing w:after="0"/>
              <w:rPr>
                <w:sz w:val="4"/>
                <w:szCs w:val="4"/>
                <w:color w:val="auto"/>
              </w:rPr>
            </w:pPr>
          </w:p>
        </w:tc>
      </w:tr>
      <w:tr>
        <w:trPr>
          <w:trHeight w:val="224"/>
        </w:trPr>
        <w:tc>
          <w:tcPr>
            <w:tcW w:w="4400" w:type="dxa"/>
            <w:vAlign w:val="bottom"/>
          </w:tcPr>
          <w:p>
            <w:pPr>
              <w:ind w:left="100"/>
              <w:spacing w:after="0"/>
              <w:rPr>
                <w:sz w:val="20"/>
                <w:szCs w:val="20"/>
                <w:color w:val="auto"/>
              </w:rPr>
            </w:pPr>
            <w:r>
              <w:rPr>
                <w:rFonts w:ascii="Arial" w:cs="Arial" w:eastAsia="Arial" w:hAnsi="Arial"/>
                <w:sz w:val="14"/>
                <w:szCs w:val="14"/>
                <w:b w:val="1"/>
                <w:bCs w:val="1"/>
                <w:color w:val="auto"/>
              </w:rPr>
              <w:t>Mr. Rajic</w:t>
            </w:r>
          </w:p>
        </w:tc>
        <w:tc>
          <w:tcPr>
            <w:tcW w:w="2320" w:type="dxa"/>
            <w:vAlign w:val="bottom"/>
          </w:tcPr>
          <w:p>
            <w:pPr>
              <w:jc w:val="right"/>
              <w:ind w:right="85"/>
              <w:spacing w:after="0"/>
              <w:rPr>
                <w:sz w:val="20"/>
                <w:szCs w:val="20"/>
                <w:color w:val="auto"/>
              </w:rPr>
            </w:pPr>
            <w:r>
              <w:rPr>
                <w:rFonts w:ascii="Arial" w:cs="Arial" w:eastAsia="Arial" w:hAnsi="Arial"/>
                <w:sz w:val="14"/>
                <w:szCs w:val="14"/>
                <w:color w:val="auto"/>
              </w:rPr>
              <w:t>400,000</w:t>
            </w:r>
          </w:p>
        </w:tc>
        <w:tc>
          <w:tcPr>
            <w:tcW w:w="2300" w:type="dxa"/>
            <w:vAlign w:val="bottom"/>
          </w:tcPr>
          <w:p>
            <w:pPr>
              <w:jc w:val="right"/>
              <w:ind w:right="65"/>
              <w:spacing w:after="0"/>
              <w:rPr>
                <w:sz w:val="20"/>
                <w:szCs w:val="20"/>
                <w:color w:val="auto"/>
              </w:rPr>
            </w:pPr>
            <w:r>
              <w:rPr>
                <w:rFonts w:ascii="Arial" w:cs="Arial" w:eastAsia="Arial" w:hAnsi="Arial"/>
                <w:sz w:val="14"/>
                <w:szCs w:val="14"/>
                <w:color w:val="auto"/>
              </w:rPr>
              <w:t>400,000</w:t>
            </w:r>
          </w:p>
        </w:tc>
        <w:tc>
          <w:tcPr>
            <w:tcW w:w="2200" w:type="dxa"/>
            <w:vAlign w:val="bottom"/>
          </w:tcPr>
          <w:p>
            <w:pPr>
              <w:jc w:val="center"/>
              <w:spacing w:after="0"/>
              <w:rPr>
                <w:sz w:val="20"/>
                <w:szCs w:val="20"/>
                <w:color w:val="auto"/>
              </w:rPr>
            </w:pPr>
            <w:r>
              <w:rPr>
                <w:rFonts w:ascii="Arial" w:cs="Arial" w:eastAsia="Arial" w:hAnsi="Arial"/>
                <w:sz w:val="14"/>
                <w:szCs w:val="14"/>
                <w:color w:val="auto"/>
                <w:w w:val="98"/>
              </w:rPr>
              <w:t>0%</w:t>
            </w:r>
          </w:p>
        </w:tc>
      </w:tr>
      <w:tr>
        <w:trPr>
          <w:trHeight w:val="53"/>
        </w:trPr>
        <w:tc>
          <w:tcPr>
            <w:tcW w:w="4400" w:type="dxa"/>
            <w:vAlign w:val="bottom"/>
            <w:tcBorders>
              <w:bottom w:val="single" w:sz="8" w:color="auto"/>
            </w:tcBorders>
          </w:tcPr>
          <w:p>
            <w:pPr>
              <w:spacing w:after="0"/>
              <w:rPr>
                <w:sz w:val="4"/>
                <w:szCs w:val="4"/>
                <w:color w:val="auto"/>
              </w:rPr>
            </w:pPr>
          </w:p>
        </w:tc>
        <w:tc>
          <w:tcPr>
            <w:tcW w:w="2320" w:type="dxa"/>
            <w:vAlign w:val="bottom"/>
            <w:tcBorders>
              <w:bottom w:val="single" w:sz="8" w:color="auto"/>
            </w:tcBorders>
          </w:tcPr>
          <w:p>
            <w:pPr>
              <w:spacing w:after="0"/>
              <w:rPr>
                <w:sz w:val="4"/>
                <w:szCs w:val="4"/>
                <w:color w:val="auto"/>
              </w:rPr>
            </w:pPr>
          </w:p>
        </w:tc>
        <w:tc>
          <w:tcPr>
            <w:tcW w:w="2300" w:type="dxa"/>
            <w:vAlign w:val="bottom"/>
            <w:tcBorders>
              <w:bottom w:val="single" w:sz="8" w:color="auto"/>
            </w:tcBorders>
          </w:tcPr>
          <w:p>
            <w:pPr>
              <w:spacing w:after="0"/>
              <w:rPr>
                <w:sz w:val="4"/>
                <w:szCs w:val="4"/>
                <w:color w:val="auto"/>
              </w:rPr>
            </w:pPr>
          </w:p>
        </w:tc>
        <w:tc>
          <w:tcPr>
            <w:tcW w:w="2200" w:type="dxa"/>
            <w:vAlign w:val="bottom"/>
            <w:tcBorders>
              <w:bottom w:val="single" w:sz="8" w:color="auto"/>
            </w:tcBorders>
          </w:tcPr>
          <w:p>
            <w:pPr>
              <w:spacing w:after="0"/>
              <w:rPr>
                <w:sz w:val="4"/>
                <w:szCs w:val="4"/>
                <w:color w:val="auto"/>
              </w:rPr>
            </w:pPr>
          </w:p>
        </w:tc>
      </w:tr>
      <w:tr>
        <w:trPr>
          <w:trHeight w:val="224"/>
        </w:trPr>
        <w:tc>
          <w:tcPr>
            <w:tcW w:w="4400" w:type="dxa"/>
            <w:vAlign w:val="bottom"/>
          </w:tcPr>
          <w:p>
            <w:pPr>
              <w:ind w:left="100"/>
              <w:spacing w:after="0"/>
              <w:rPr>
                <w:sz w:val="20"/>
                <w:szCs w:val="20"/>
                <w:color w:val="auto"/>
              </w:rPr>
            </w:pPr>
            <w:r>
              <w:rPr>
                <w:rFonts w:ascii="Arial" w:cs="Arial" w:eastAsia="Arial" w:hAnsi="Arial"/>
                <w:sz w:val="14"/>
                <w:szCs w:val="14"/>
                <w:b w:val="1"/>
                <w:bCs w:val="1"/>
                <w:color w:val="auto"/>
              </w:rPr>
              <w:t>Dr. Sinha</w:t>
            </w:r>
          </w:p>
        </w:tc>
        <w:tc>
          <w:tcPr>
            <w:tcW w:w="2320" w:type="dxa"/>
            <w:vAlign w:val="bottom"/>
          </w:tcPr>
          <w:p>
            <w:pPr>
              <w:jc w:val="right"/>
              <w:ind w:right="85"/>
              <w:spacing w:after="0"/>
              <w:rPr>
                <w:sz w:val="20"/>
                <w:szCs w:val="20"/>
                <w:color w:val="auto"/>
              </w:rPr>
            </w:pPr>
            <w:r>
              <w:rPr>
                <w:rFonts w:ascii="Arial" w:cs="Arial" w:eastAsia="Arial" w:hAnsi="Arial"/>
                <w:sz w:val="14"/>
                <w:szCs w:val="14"/>
                <w:color w:val="auto"/>
              </w:rPr>
              <w:t>350,000</w:t>
            </w:r>
          </w:p>
        </w:tc>
        <w:tc>
          <w:tcPr>
            <w:tcW w:w="2300" w:type="dxa"/>
            <w:vAlign w:val="bottom"/>
          </w:tcPr>
          <w:p>
            <w:pPr>
              <w:jc w:val="right"/>
              <w:ind w:right="65"/>
              <w:spacing w:after="0"/>
              <w:rPr>
                <w:sz w:val="20"/>
                <w:szCs w:val="20"/>
                <w:color w:val="auto"/>
              </w:rPr>
            </w:pPr>
            <w:r>
              <w:rPr>
                <w:rFonts w:ascii="Arial" w:cs="Arial" w:eastAsia="Arial" w:hAnsi="Arial"/>
                <w:sz w:val="14"/>
                <w:szCs w:val="14"/>
                <w:color w:val="auto"/>
              </w:rPr>
              <w:t>375,000</w:t>
            </w:r>
          </w:p>
        </w:tc>
        <w:tc>
          <w:tcPr>
            <w:tcW w:w="2200" w:type="dxa"/>
            <w:vAlign w:val="bottom"/>
          </w:tcPr>
          <w:p>
            <w:pPr>
              <w:jc w:val="center"/>
              <w:spacing w:after="0"/>
              <w:rPr>
                <w:sz w:val="20"/>
                <w:szCs w:val="20"/>
                <w:color w:val="auto"/>
              </w:rPr>
            </w:pPr>
            <w:r>
              <w:rPr>
                <w:rFonts w:ascii="Arial" w:cs="Arial" w:eastAsia="Arial" w:hAnsi="Arial"/>
                <w:sz w:val="14"/>
                <w:szCs w:val="14"/>
                <w:color w:val="auto"/>
              </w:rPr>
              <w:t>7.1%</w:t>
            </w:r>
          </w:p>
        </w:tc>
      </w:tr>
      <w:tr>
        <w:trPr>
          <w:trHeight w:val="53"/>
        </w:trPr>
        <w:tc>
          <w:tcPr>
            <w:tcW w:w="4400" w:type="dxa"/>
            <w:vAlign w:val="bottom"/>
            <w:tcBorders>
              <w:bottom w:val="single" w:sz="8" w:color="auto"/>
            </w:tcBorders>
          </w:tcPr>
          <w:p>
            <w:pPr>
              <w:spacing w:after="0"/>
              <w:rPr>
                <w:sz w:val="4"/>
                <w:szCs w:val="4"/>
                <w:color w:val="auto"/>
              </w:rPr>
            </w:pPr>
          </w:p>
        </w:tc>
        <w:tc>
          <w:tcPr>
            <w:tcW w:w="2320" w:type="dxa"/>
            <w:vAlign w:val="bottom"/>
            <w:tcBorders>
              <w:bottom w:val="single" w:sz="8" w:color="auto"/>
            </w:tcBorders>
          </w:tcPr>
          <w:p>
            <w:pPr>
              <w:spacing w:after="0"/>
              <w:rPr>
                <w:sz w:val="4"/>
                <w:szCs w:val="4"/>
                <w:color w:val="auto"/>
              </w:rPr>
            </w:pPr>
          </w:p>
        </w:tc>
        <w:tc>
          <w:tcPr>
            <w:tcW w:w="2300" w:type="dxa"/>
            <w:vAlign w:val="bottom"/>
            <w:tcBorders>
              <w:bottom w:val="single" w:sz="8" w:color="auto"/>
            </w:tcBorders>
          </w:tcPr>
          <w:p>
            <w:pPr>
              <w:spacing w:after="0"/>
              <w:rPr>
                <w:sz w:val="4"/>
                <w:szCs w:val="4"/>
                <w:color w:val="auto"/>
              </w:rPr>
            </w:pPr>
          </w:p>
        </w:tc>
        <w:tc>
          <w:tcPr>
            <w:tcW w:w="2200" w:type="dxa"/>
            <w:vAlign w:val="bottom"/>
            <w:tcBorders>
              <w:bottom w:val="single" w:sz="8" w:color="auto"/>
            </w:tcBorders>
          </w:tcPr>
          <w:p>
            <w:pPr>
              <w:spacing w:after="0"/>
              <w:rPr>
                <w:sz w:val="4"/>
                <w:szCs w:val="4"/>
                <w:color w:val="auto"/>
              </w:rPr>
            </w:pPr>
          </w:p>
        </w:tc>
      </w:tr>
      <w:tr>
        <w:trPr>
          <w:trHeight w:val="224"/>
        </w:trPr>
        <w:tc>
          <w:tcPr>
            <w:tcW w:w="4400" w:type="dxa"/>
            <w:vAlign w:val="bottom"/>
          </w:tcPr>
          <w:p>
            <w:pPr>
              <w:ind w:left="100"/>
              <w:spacing w:after="0"/>
              <w:rPr>
                <w:sz w:val="20"/>
                <w:szCs w:val="20"/>
                <w:color w:val="auto"/>
              </w:rPr>
            </w:pPr>
            <w:r>
              <w:rPr>
                <w:rFonts w:ascii="Arial" w:cs="Arial" w:eastAsia="Arial" w:hAnsi="Arial"/>
                <w:sz w:val="14"/>
                <w:szCs w:val="14"/>
                <w:b w:val="1"/>
                <w:bCs w:val="1"/>
                <w:color w:val="auto"/>
              </w:rPr>
              <w:t>Mr. Schlossman</w:t>
            </w:r>
          </w:p>
        </w:tc>
        <w:tc>
          <w:tcPr>
            <w:tcW w:w="2320" w:type="dxa"/>
            <w:vAlign w:val="bottom"/>
          </w:tcPr>
          <w:p>
            <w:pPr>
              <w:jc w:val="right"/>
              <w:ind w:right="85"/>
              <w:spacing w:after="0"/>
              <w:rPr>
                <w:sz w:val="20"/>
                <w:szCs w:val="20"/>
                <w:color w:val="auto"/>
              </w:rPr>
            </w:pPr>
            <w:r>
              <w:rPr>
                <w:rFonts w:ascii="Arial" w:cs="Arial" w:eastAsia="Arial" w:hAnsi="Arial"/>
                <w:sz w:val="14"/>
                <w:szCs w:val="14"/>
                <w:color w:val="auto"/>
              </w:rPr>
              <w:t>315,000</w:t>
            </w:r>
          </w:p>
        </w:tc>
        <w:tc>
          <w:tcPr>
            <w:tcW w:w="2300" w:type="dxa"/>
            <w:vAlign w:val="bottom"/>
          </w:tcPr>
          <w:p>
            <w:pPr>
              <w:jc w:val="right"/>
              <w:ind w:right="65"/>
              <w:spacing w:after="0"/>
              <w:rPr>
                <w:sz w:val="20"/>
                <w:szCs w:val="20"/>
                <w:color w:val="auto"/>
              </w:rPr>
            </w:pPr>
            <w:r>
              <w:rPr>
                <w:rFonts w:ascii="Arial" w:cs="Arial" w:eastAsia="Arial" w:hAnsi="Arial"/>
                <w:sz w:val="14"/>
                <w:szCs w:val="14"/>
                <w:color w:val="auto"/>
              </w:rPr>
              <w:t>325,000</w:t>
            </w:r>
          </w:p>
        </w:tc>
        <w:tc>
          <w:tcPr>
            <w:tcW w:w="2200" w:type="dxa"/>
            <w:vAlign w:val="bottom"/>
          </w:tcPr>
          <w:p>
            <w:pPr>
              <w:jc w:val="center"/>
              <w:spacing w:after="0"/>
              <w:rPr>
                <w:sz w:val="20"/>
                <w:szCs w:val="20"/>
                <w:color w:val="auto"/>
              </w:rPr>
            </w:pPr>
            <w:r>
              <w:rPr>
                <w:rFonts w:ascii="Arial" w:cs="Arial" w:eastAsia="Arial" w:hAnsi="Arial"/>
                <w:sz w:val="14"/>
                <w:szCs w:val="14"/>
                <w:color w:val="auto"/>
              </w:rPr>
              <w:t>3.2%</w:t>
            </w:r>
          </w:p>
        </w:tc>
      </w:tr>
      <w:tr>
        <w:trPr>
          <w:trHeight w:val="53"/>
        </w:trPr>
        <w:tc>
          <w:tcPr>
            <w:tcW w:w="4400" w:type="dxa"/>
            <w:vAlign w:val="bottom"/>
            <w:tcBorders>
              <w:bottom w:val="single" w:sz="8" w:color="auto"/>
            </w:tcBorders>
          </w:tcPr>
          <w:p>
            <w:pPr>
              <w:spacing w:after="0"/>
              <w:rPr>
                <w:sz w:val="4"/>
                <w:szCs w:val="4"/>
                <w:color w:val="auto"/>
              </w:rPr>
            </w:pPr>
          </w:p>
        </w:tc>
        <w:tc>
          <w:tcPr>
            <w:tcW w:w="2320" w:type="dxa"/>
            <w:vAlign w:val="bottom"/>
            <w:tcBorders>
              <w:bottom w:val="single" w:sz="8" w:color="auto"/>
            </w:tcBorders>
          </w:tcPr>
          <w:p>
            <w:pPr>
              <w:spacing w:after="0"/>
              <w:rPr>
                <w:sz w:val="4"/>
                <w:szCs w:val="4"/>
                <w:color w:val="auto"/>
              </w:rPr>
            </w:pPr>
          </w:p>
        </w:tc>
        <w:tc>
          <w:tcPr>
            <w:tcW w:w="2300" w:type="dxa"/>
            <w:vAlign w:val="bottom"/>
            <w:tcBorders>
              <w:bottom w:val="single" w:sz="8" w:color="auto"/>
            </w:tcBorders>
          </w:tcPr>
          <w:p>
            <w:pPr>
              <w:spacing w:after="0"/>
              <w:rPr>
                <w:sz w:val="4"/>
                <w:szCs w:val="4"/>
                <w:color w:val="auto"/>
              </w:rPr>
            </w:pPr>
          </w:p>
        </w:tc>
        <w:tc>
          <w:tcPr>
            <w:tcW w:w="2200" w:type="dxa"/>
            <w:vAlign w:val="bottom"/>
            <w:tcBorders>
              <w:bottom w:val="single" w:sz="8" w:color="auto"/>
            </w:tcBorders>
          </w:tcPr>
          <w:p>
            <w:pPr>
              <w:spacing w:after="0"/>
              <w:rPr>
                <w:sz w:val="4"/>
                <w:szCs w:val="4"/>
                <w:color w:val="auto"/>
              </w:rPr>
            </w:pPr>
          </w:p>
        </w:tc>
      </w:tr>
    </w:tbl>
    <w:p>
      <w:pPr>
        <w:spacing w:after="0" w:line="393" w:lineRule="exact"/>
        <w:rPr>
          <w:sz w:val="20"/>
          <w:szCs w:val="20"/>
          <w:color w:val="auto"/>
        </w:rPr>
      </w:pPr>
    </w:p>
    <w:p>
      <w:pPr>
        <w:spacing w:after="0"/>
        <w:rPr>
          <w:sz w:val="20"/>
          <w:szCs w:val="20"/>
          <w:color w:val="auto"/>
        </w:rPr>
      </w:pPr>
      <w:r>
        <w:rPr>
          <w:rFonts w:ascii="Arial" w:cs="Arial" w:eastAsia="Arial" w:hAnsi="Arial"/>
          <w:sz w:val="16"/>
          <w:szCs w:val="16"/>
          <w:color w:val="auto"/>
        </w:rPr>
        <w:t>The base salaries actually paid to our Named Executive Officers during fiscal 2021 are set forth in the “Fiscal 2021 Summary Compensation Table” below.</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Annual Cash Bonuses</w:t>
      </w:r>
    </w:p>
    <w:p>
      <w:pPr>
        <w:spacing w:after="0" w:line="147" w:lineRule="exact"/>
        <w:rPr>
          <w:sz w:val="20"/>
          <w:szCs w:val="20"/>
          <w:color w:val="auto"/>
        </w:rPr>
      </w:pPr>
    </w:p>
    <w:p>
      <w:pPr>
        <w:ind w:right="120"/>
        <w:spacing w:after="0" w:line="336" w:lineRule="auto"/>
        <w:rPr>
          <w:sz w:val="20"/>
          <w:szCs w:val="20"/>
          <w:color w:val="auto"/>
        </w:rPr>
      </w:pPr>
      <w:r>
        <w:rPr>
          <w:rFonts w:ascii="Arial" w:cs="Arial" w:eastAsia="Arial" w:hAnsi="Arial"/>
          <w:sz w:val="16"/>
          <w:szCs w:val="16"/>
          <w:color w:val="auto"/>
        </w:rPr>
        <w:t>We use our Employee Incentive Compensation Plan, a cash bonus plan, to motivate employees selected by the compensation committee, including our Named Executive Officers (except for our CEO), to achieve our annual business goals. Pursuant to the Employee Incentive Compensation Plan, our compensation committee, in its sole discretion, establishes a target award for each executive and a bonus pool for the executives as a group, with actual awards payable from the bonus pool, with respect to the applicable performance period. For fiscal 2021, the Employee Incentive Compensation Plan included semi-annual performance periods with semi-annual award payouts after the end of the first six-month period (the period from August 1, 2020 through January 31, 2021), and, then again, after the end of the fiscal year (the period from February 1, 2021 through July 31, 2021). Pursuant to the terms of his Employment Offer Letter, Mr. Rajic was eligible to receive quarterly award payouts under the Employee Incentive Compensation Plan.</w:t>
      </w:r>
    </w:p>
    <w:p>
      <w:pPr>
        <w:spacing w:after="0" w:line="154" w:lineRule="exact"/>
        <w:rPr>
          <w:sz w:val="20"/>
          <w:szCs w:val="20"/>
          <w:color w:val="auto"/>
        </w:rPr>
      </w:pPr>
    </w:p>
    <w:p>
      <w:pPr>
        <w:ind w:right="40"/>
        <w:spacing w:after="0" w:line="338" w:lineRule="auto"/>
        <w:rPr>
          <w:sz w:val="20"/>
          <w:szCs w:val="20"/>
          <w:color w:val="auto"/>
        </w:rPr>
      </w:pPr>
      <w:r>
        <w:rPr>
          <w:rFonts w:ascii="Arial" w:cs="Arial" w:eastAsia="Arial" w:hAnsi="Arial"/>
          <w:sz w:val="16"/>
          <w:szCs w:val="16"/>
          <w:color w:val="auto"/>
        </w:rPr>
        <w:t>The compensation committee administered the Employee Incentive Compensation Plan. As the administrator of the plan, the compensation committee may, in its sole discretion and at any time, increase, reduce, or eliminate a participant’s actual award, and/or increase, reduce, or eliminate the amount allocated to the bonus pool for a particular performance period. The actual award may be below, at or above a participant’s target annual cash bonus award, in the discretion of the administrator. Further, the administrator may determine the amount of any increase, reduction, or elimination on the basis of such factors as it deems relevant, and it is not required to establish any allocation or weighting with respect to the factors it considers.</w:t>
      </w:r>
    </w:p>
    <w:p>
      <w:pPr>
        <w:spacing w:after="0" w:line="149" w:lineRule="exact"/>
        <w:rPr>
          <w:sz w:val="20"/>
          <w:szCs w:val="20"/>
          <w:color w:val="auto"/>
        </w:rPr>
      </w:pPr>
    </w:p>
    <w:p>
      <w:pPr>
        <w:ind w:right="200"/>
        <w:spacing w:after="0" w:line="338" w:lineRule="auto"/>
        <w:rPr>
          <w:sz w:val="20"/>
          <w:szCs w:val="20"/>
          <w:color w:val="auto"/>
        </w:rPr>
      </w:pPr>
      <w:r>
        <w:rPr>
          <w:rFonts w:ascii="Arial" w:cs="Arial" w:eastAsia="Arial" w:hAnsi="Arial"/>
          <w:sz w:val="16"/>
          <w:szCs w:val="16"/>
          <w:color w:val="auto"/>
        </w:rPr>
        <w:t>Actual awards under the Employee Incentive Compensation Plan are to be paid in cash (or its equivalent) in a single lump sum only after they are earned, which requires continued employment through the date the actual award is paid. The compensation committee reserved the right to settle an actual award with a grant of an equity award under our then-current equity compensation plan, which equity award may have such terms and conditions, as the compensation committee determines. Payment of awards is to occur as soon as administratively practicable after they are earned, but no later than the dates set forth in the Employee Incentive Compensation Plan.</w:t>
      </w:r>
    </w:p>
    <w:p>
      <w:pPr>
        <w:spacing w:after="0" w:line="149" w:lineRule="exact"/>
        <w:rPr>
          <w:sz w:val="20"/>
          <w:szCs w:val="20"/>
          <w:color w:val="auto"/>
        </w:rPr>
      </w:pPr>
    </w:p>
    <w:p>
      <w:pPr>
        <w:ind w:right="240"/>
        <w:spacing w:after="0" w:line="348" w:lineRule="auto"/>
        <w:rPr>
          <w:sz w:val="20"/>
          <w:szCs w:val="20"/>
          <w:color w:val="auto"/>
        </w:rPr>
      </w:pPr>
      <w:r>
        <w:rPr>
          <w:rFonts w:ascii="Arial" w:cs="Arial" w:eastAsia="Arial" w:hAnsi="Arial"/>
          <w:sz w:val="16"/>
          <w:szCs w:val="16"/>
          <w:color w:val="auto"/>
        </w:rPr>
        <w:t>Our board of directors and the compensation committee have the authority to amend, alter, suspend, or terminate the plan, provided such action does not impair the existing rights of any participant with respect to any earned awards.</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color w:val="009ADA"/>
        </w:rPr>
        <w:t>Fiscal 2021 Target Annual Cash Bonus Award Opportunities</w:t>
      </w:r>
    </w:p>
    <w:p>
      <w:pPr>
        <w:spacing w:after="0" w:line="127" w:lineRule="exact"/>
        <w:rPr>
          <w:sz w:val="20"/>
          <w:szCs w:val="20"/>
          <w:color w:val="auto"/>
        </w:rPr>
      </w:pPr>
    </w:p>
    <w:p>
      <w:pPr>
        <w:ind w:right="80"/>
        <w:spacing w:after="0" w:line="339" w:lineRule="auto"/>
        <w:rPr>
          <w:sz w:val="20"/>
          <w:szCs w:val="20"/>
          <w:color w:val="auto"/>
        </w:rPr>
      </w:pPr>
      <w:r>
        <w:rPr>
          <w:rFonts w:ascii="Arial" w:cs="Arial" w:eastAsia="Arial" w:hAnsi="Arial"/>
          <w:sz w:val="16"/>
          <w:szCs w:val="16"/>
          <w:color w:val="auto"/>
        </w:rPr>
        <w:t>For purposes of the Employee Incentive Compensation Plan, cash bonus awards were based upon target annual cash bonus award opportunities as determined by the compensation committee. In September 2020, the compensation committee reviewed the target annual cash bonus award opportunities of our Named Executive Officers. Following this review and after taking into consideration the factors described in “Compensation-Setting Process – Setting Target Total Direct Compensation” above, the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255905</wp:posOffset>
            </wp:positionV>
            <wp:extent cx="342900" cy="21463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42900" cy="214630"/>
                    </a:xfrm>
                    <a:prstGeom prst="rect">
                      <a:avLst/>
                    </a:prstGeom>
                    <a:noFill/>
                  </pic:spPr>
                </pic:pic>
              </a:graphicData>
            </a:graphic>
          </wp:anchor>
        </w:drawing>
      </w:r>
    </w:p>
    <w:p>
      <w:pPr>
        <w:spacing w:after="0" w:line="321" w:lineRule="exact"/>
        <w:rPr>
          <w:sz w:val="20"/>
          <w:szCs w:val="20"/>
          <w:color w:val="auto"/>
        </w:rPr>
      </w:pPr>
    </w:p>
    <w:p>
      <w:pPr>
        <w:jc w:val="both"/>
        <w:ind w:left="5540"/>
        <w:spacing w:after="0"/>
        <w:tabs>
          <w:tab w:leader="none" w:pos="9780" w:val="left"/>
        </w:tabs>
        <w:rPr>
          <w:sz w:val="20"/>
          <w:szCs w:val="20"/>
          <w:color w:val="auto"/>
        </w:rPr>
      </w:pPr>
      <w:r>
        <w:rPr>
          <w:rFonts w:ascii="Arial" w:cs="Arial" w:eastAsia="Arial" w:hAnsi="Arial"/>
          <w:sz w:val="29"/>
          <w:szCs w:val="29"/>
          <w:color w:val="auto"/>
          <w:vertAlign w:val="superscript"/>
        </w:rPr>
        <w:t>46</w:t>
      </w:r>
      <w:r>
        <w:rPr>
          <w:sz w:val="20"/>
          <w:szCs w:val="20"/>
          <w:color w:val="auto"/>
        </w:rPr>
        <w:tab/>
      </w:r>
      <w:r>
        <w:rPr>
          <w:rFonts w:ascii="Arial" w:cs="Arial" w:eastAsia="Arial" w:hAnsi="Arial"/>
          <w:sz w:val="14"/>
          <w:szCs w:val="14"/>
          <w:color w:val="auto"/>
        </w:rPr>
        <w:t>2021 Proxy Statement</w:t>
      </w:r>
    </w:p>
    <w:p>
      <w:pPr>
        <w:sectPr>
          <w:pgSz w:w="11900" w:h="16838" w:orient="portrait"/>
          <w:cols w:equalWidth="0" w:num="1">
            <w:col w:w="11220"/>
          </w:cols>
          <w:pgMar w:left="320" w:top="172" w:right="359" w:bottom="1440" w:gutter="0" w:footer="0" w:header="0"/>
        </w:sectPr>
      </w:pPr>
    </w:p>
    <w:bookmarkStart w:id="50" w:name="page51"/>
    <w:bookmarkEnd w:id="50"/>
    <w:p>
      <w:pPr>
        <w:ind w:left="280"/>
        <w:spacing w:after="0"/>
        <w:rPr>
          <w:sz w:val="20"/>
          <w:szCs w:val="20"/>
          <w:color w:val="auto"/>
        </w:rPr>
      </w:pPr>
      <w:r>
        <w:rPr>
          <w:rFonts w:ascii="Arial" w:cs="Arial" w:eastAsia="Arial" w:hAnsi="Arial"/>
          <w:sz w:val="13"/>
          <w:szCs w:val="13"/>
          <w:b w:val="1"/>
          <w:bCs w:val="1"/>
          <w:color w:val="929292"/>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7470" cy="596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7470" cy="59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100"/>
        <w:spacing w:after="0" w:line="338" w:lineRule="auto"/>
        <w:rPr>
          <w:sz w:val="20"/>
          <w:szCs w:val="20"/>
          <w:color w:val="auto"/>
        </w:rPr>
      </w:pPr>
      <w:r>
        <w:rPr>
          <w:rFonts w:ascii="Arial" w:cs="Arial" w:eastAsia="Arial" w:hAnsi="Arial"/>
          <w:sz w:val="16"/>
          <w:szCs w:val="16"/>
          <w:color w:val="auto"/>
        </w:rPr>
        <w:t>determined not to adjust the target annual cash bonus opportunities of any of our Named Executive Officers, with the exception of Mr. Schlossman. Based on a review of his target total cash compensation positioning relative to individuals in similar positions in the competitive market and an evaluation of his performance, the compensation committee determined that an increase to the target annual cash bonus opportunity for Mr. Schlossman from $150,000 to $165,000 was appropriate to set his target annual cash opportunity for fiscal 2021 at a level that was comparable to those of similarly-situated executives in the competitive marketplace. As in prior fiscal years, our CEO declined to participate in the Employee Incentive Compensation Plan.</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The target annual cash bonus award opportunities of our Named Executive Officers for fiscal 2021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87630</wp:posOffset>
            </wp:positionV>
            <wp:extent cx="8255" cy="61722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8255" cy="61722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87630</wp:posOffset>
            </wp:positionV>
            <wp:extent cx="8890" cy="61722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8890" cy="617220"/>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87630</wp:posOffset>
            </wp:positionV>
            <wp:extent cx="8255" cy="61722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8255" cy="617220"/>
                    </a:xfrm>
                    <a:prstGeom prst="rect">
                      <a:avLst/>
                    </a:prstGeom>
                    <a:noFill/>
                  </pic:spPr>
                </pic:pic>
              </a:graphicData>
            </a:graphic>
          </wp:anchor>
        </w:drawing>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280" w:type="dxa"/>
            <w:vAlign w:val="bottom"/>
            <w:shd w:val="clear" w:color="auto" w:fill="000000"/>
          </w:tcPr>
          <w:p>
            <w:pPr>
              <w:spacing w:after="0"/>
              <w:rPr>
                <w:sz w:val="17"/>
                <w:szCs w:val="17"/>
                <w:color w:val="auto"/>
              </w:rPr>
            </w:pPr>
          </w:p>
        </w:tc>
        <w:tc>
          <w:tcPr>
            <w:tcW w:w="2500" w:type="dxa"/>
            <w:vAlign w:val="bottom"/>
            <w:shd w:val="clear" w:color="auto" w:fill="2B338D"/>
          </w:tcPr>
          <w:p>
            <w:pPr>
              <w:jc w:val="right"/>
              <w:ind w:right="164"/>
              <w:spacing w:after="0"/>
              <w:rPr>
                <w:sz w:val="20"/>
                <w:szCs w:val="20"/>
                <w:color w:val="auto"/>
              </w:rPr>
            </w:pPr>
            <w:r>
              <w:rPr>
                <w:rFonts w:ascii="Arial" w:cs="Arial" w:eastAsia="Arial" w:hAnsi="Arial"/>
                <w:sz w:val="16"/>
                <w:szCs w:val="16"/>
                <w:b w:val="1"/>
                <w:bCs w:val="1"/>
                <w:color w:val="FFFFFF"/>
              </w:rPr>
              <w:t>Fiscal 2020 Target Annual</w:t>
            </w:r>
          </w:p>
        </w:tc>
        <w:tc>
          <w:tcPr>
            <w:tcW w:w="2480" w:type="dxa"/>
            <w:vAlign w:val="bottom"/>
            <w:shd w:val="clear" w:color="auto" w:fill="009ADA"/>
          </w:tcPr>
          <w:p>
            <w:pPr>
              <w:jc w:val="right"/>
              <w:ind w:right="144"/>
              <w:spacing w:after="0"/>
              <w:rPr>
                <w:sz w:val="20"/>
                <w:szCs w:val="20"/>
                <w:color w:val="auto"/>
              </w:rPr>
            </w:pPr>
            <w:r>
              <w:rPr>
                <w:rFonts w:ascii="Arial" w:cs="Arial" w:eastAsia="Arial" w:hAnsi="Arial"/>
                <w:sz w:val="16"/>
                <w:szCs w:val="16"/>
                <w:b w:val="1"/>
                <w:bCs w:val="1"/>
                <w:color w:val="FFFFFF"/>
              </w:rPr>
              <w:t>Fiscal 2021 Target Annual</w:t>
            </w:r>
          </w:p>
        </w:tc>
        <w:tc>
          <w:tcPr>
            <w:tcW w:w="1960" w:type="dxa"/>
            <w:vAlign w:val="bottom"/>
            <w:shd w:val="clear" w:color="auto" w:fill="929292"/>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280" w:type="dxa"/>
            <w:vAlign w:val="bottom"/>
            <w:shd w:val="clear" w:color="auto" w:fill="000000"/>
          </w:tcPr>
          <w:p>
            <w:pPr>
              <w:spacing w:after="0"/>
              <w:rPr>
                <w:sz w:val="16"/>
                <w:szCs w:val="16"/>
                <w:color w:val="auto"/>
              </w:rPr>
            </w:pPr>
          </w:p>
        </w:tc>
        <w:tc>
          <w:tcPr>
            <w:tcW w:w="2500" w:type="dxa"/>
            <w:vAlign w:val="bottom"/>
            <w:shd w:val="clear" w:color="auto" w:fill="2B338D"/>
          </w:tcPr>
          <w:p>
            <w:pPr>
              <w:jc w:val="right"/>
              <w:ind w:right="164"/>
              <w:spacing w:after="0"/>
              <w:rPr>
                <w:sz w:val="20"/>
                <w:szCs w:val="20"/>
                <w:color w:val="auto"/>
              </w:rPr>
            </w:pPr>
            <w:r>
              <w:rPr>
                <w:rFonts w:ascii="Arial" w:cs="Arial" w:eastAsia="Arial" w:hAnsi="Arial"/>
                <w:sz w:val="16"/>
                <w:szCs w:val="16"/>
                <w:b w:val="1"/>
                <w:bCs w:val="1"/>
                <w:color w:val="FFFFFF"/>
              </w:rPr>
              <w:t>Cash Bonus Award</w:t>
            </w:r>
          </w:p>
        </w:tc>
        <w:tc>
          <w:tcPr>
            <w:tcW w:w="2480" w:type="dxa"/>
            <w:vAlign w:val="bottom"/>
            <w:shd w:val="clear" w:color="auto" w:fill="009ADA"/>
          </w:tcPr>
          <w:p>
            <w:pPr>
              <w:jc w:val="right"/>
              <w:ind w:right="144"/>
              <w:spacing w:after="0"/>
              <w:rPr>
                <w:sz w:val="20"/>
                <w:szCs w:val="20"/>
                <w:color w:val="auto"/>
              </w:rPr>
            </w:pPr>
            <w:r>
              <w:rPr>
                <w:rFonts w:ascii="Arial" w:cs="Arial" w:eastAsia="Arial" w:hAnsi="Arial"/>
                <w:sz w:val="16"/>
                <w:szCs w:val="16"/>
                <w:b w:val="1"/>
                <w:bCs w:val="1"/>
                <w:color w:val="FFFFFF"/>
              </w:rPr>
              <w:t>Cash Bonus Award</w:t>
            </w:r>
          </w:p>
        </w:tc>
        <w:tc>
          <w:tcPr>
            <w:tcW w:w="1960" w:type="dxa"/>
            <w:vAlign w:val="bottom"/>
            <w:shd w:val="clear" w:color="auto" w:fill="929292"/>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280" w:type="dxa"/>
            <w:vAlign w:val="bottom"/>
            <w:shd w:val="clear" w:color="auto" w:fill="000000"/>
          </w:tcPr>
          <w:p>
            <w:pPr>
              <w:spacing w:after="0"/>
              <w:rPr>
                <w:sz w:val="18"/>
                <w:szCs w:val="18"/>
                <w:color w:val="auto"/>
              </w:rPr>
            </w:pPr>
          </w:p>
        </w:tc>
        <w:tc>
          <w:tcPr>
            <w:tcW w:w="2500" w:type="dxa"/>
            <w:vAlign w:val="bottom"/>
            <w:shd w:val="clear" w:color="auto" w:fill="2B338D"/>
          </w:tcPr>
          <w:p>
            <w:pPr>
              <w:jc w:val="right"/>
              <w:ind w:right="164"/>
              <w:spacing w:after="0"/>
              <w:rPr>
                <w:sz w:val="20"/>
                <w:szCs w:val="20"/>
                <w:color w:val="auto"/>
              </w:rPr>
            </w:pPr>
            <w:r>
              <w:rPr>
                <w:rFonts w:ascii="Arial" w:cs="Arial" w:eastAsia="Arial" w:hAnsi="Arial"/>
                <w:sz w:val="16"/>
                <w:szCs w:val="16"/>
                <w:b w:val="1"/>
                <w:bCs w:val="1"/>
                <w:color w:val="FFFFFF"/>
              </w:rPr>
              <w:t>Opportunity</w:t>
            </w:r>
          </w:p>
        </w:tc>
        <w:tc>
          <w:tcPr>
            <w:tcW w:w="2480" w:type="dxa"/>
            <w:vAlign w:val="bottom"/>
            <w:shd w:val="clear" w:color="auto" w:fill="009ADA"/>
          </w:tcPr>
          <w:p>
            <w:pPr>
              <w:jc w:val="right"/>
              <w:ind w:right="144"/>
              <w:spacing w:after="0"/>
              <w:rPr>
                <w:sz w:val="20"/>
                <w:szCs w:val="20"/>
                <w:color w:val="auto"/>
              </w:rPr>
            </w:pPr>
            <w:r>
              <w:rPr>
                <w:rFonts w:ascii="Arial" w:cs="Arial" w:eastAsia="Arial" w:hAnsi="Arial"/>
                <w:sz w:val="16"/>
                <w:szCs w:val="16"/>
                <w:b w:val="1"/>
                <w:bCs w:val="1"/>
                <w:color w:val="FFFFFF"/>
              </w:rPr>
              <w:t>Opportunity</w:t>
            </w:r>
          </w:p>
        </w:tc>
        <w:tc>
          <w:tcPr>
            <w:tcW w:w="1960" w:type="dxa"/>
            <w:vAlign w:val="bottom"/>
            <w:shd w:val="clear" w:color="auto" w:fill="929292"/>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280" w:type="dxa"/>
            <w:vAlign w:val="bottom"/>
            <w:vMerge w:val="restart"/>
            <w:shd w:val="clear" w:color="auto" w:fill="000000"/>
          </w:tcPr>
          <w:p>
            <w:pPr>
              <w:ind w:left="100"/>
              <w:spacing w:after="0"/>
              <w:rPr>
                <w:sz w:val="20"/>
                <w:szCs w:val="20"/>
                <w:color w:val="auto"/>
              </w:rPr>
            </w:pPr>
            <w:r>
              <w:rPr>
                <w:rFonts w:ascii="Arial" w:cs="Arial" w:eastAsia="Arial" w:hAnsi="Arial"/>
                <w:sz w:val="16"/>
                <w:szCs w:val="16"/>
                <w:b w:val="1"/>
                <w:bCs w:val="1"/>
                <w:color w:val="FFFFFF"/>
              </w:rPr>
              <w:t>Named Executive Officer</w:t>
            </w:r>
          </w:p>
        </w:tc>
        <w:tc>
          <w:tcPr>
            <w:tcW w:w="2500" w:type="dxa"/>
            <w:vAlign w:val="bottom"/>
            <w:shd w:val="clear" w:color="auto" w:fill="2B338D"/>
          </w:tcPr>
          <w:p>
            <w:pPr>
              <w:jc w:val="right"/>
              <w:ind w:right="164"/>
              <w:spacing w:after="0"/>
              <w:rPr>
                <w:sz w:val="20"/>
                <w:szCs w:val="20"/>
                <w:color w:val="auto"/>
              </w:rPr>
            </w:pPr>
            <w:r>
              <w:rPr>
                <w:rFonts w:ascii="Arial" w:cs="Arial" w:eastAsia="Arial" w:hAnsi="Arial"/>
                <w:sz w:val="16"/>
                <w:szCs w:val="16"/>
                <w:b w:val="1"/>
                <w:bCs w:val="1"/>
                <w:color w:val="FFFFFF"/>
              </w:rPr>
              <w:t>($)</w:t>
            </w:r>
          </w:p>
        </w:tc>
        <w:tc>
          <w:tcPr>
            <w:tcW w:w="2480" w:type="dxa"/>
            <w:vAlign w:val="bottom"/>
            <w:shd w:val="clear" w:color="auto" w:fill="009ADA"/>
          </w:tcPr>
          <w:p>
            <w:pPr>
              <w:jc w:val="right"/>
              <w:ind w:right="144"/>
              <w:spacing w:after="0"/>
              <w:rPr>
                <w:sz w:val="20"/>
                <w:szCs w:val="20"/>
                <w:color w:val="auto"/>
              </w:rPr>
            </w:pPr>
            <w:r>
              <w:rPr>
                <w:rFonts w:ascii="Arial" w:cs="Arial" w:eastAsia="Arial" w:hAnsi="Arial"/>
                <w:sz w:val="16"/>
                <w:szCs w:val="16"/>
                <w:b w:val="1"/>
                <w:bCs w:val="1"/>
                <w:color w:val="FFFFFF"/>
              </w:rPr>
              <w:t>($)</w:t>
            </w:r>
          </w:p>
        </w:tc>
        <w:tc>
          <w:tcPr>
            <w:tcW w:w="1960" w:type="dxa"/>
            <w:vAlign w:val="bottom"/>
            <w:vMerge w:val="restart"/>
            <w:shd w:val="clear" w:color="auto" w:fill="929292"/>
          </w:tcPr>
          <w:p>
            <w:pPr>
              <w:ind w:left="80"/>
              <w:spacing w:after="0"/>
              <w:rPr>
                <w:sz w:val="20"/>
                <w:szCs w:val="20"/>
                <w:color w:val="auto"/>
              </w:rPr>
            </w:pPr>
            <w:r>
              <w:rPr>
                <w:rFonts w:ascii="Arial" w:cs="Arial" w:eastAsia="Arial" w:hAnsi="Arial"/>
                <w:sz w:val="16"/>
                <w:szCs w:val="16"/>
                <w:b w:val="1"/>
                <w:bCs w:val="1"/>
                <w:color w:val="FFFFFF"/>
              </w:rPr>
              <w:t>Percentage Adjustment</w:t>
            </w:r>
          </w:p>
        </w:tc>
        <w:tc>
          <w:tcPr>
            <w:tcW w:w="0" w:type="dxa"/>
            <w:vAlign w:val="bottom"/>
          </w:tcPr>
          <w:p>
            <w:pPr>
              <w:spacing w:after="0"/>
              <w:rPr>
                <w:sz w:val="1"/>
                <w:szCs w:val="1"/>
                <w:color w:val="auto"/>
              </w:rPr>
            </w:pPr>
          </w:p>
        </w:tc>
      </w:tr>
      <w:tr>
        <w:trPr>
          <w:trHeight w:val="54"/>
        </w:trPr>
        <w:tc>
          <w:tcPr>
            <w:tcW w:w="4280" w:type="dxa"/>
            <w:vAlign w:val="bottom"/>
            <w:vMerge w:val="continue"/>
            <w:shd w:val="clear" w:color="auto" w:fill="000000"/>
          </w:tcPr>
          <w:p>
            <w:pPr>
              <w:spacing w:after="0"/>
              <w:rPr>
                <w:sz w:val="4"/>
                <w:szCs w:val="4"/>
                <w:color w:val="auto"/>
              </w:rPr>
            </w:pPr>
          </w:p>
        </w:tc>
        <w:tc>
          <w:tcPr>
            <w:tcW w:w="2500" w:type="dxa"/>
            <w:vAlign w:val="bottom"/>
            <w:shd w:val="clear" w:color="auto" w:fill="2B338D"/>
          </w:tcPr>
          <w:p>
            <w:pPr>
              <w:spacing w:after="0"/>
              <w:rPr>
                <w:sz w:val="4"/>
                <w:szCs w:val="4"/>
                <w:color w:val="auto"/>
              </w:rPr>
            </w:pPr>
          </w:p>
        </w:tc>
        <w:tc>
          <w:tcPr>
            <w:tcW w:w="2480" w:type="dxa"/>
            <w:vAlign w:val="bottom"/>
            <w:shd w:val="clear" w:color="auto" w:fill="009ADA"/>
          </w:tcPr>
          <w:p>
            <w:pPr>
              <w:spacing w:after="0"/>
              <w:rPr>
                <w:sz w:val="4"/>
                <w:szCs w:val="4"/>
                <w:color w:val="auto"/>
              </w:rPr>
            </w:pPr>
          </w:p>
        </w:tc>
        <w:tc>
          <w:tcPr>
            <w:tcW w:w="1960" w:type="dxa"/>
            <w:vAlign w:val="bottom"/>
            <w:vMerge w:val="continue"/>
            <w:shd w:val="clear" w:color="auto" w:fill="929292"/>
          </w:tcPr>
          <w:p>
            <w:pPr>
              <w:spacing w:after="0"/>
              <w:rPr>
                <w:sz w:val="4"/>
                <w:szCs w:val="4"/>
                <w:color w:val="auto"/>
              </w:rPr>
            </w:pPr>
          </w:p>
        </w:tc>
        <w:tc>
          <w:tcPr>
            <w:tcW w:w="0" w:type="dxa"/>
            <w:vAlign w:val="bottom"/>
          </w:tcPr>
          <w:p>
            <w:pPr>
              <w:spacing w:after="0"/>
              <w:rPr>
                <w:sz w:val="1"/>
                <w:szCs w:val="1"/>
                <w:color w:val="auto"/>
              </w:rPr>
            </w:pPr>
          </w:p>
        </w:tc>
      </w:tr>
      <w:tr>
        <w:trPr>
          <w:trHeight w:val="73"/>
        </w:trPr>
        <w:tc>
          <w:tcPr>
            <w:tcW w:w="4280" w:type="dxa"/>
            <w:vAlign w:val="bottom"/>
            <w:shd w:val="clear" w:color="auto" w:fill="000000"/>
          </w:tcPr>
          <w:p>
            <w:pPr>
              <w:spacing w:after="0"/>
              <w:rPr>
                <w:sz w:val="6"/>
                <w:szCs w:val="6"/>
                <w:color w:val="auto"/>
              </w:rPr>
            </w:pPr>
          </w:p>
        </w:tc>
        <w:tc>
          <w:tcPr>
            <w:tcW w:w="2500" w:type="dxa"/>
            <w:vAlign w:val="bottom"/>
            <w:shd w:val="clear" w:color="auto" w:fill="2B338D"/>
          </w:tcPr>
          <w:p>
            <w:pPr>
              <w:spacing w:after="0"/>
              <w:rPr>
                <w:sz w:val="6"/>
                <w:szCs w:val="6"/>
                <w:color w:val="auto"/>
              </w:rPr>
            </w:pPr>
          </w:p>
        </w:tc>
        <w:tc>
          <w:tcPr>
            <w:tcW w:w="2480" w:type="dxa"/>
            <w:vAlign w:val="bottom"/>
            <w:shd w:val="clear" w:color="auto" w:fill="009ADA"/>
          </w:tcPr>
          <w:p>
            <w:pPr>
              <w:spacing w:after="0"/>
              <w:rPr>
                <w:sz w:val="6"/>
                <w:szCs w:val="6"/>
                <w:color w:val="auto"/>
              </w:rPr>
            </w:pPr>
          </w:p>
        </w:tc>
        <w:tc>
          <w:tcPr>
            <w:tcW w:w="1960" w:type="dxa"/>
            <w:vAlign w:val="bottom"/>
            <w:shd w:val="clear" w:color="auto" w:fill="929292"/>
          </w:tcPr>
          <w:p>
            <w:pPr>
              <w:spacing w:after="0"/>
              <w:rPr>
                <w:sz w:val="6"/>
                <w:szCs w:val="6"/>
                <w:color w:val="auto"/>
              </w:rPr>
            </w:pPr>
          </w:p>
        </w:tc>
        <w:tc>
          <w:tcPr>
            <w:tcW w:w="0" w:type="dxa"/>
            <w:vAlign w:val="bottom"/>
          </w:tcPr>
          <w:p>
            <w:pPr>
              <w:spacing w:after="0"/>
              <w:rPr>
                <w:sz w:val="1"/>
                <w:szCs w:val="1"/>
                <w:color w:val="auto"/>
              </w:rPr>
            </w:pPr>
          </w:p>
        </w:tc>
      </w:tr>
      <w:tr>
        <w:trPr>
          <w:trHeight w:val="231"/>
        </w:trPr>
        <w:tc>
          <w:tcPr>
            <w:tcW w:w="4280" w:type="dxa"/>
            <w:vAlign w:val="bottom"/>
          </w:tcPr>
          <w:p>
            <w:pPr>
              <w:ind w:left="100"/>
              <w:spacing w:after="0"/>
              <w:rPr>
                <w:sz w:val="20"/>
                <w:szCs w:val="20"/>
                <w:color w:val="auto"/>
              </w:rPr>
            </w:pPr>
            <w:r>
              <w:rPr>
                <w:rFonts w:ascii="Arial" w:cs="Arial" w:eastAsia="Arial" w:hAnsi="Arial"/>
                <w:sz w:val="14"/>
                <w:szCs w:val="14"/>
                <w:b w:val="1"/>
                <w:bCs w:val="1"/>
                <w:color w:val="auto"/>
              </w:rPr>
              <w:t>Mr. Chaudhry</w:t>
            </w:r>
          </w:p>
        </w:tc>
        <w:tc>
          <w:tcPr>
            <w:tcW w:w="2500" w:type="dxa"/>
            <w:vAlign w:val="bottom"/>
          </w:tcPr>
          <w:p>
            <w:pPr>
              <w:jc w:val="right"/>
              <w:ind w:right="84"/>
              <w:spacing w:after="0"/>
              <w:rPr>
                <w:sz w:val="20"/>
                <w:szCs w:val="20"/>
                <w:color w:val="auto"/>
              </w:rPr>
            </w:pPr>
            <w:r>
              <w:rPr>
                <w:rFonts w:ascii="Arial" w:cs="Arial" w:eastAsia="Arial" w:hAnsi="Arial"/>
                <w:sz w:val="14"/>
                <w:szCs w:val="14"/>
                <w:color w:val="auto"/>
              </w:rPr>
              <w:t>—</w:t>
            </w:r>
          </w:p>
        </w:tc>
        <w:tc>
          <w:tcPr>
            <w:tcW w:w="2480" w:type="dxa"/>
            <w:vAlign w:val="bottom"/>
          </w:tcPr>
          <w:p>
            <w:pPr>
              <w:jc w:val="right"/>
              <w:ind w:right="64"/>
              <w:spacing w:after="0"/>
              <w:rPr>
                <w:sz w:val="20"/>
                <w:szCs w:val="20"/>
                <w:color w:val="auto"/>
              </w:rPr>
            </w:pPr>
            <w:r>
              <w:rPr>
                <w:rFonts w:ascii="Arial" w:cs="Arial" w:eastAsia="Arial" w:hAnsi="Arial"/>
                <w:sz w:val="14"/>
                <w:szCs w:val="14"/>
                <w:color w:val="auto"/>
              </w:rPr>
              <w:t>—</w:t>
            </w:r>
          </w:p>
        </w:tc>
        <w:tc>
          <w:tcPr>
            <w:tcW w:w="196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3"/>
        </w:trPr>
        <w:tc>
          <w:tcPr>
            <w:tcW w:w="428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4280" w:type="dxa"/>
            <w:vAlign w:val="bottom"/>
          </w:tcPr>
          <w:p>
            <w:pPr>
              <w:ind w:left="100"/>
              <w:spacing w:after="0"/>
              <w:rPr>
                <w:sz w:val="20"/>
                <w:szCs w:val="20"/>
                <w:color w:val="auto"/>
              </w:rPr>
            </w:pPr>
            <w:r>
              <w:rPr>
                <w:rFonts w:ascii="Arial" w:cs="Arial" w:eastAsia="Arial" w:hAnsi="Arial"/>
                <w:sz w:val="14"/>
                <w:szCs w:val="14"/>
                <w:b w:val="1"/>
                <w:bCs w:val="1"/>
                <w:color w:val="auto"/>
              </w:rPr>
              <w:t>Mr. Canessa</w:t>
            </w:r>
          </w:p>
        </w:tc>
        <w:tc>
          <w:tcPr>
            <w:tcW w:w="2500" w:type="dxa"/>
            <w:vAlign w:val="bottom"/>
          </w:tcPr>
          <w:p>
            <w:pPr>
              <w:jc w:val="right"/>
              <w:ind w:right="84"/>
              <w:spacing w:after="0"/>
              <w:rPr>
                <w:sz w:val="20"/>
                <w:szCs w:val="20"/>
                <w:color w:val="auto"/>
              </w:rPr>
            </w:pPr>
            <w:r>
              <w:rPr>
                <w:rFonts w:ascii="Arial" w:cs="Arial" w:eastAsia="Arial" w:hAnsi="Arial"/>
                <w:sz w:val="14"/>
                <w:szCs w:val="14"/>
                <w:color w:val="auto"/>
              </w:rPr>
              <w:t>250,000</w:t>
            </w:r>
          </w:p>
        </w:tc>
        <w:tc>
          <w:tcPr>
            <w:tcW w:w="2480" w:type="dxa"/>
            <w:vAlign w:val="bottom"/>
          </w:tcPr>
          <w:p>
            <w:pPr>
              <w:jc w:val="right"/>
              <w:ind w:right="64"/>
              <w:spacing w:after="0"/>
              <w:rPr>
                <w:sz w:val="20"/>
                <w:szCs w:val="20"/>
                <w:color w:val="auto"/>
              </w:rPr>
            </w:pPr>
            <w:r>
              <w:rPr>
                <w:rFonts w:ascii="Arial" w:cs="Arial" w:eastAsia="Arial" w:hAnsi="Arial"/>
                <w:sz w:val="14"/>
                <w:szCs w:val="14"/>
                <w:color w:val="auto"/>
              </w:rPr>
              <w:t>250,000</w:t>
            </w:r>
          </w:p>
        </w:tc>
        <w:tc>
          <w:tcPr>
            <w:tcW w:w="196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3"/>
        </w:trPr>
        <w:tc>
          <w:tcPr>
            <w:tcW w:w="428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4280" w:type="dxa"/>
            <w:vAlign w:val="bottom"/>
          </w:tcPr>
          <w:p>
            <w:pPr>
              <w:ind w:left="100"/>
              <w:spacing w:after="0"/>
              <w:rPr>
                <w:sz w:val="20"/>
                <w:szCs w:val="20"/>
                <w:color w:val="auto"/>
              </w:rPr>
            </w:pPr>
            <w:r>
              <w:rPr>
                <w:rFonts w:ascii="Arial" w:cs="Arial" w:eastAsia="Arial" w:hAnsi="Arial"/>
                <w:sz w:val="14"/>
                <w:szCs w:val="14"/>
                <w:b w:val="1"/>
                <w:bCs w:val="1"/>
                <w:color w:val="auto"/>
              </w:rPr>
              <w:t>Mr. Rajic</w:t>
            </w:r>
          </w:p>
        </w:tc>
        <w:tc>
          <w:tcPr>
            <w:tcW w:w="2500" w:type="dxa"/>
            <w:vAlign w:val="bottom"/>
          </w:tcPr>
          <w:p>
            <w:pPr>
              <w:jc w:val="right"/>
              <w:ind w:right="84"/>
              <w:spacing w:after="0"/>
              <w:rPr>
                <w:sz w:val="20"/>
                <w:szCs w:val="20"/>
                <w:color w:val="auto"/>
              </w:rPr>
            </w:pPr>
            <w:r>
              <w:rPr>
                <w:rFonts w:ascii="Arial" w:cs="Arial" w:eastAsia="Arial" w:hAnsi="Arial"/>
                <w:sz w:val="14"/>
                <w:szCs w:val="14"/>
                <w:color w:val="auto"/>
              </w:rPr>
              <w:t>400,000</w:t>
            </w:r>
          </w:p>
        </w:tc>
        <w:tc>
          <w:tcPr>
            <w:tcW w:w="2480" w:type="dxa"/>
            <w:vAlign w:val="bottom"/>
          </w:tcPr>
          <w:p>
            <w:pPr>
              <w:jc w:val="right"/>
              <w:ind w:right="64"/>
              <w:spacing w:after="0"/>
              <w:rPr>
                <w:sz w:val="20"/>
                <w:szCs w:val="20"/>
                <w:color w:val="auto"/>
              </w:rPr>
            </w:pPr>
            <w:r>
              <w:rPr>
                <w:rFonts w:ascii="Arial" w:cs="Arial" w:eastAsia="Arial" w:hAnsi="Arial"/>
                <w:sz w:val="14"/>
                <w:szCs w:val="14"/>
                <w:color w:val="auto"/>
              </w:rPr>
              <w:t>400,000</w:t>
            </w:r>
          </w:p>
        </w:tc>
        <w:tc>
          <w:tcPr>
            <w:tcW w:w="196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3"/>
        </w:trPr>
        <w:tc>
          <w:tcPr>
            <w:tcW w:w="428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4280" w:type="dxa"/>
            <w:vAlign w:val="bottom"/>
          </w:tcPr>
          <w:p>
            <w:pPr>
              <w:ind w:left="100"/>
              <w:spacing w:after="0"/>
              <w:rPr>
                <w:sz w:val="20"/>
                <w:szCs w:val="20"/>
                <w:color w:val="auto"/>
              </w:rPr>
            </w:pPr>
            <w:r>
              <w:rPr>
                <w:rFonts w:ascii="Arial" w:cs="Arial" w:eastAsia="Arial" w:hAnsi="Arial"/>
                <w:sz w:val="14"/>
                <w:szCs w:val="14"/>
                <w:b w:val="1"/>
                <w:bCs w:val="1"/>
                <w:color w:val="auto"/>
              </w:rPr>
              <w:t>Dr. Sinha</w:t>
            </w:r>
          </w:p>
        </w:tc>
        <w:tc>
          <w:tcPr>
            <w:tcW w:w="2500" w:type="dxa"/>
            <w:vAlign w:val="bottom"/>
          </w:tcPr>
          <w:p>
            <w:pPr>
              <w:jc w:val="right"/>
              <w:ind w:right="84"/>
              <w:spacing w:after="0"/>
              <w:rPr>
                <w:sz w:val="20"/>
                <w:szCs w:val="20"/>
                <w:color w:val="auto"/>
              </w:rPr>
            </w:pPr>
            <w:r>
              <w:rPr>
                <w:rFonts w:ascii="Arial" w:cs="Arial" w:eastAsia="Arial" w:hAnsi="Arial"/>
                <w:sz w:val="14"/>
                <w:szCs w:val="14"/>
                <w:color w:val="auto"/>
              </w:rPr>
              <w:t>250,000</w:t>
            </w:r>
          </w:p>
        </w:tc>
        <w:tc>
          <w:tcPr>
            <w:tcW w:w="2480" w:type="dxa"/>
            <w:vAlign w:val="bottom"/>
          </w:tcPr>
          <w:p>
            <w:pPr>
              <w:jc w:val="right"/>
              <w:ind w:right="64"/>
              <w:spacing w:after="0"/>
              <w:rPr>
                <w:sz w:val="20"/>
                <w:szCs w:val="20"/>
                <w:color w:val="auto"/>
              </w:rPr>
            </w:pPr>
            <w:r>
              <w:rPr>
                <w:rFonts w:ascii="Arial" w:cs="Arial" w:eastAsia="Arial" w:hAnsi="Arial"/>
                <w:sz w:val="14"/>
                <w:szCs w:val="14"/>
                <w:color w:val="auto"/>
              </w:rPr>
              <w:t>250,000</w:t>
            </w:r>
          </w:p>
        </w:tc>
        <w:tc>
          <w:tcPr>
            <w:tcW w:w="196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3"/>
        </w:trPr>
        <w:tc>
          <w:tcPr>
            <w:tcW w:w="428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4280" w:type="dxa"/>
            <w:vAlign w:val="bottom"/>
          </w:tcPr>
          <w:p>
            <w:pPr>
              <w:ind w:left="100"/>
              <w:spacing w:after="0"/>
              <w:rPr>
                <w:sz w:val="20"/>
                <w:szCs w:val="20"/>
                <w:color w:val="auto"/>
              </w:rPr>
            </w:pPr>
            <w:r>
              <w:rPr>
                <w:rFonts w:ascii="Arial" w:cs="Arial" w:eastAsia="Arial" w:hAnsi="Arial"/>
                <w:sz w:val="14"/>
                <w:szCs w:val="14"/>
                <w:b w:val="1"/>
                <w:bCs w:val="1"/>
                <w:color w:val="auto"/>
              </w:rPr>
              <w:t>Mr. Schlossman</w:t>
            </w:r>
          </w:p>
        </w:tc>
        <w:tc>
          <w:tcPr>
            <w:tcW w:w="2500" w:type="dxa"/>
            <w:vAlign w:val="bottom"/>
          </w:tcPr>
          <w:p>
            <w:pPr>
              <w:jc w:val="right"/>
              <w:ind w:right="84"/>
              <w:spacing w:after="0"/>
              <w:rPr>
                <w:sz w:val="20"/>
                <w:szCs w:val="20"/>
                <w:color w:val="auto"/>
              </w:rPr>
            </w:pPr>
            <w:r>
              <w:rPr>
                <w:rFonts w:ascii="Arial" w:cs="Arial" w:eastAsia="Arial" w:hAnsi="Arial"/>
                <w:sz w:val="14"/>
                <w:szCs w:val="14"/>
                <w:color w:val="auto"/>
              </w:rPr>
              <w:t>150,000</w:t>
            </w:r>
          </w:p>
        </w:tc>
        <w:tc>
          <w:tcPr>
            <w:tcW w:w="2480" w:type="dxa"/>
            <w:vAlign w:val="bottom"/>
          </w:tcPr>
          <w:p>
            <w:pPr>
              <w:jc w:val="right"/>
              <w:ind w:right="64"/>
              <w:spacing w:after="0"/>
              <w:rPr>
                <w:sz w:val="20"/>
                <w:szCs w:val="20"/>
                <w:color w:val="auto"/>
              </w:rPr>
            </w:pPr>
            <w:r>
              <w:rPr>
                <w:rFonts w:ascii="Arial" w:cs="Arial" w:eastAsia="Arial" w:hAnsi="Arial"/>
                <w:sz w:val="14"/>
                <w:szCs w:val="14"/>
                <w:color w:val="auto"/>
              </w:rPr>
              <w:t>165,000</w:t>
            </w:r>
          </w:p>
        </w:tc>
        <w:tc>
          <w:tcPr>
            <w:tcW w:w="1960" w:type="dxa"/>
            <w:vAlign w:val="bottom"/>
          </w:tcPr>
          <w:p>
            <w:pPr>
              <w:jc w:val="center"/>
              <w:spacing w:after="0"/>
              <w:rPr>
                <w:sz w:val="20"/>
                <w:szCs w:val="20"/>
                <w:color w:val="auto"/>
              </w:rPr>
            </w:pPr>
            <w:r>
              <w:rPr>
                <w:rFonts w:ascii="Arial" w:cs="Arial" w:eastAsia="Arial" w:hAnsi="Arial"/>
                <w:sz w:val="14"/>
                <w:szCs w:val="14"/>
                <w:color w:val="auto"/>
                <w:w w:val="99"/>
              </w:rPr>
              <w:t>10%</w:t>
            </w:r>
          </w:p>
        </w:tc>
        <w:tc>
          <w:tcPr>
            <w:tcW w:w="0" w:type="dxa"/>
            <w:vAlign w:val="bottom"/>
          </w:tcPr>
          <w:p>
            <w:pPr>
              <w:spacing w:after="0"/>
              <w:rPr>
                <w:sz w:val="1"/>
                <w:szCs w:val="1"/>
                <w:color w:val="auto"/>
              </w:rPr>
            </w:pPr>
          </w:p>
        </w:tc>
      </w:tr>
      <w:tr>
        <w:trPr>
          <w:trHeight w:val="53"/>
        </w:trPr>
        <w:tc>
          <w:tcPr>
            <w:tcW w:w="428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93" w:lineRule="exact"/>
        <w:rPr>
          <w:sz w:val="20"/>
          <w:szCs w:val="20"/>
          <w:color w:val="auto"/>
        </w:rPr>
      </w:pPr>
    </w:p>
    <w:p>
      <w:pPr>
        <w:ind w:right="100"/>
        <w:spacing w:after="0" w:line="348" w:lineRule="auto"/>
        <w:rPr>
          <w:sz w:val="20"/>
          <w:szCs w:val="20"/>
          <w:color w:val="auto"/>
        </w:rPr>
      </w:pPr>
      <w:r>
        <w:rPr>
          <w:rFonts w:ascii="Arial" w:cs="Arial" w:eastAsia="Arial" w:hAnsi="Arial"/>
          <w:sz w:val="16"/>
          <w:szCs w:val="16"/>
          <w:color w:val="auto"/>
        </w:rPr>
        <w:t>Potential annual cash bonus awards for our Named Executive Officers under the Employee Incentive Compensation Plan could range from zero to 150% of their target annual cash bonus award opportunity.</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color w:val="009ADA"/>
        </w:rPr>
        <w:t>Incentive Plan Performance Metrics</w:t>
      </w:r>
    </w:p>
    <w:p>
      <w:pPr>
        <w:spacing w:after="0" w:line="127" w:lineRule="exact"/>
        <w:rPr>
          <w:sz w:val="20"/>
          <w:szCs w:val="20"/>
          <w:color w:val="auto"/>
        </w:rPr>
      </w:pPr>
    </w:p>
    <w:p>
      <w:pPr>
        <w:spacing w:after="0" w:line="337" w:lineRule="auto"/>
        <w:rPr>
          <w:sz w:val="20"/>
          <w:szCs w:val="20"/>
          <w:color w:val="auto"/>
        </w:rPr>
      </w:pPr>
      <w:r>
        <w:rPr>
          <w:rFonts w:ascii="Arial" w:cs="Arial" w:eastAsia="Arial" w:hAnsi="Arial"/>
          <w:sz w:val="16"/>
          <w:szCs w:val="16"/>
          <w:color w:val="auto"/>
        </w:rPr>
        <w:t>Under the Employee Incentive Compensation Plan, the compensation committee determined the performance metrics and related target levels for the fiscal 2021 annual cash bonus awards. In September 2020, the compensation committee determined that, in the case of our CEO’s executive staff, which included our other Named Executive Officers (the “Senior Executives”), 50% of the bonus pool to be used to make cash bonus awards would be reserved for distribution in the discretion of our CEO (subject to final approval by the compensation committee) based on his evaluation of each Senior Executive’s individual performance and our performance against various corporate metrics. The remaining 50% of the bonus pool to be used to make cash bonus awards would be distributed based on two equally weighted corporate performance metrics: revenue and calculated billings.</w:t>
      </w:r>
    </w:p>
    <w:p>
      <w:pPr>
        <w:spacing w:after="0" w:line="151" w:lineRule="exact"/>
        <w:rPr>
          <w:sz w:val="20"/>
          <w:szCs w:val="20"/>
          <w:color w:val="auto"/>
        </w:rPr>
      </w:pPr>
    </w:p>
    <w:p>
      <w:pPr>
        <w:ind w:right="20"/>
        <w:spacing w:after="0" w:line="341" w:lineRule="auto"/>
        <w:rPr>
          <w:sz w:val="20"/>
          <w:szCs w:val="20"/>
          <w:color w:val="auto"/>
        </w:rPr>
      </w:pPr>
      <w:r>
        <w:rPr>
          <w:rFonts w:ascii="Arial" w:cs="Arial" w:eastAsia="Arial" w:hAnsi="Arial"/>
          <w:sz w:val="16"/>
          <w:szCs w:val="16"/>
          <w:color w:val="auto"/>
        </w:rPr>
        <w:t>The compensation committee selected revenue and calculated billings as the appropriate corporate performance metrics for the Senior Executives because, in its view, these metrics were key indicators of our periodic performance and our progress in executing on our business strategy of focusing on growth and gaining market share.</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For purposes of the Senior Executives’ cash bonus awards:</w:t>
      </w:r>
    </w:p>
    <w:p>
      <w:pPr>
        <w:spacing w:after="0" w:line="215" w:lineRule="exact"/>
        <w:rPr>
          <w:sz w:val="20"/>
          <w:szCs w:val="20"/>
          <w:color w:val="auto"/>
        </w:rPr>
      </w:pPr>
    </w:p>
    <w:p>
      <w:pPr>
        <w:ind w:left="500" w:right="320" w:hanging="168"/>
        <w:spacing w:after="0" w:line="374" w:lineRule="auto"/>
        <w:tabs>
          <w:tab w:leader="none" w:pos="463" w:val="left"/>
        </w:tabs>
        <w:numPr>
          <w:ilvl w:val="0"/>
          <w:numId w:val="44"/>
        </w:numPr>
        <w:rPr>
          <w:rFonts w:ascii="Arial" w:cs="Arial" w:eastAsia="Arial" w:hAnsi="Arial"/>
          <w:sz w:val="13"/>
          <w:szCs w:val="13"/>
          <w:color w:val="auto"/>
        </w:rPr>
      </w:pPr>
      <w:r>
        <w:rPr>
          <w:rFonts w:ascii="Arial" w:cs="Arial" w:eastAsia="Arial" w:hAnsi="Arial"/>
          <w:sz w:val="16"/>
          <w:szCs w:val="16"/>
          <w:b w:val="1"/>
          <w:bCs w:val="1"/>
          <w:color w:val="auto"/>
        </w:rPr>
        <w:t xml:space="preserve">“revenue” </w:t>
      </w:r>
      <w:r>
        <w:rPr>
          <w:rFonts w:ascii="Arial" w:cs="Arial" w:eastAsia="Arial" w:hAnsi="Arial"/>
          <w:sz w:val="16"/>
          <w:szCs w:val="16"/>
          <w:color w:val="auto"/>
        </w:rPr>
        <w:t>represented total revenue calculated in accordance with generally accepted accounting principles, or GAAP, as reported in our audited</w:t>
      </w:r>
      <w:r>
        <w:rPr>
          <w:rFonts w:ascii="Arial" w:cs="Arial" w:eastAsia="Arial" w:hAnsi="Arial"/>
          <w:sz w:val="16"/>
          <w:szCs w:val="16"/>
          <w:b w:val="1"/>
          <w:bCs w:val="1"/>
          <w:color w:val="auto"/>
        </w:rPr>
        <w:t xml:space="preserve"> </w:t>
      </w:r>
      <w:r>
        <w:rPr>
          <w:rFonts w:ascii="Arial" w:cs="Arial" w:eastAsia="Arial" w:hAnsi="Arial"/>
          <w:sz w:val="16"/>
          <w:szCs w:val="16"/>
          <w:color w:val="auto"/>
        </w:rPr>
        <w:t>financial statements; and</w:t>
      </w:r>
    </w:p>
    <w:p>
      <w:pPr>
        <w:spacing w:after="0" w:line="101" w:lineRule="exact"/>
        <w:rPr>
          <w:rFonts w:ascii="Arial" w:cs="Arial" w:eastAsia="Arial" w:hAnsi="Arial"/>
          <w:sz w:val="13"/>
          <w:szCs w:val="13"/>
          <w:color w:val="auto"/>
        </w:rPr>
      </w:pPr>
    </w:p>
    <w:p>
      <w:pPr>
        <w:ind w:left="500" w:right="160" w:hanging="168"/>
        <w:spacing w:after="0" w:line="354" w:lineRule="auto"/>
        <w:tabs>
          <w:tab w:leader="none" w:pos="463" w:val="left"/>
        </w:tabs>
        <w:numPr>
          <w:ilvl w:val="0"/>
          <w:numId w:val="44"/>
        </w:numPr>
        <w:rPr>
          <w:rFonts w:ascii="Arial" w:cs="Arial" w:eastAsia="Arial" w:hAnsi="Arial"/>
          <w:sz w:val="13"/>
          <w:szCs w:val="13"/>
          <w:color w:val="auto"/>
        </w:rPr>
      </w:pPr>
      <w:r>
        <w:rPr>
          <w:rFonts w:ascii="Arial" w:cs="Arial" w:eastAsia="Arial" w:hAnsi="Arial"/>
          <w:sz w:val="16"/>
          <w:szCs w:val="16"/>
          <w:b w:val="1"/>
          <w:bCs w:val="1"/>
          <w:color w:val="auto"/>
        </w:rPr>
        <w:t xml:space="preserve">“calculated billings” </w:t>
      </w:r>
      <w:r>
        <w:rPr>
          <w:rFonts w:ascii="Arial" w:cs="Arial" w:eastAsia="Arial" w:hAnsi="Arial"/>
          <w:sz w:val="16"/>
          <w:szCs w:val="16"/>
          <w:color w:val="auto"/>
        </w:rPr>
        <w:t>represented our total revenue plus the change in deferred revenue in a given fiscal period. Calculated billings in any particular</w:t>
      </w:r>
      <w:r>
        <w:rPr>
          <w:rFonts w:ascii="Arial" w:cs="Arial" w:eastAsia="Arial" w:hAnsi="Arial"/>
          <w:sz w:val="16"/>
          <w:szCs w:val="16"/>
          <w:b w:val="1"/>
          <w:bCs w:val="1"/>
          <w:color w:val="auto"/>
        </w:rPr>
        <w:t xml:space="preserve"> </w:t>
      </w:r>
      <w:r>
        <w:rPr>
          <w:rFonts w:ascii="Arial" w:cs="Arial" w:eastAsia="Arial" w:hAnsi="Arial"/>
          <w:sz w:val="16"/>
          <w:szCs w:val="16"/>
          <w:color w:val="auto"/>
        </w:rPr>
        <w:t>fiscal period aims to reflect amounts invoiced for subscriptions to access our cloud platform, together with related support services for our new and existing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248920</wp:posOffset>
            </wp:positionV>
            <wp:extent cx="342900" cy="21463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42900" cy="214630"/>
                    </a:xfrm>
                    <a:prstGeom prst="rect">
                      <a:avLst/>
                    </a:prstGeom>
                    <a:noFill/>
                  </pic:spPr>
                </pic:pic>
              </a:graphicData>
            </a:graphic>
          </wp:anchor>
        </w:drawing>
      </w:r>
    </w:p>
    <w:p>
      <w:pPr>
        <w:spacing w:after="0" w:line="310" w:lineRule="exact"/>
        <w:rPr>
          <w:sz w:val="20"/>
          <w:szCs w:val="20"/>
          <w:color w:val="auto"/>
        </w:rPr>
      </w:pPr>
    </w:p>
    <w:p>
      <w:pPr>
        <w:jc w:val="both"/>
        <w:ind w:left="5540"/>
        <w:spacing w:after="0"/>
        <w:tabs>
          <w:tab w:leader="none" w:pos="9780" w:val="left"/>
        </w:tabs>
        <w:rPr>
          <w:sz w:val="20"/>
          <w:szCs w:val="20"/>
          <w:color w:val="auto"/>
        </w:rPr>
      </w:pPr>
      <w:r>
        <w:rPr>
          <w:rFonts w:ascii="Arial" w:cs="Arial" w:eastAsia="Arial" w:hAnsi="Arial"/>
          <w:sz w:val="29"/>
          <w:szCs w:val="29"/>
          <w:color w:val="auto"/>
          <w:vertAlign w:val="superscript"/>
        </w:rPr>
        <w:t>47</w:t>
      </w:r>
      <w:r>
        <w:rPr>
          <w:sz w:val="20"/>
          <w:szCs w:val="20"/>
          <w:color w:val="auto"/>
        </w:rPr>
        <w:tab/>
      </w:r>
      <w:r>
        <w:rPr>
          <w:rFonts w:ascii="Arial" w:cs="Arial" w:eastAsia="Arial" w:hAnsi="Arial"/>
          <w:sz w:val="14"/>
          <w:szCs w:val="14"/>
          <w:color w:val="auto"/>
        </w:rPr>
        <w:t>2021 Proxy Statement</w:t>
      </w:r>
    </w:p>
    <w:p>
      <w:pPr>
        <w:sectPr>
          <w:pgSz w:w="11900" w:h="16838" w:orient="portrait"/>
          <w:cols w:equalWidth="0" w:num="1">
            <w:col w:w="11220"/>
          </w:cols>
          <w:pgMar w:left="320" w:top="172" w:right="359" w:bottom="1440" w:gutter="0" w:footer="0" w:header="0"/>
        </w:sectPr>
      </w:pPr>
    </w:p>
    <w:bookmarkStart w:id="51" w:name="page52"/>
    <w:bookmarkEnd w:id="51"/>
    <w:p>
      <w:pPr>
        <w:ind w:left="280"/>
        <w:spacing w:after="0"/>
        <w:rPr>
          <w:sz w:val="20"/>
          <w:szCs w:val="20"/>
          <w:color w:val="auto"/>
        </w:rPr>
      </w:pPr>
      <w:r>
        <w:rPr>
          <w:rFonts w:ascii="Arial" w:cs="Arial" w:eastAsia="Arial" w:hAnsi="Arial"/>
          <w:sz w:val="13"/>
          <w:szCs w:val="13"/>
          <w:b w:val="1"/>
          <w:bCs w:val="1"/>
          <w:color w:val="929292"/>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7470" cy="596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7470" cy="59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480"/>
        <w:spacing w:after="0" w:line="348" w:lineRule="auto"/>
        <w:rPr>
          <w:sz w:val="20"/>
          <w:szCs w:val="20"/>
          <w:color w:val="auto"/>
        </w:rPr>
      </w:pPr>
      <w:r>
        <w:rPr>
          <w:rFonts w:ascii="Arial" w:cs="Arial" w:eastAsia="Arial" w:hAnsi="Arial"/>
          <w:sz w:val="16"/>
          <w:szCs w:val="16"/>
          <w:color w:val="auto"/>
        </w:rPr>
        <w:t>As reflected in our annual operating plan presented to and approved by our board of directors, the target levels established for revenue and calculated billings for the full year of fiscal 2021 by the compensation committee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88900</wp:posOffset>
            </wp:positionV>
            <wp:extent cx="8255" cy="30861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8255" cy="308610"/>
                    </a:xfrm>
                    <a:prstGeom prst="rect">
                      <a:avLst/>
                    </a:prstGeom>
                    <a:noFill/>
                  </pic:spPr>
                </pic:pic>
              </a:graphicData>
            </a:graphic>
          </wp:anchor>
        </w:drawing>
      </w:r>
    </w:p>
    <w:p>
      <w:pPr>
        <w:spacing w:after="0" w:line="120" w:lineRule="exact"/>
        <w:rPr>
          <w:sz w:val="20"/>
          <w:szCs w:val="20"/>
          <w:color w:val="auto"/>
        </w:rPr>
      </w:pPr>
    </w:p>
    <w:tbl>
      <w:tblPr>
        <w:tblLayout w:type="fixed"/>
        <w:tblInd w:w="3400" w:type="dxa"/>
        <w:tblCellMar>
          <w:top w:w="0" w:type="dxa"/>
          <w:left w:w="0" w:type="dxa"/>
          <w:bottom w:w="0" w:type="dxa"/>
          <w:right w:w="0" w:type="dxa"/>
        </w:tblCellMar>
      </w:tblPr>
      <w:tr>
        <w:trPr>
          <w:trHeight w:val="198"/>
        </w:trPr>
        <w:tc>
          <w:tcPr>
            <w:tcW w:w="2460" w:type="dxa"/>
            <w:vAlign w:val="bottom"/>
            <w:shd w:val="clear" w:color="auto" w:fill="000000"/>
          </w:tcPr>
          <w:p>
            <w:pPr>
              <w:spacing w:after="0"/>
              <w:rPr>
                <w:sz w:val="17"/>
                <w:szCs w:val="17"/>
                <w:color w:val="auto"/>
              </w:rPr>
            </w:pPr>
          </w:p>
        </w:tc>
        <w:tc>
          <w:tcPr>
            <w:tcW w:w="2640" w:type="dxa"/>
            <w:vAlign w:val="bottom"/>
            <w:shd w:val="clear" w:color="auto" w:fill="2B338D"/>
          </w:tcPr>
          <w:p>
            <w:pPr>
              <w:jc w:val="right"/>
              <w:ind w:right="84"/>
              <w:spacing w:after="0"/>
              <w:rPr>
                <w:sz w:val="20"/>
                <w:szCs w:val="20"/>
                <w:color w:val="auto"/>
              </w:rPr>
            </w:pPr>
            <w:r>
              <w:rPr>
                <w:rFonts w:ascii="Arial" w:cs="Arial" w:eastAsia="Arial" w:hAnsi="Arial"/>
                <w:sz w:val="16"/>
                <w:szCs w:val="16"/>
                <w:b w:val="1"/>
                <w:bCs w:val="1"/>
                <w:color w:val="FFFFFF"/>
              </w:rPr>
              <w:t>Full Year Fiscal 2021</w:t>
            </w:r>
          </w:p>
        </w:tc>
      </w:tr>
      <w:tr>
        <w:trPr>
          <w:trHeight w:val="215"/>
        </w:trPr>
        <w:tc>
          <w:tcPr>
            <w:tcW w:w="2460" w:type="dxa"/>
            <w:vAlign w:val="bottom"/>
            <w:shd w:val="clear" w:color="auto" w:fill="000000"/>
          </w:tcPr>
          <w:p>
            <w:pPr>
              <w:ind w:left="740"/>
              <w:spacing w:after="0"/>
              <w:rPr>
                <w:sz w:val="20"/>
                <w:szCs w:val="20"/>
                <w:color w:val="auto"/>
              </w:rPr>
            </w:pPr>
            <w:r>
              <w:rPr>
                <w:rFonts w:ascii="Arial" w:cs="Arial" w:eastAsia="Arial" w:hAnsi="Arial"/>
                <w:sz w:val="16"/>
                <w:szCs w:val="16"/>
                <w:b w:val="1"/>
                <w:bCs w:val="1"/>
                <w:color w:val="FFFFFF"/>
              </w:rPr>
              <w:t>Performance Metric</w:t>
            </w:r>
          </w:p>
        </w:tc>
        <w:tc>
          <w:tcPr>
            <w:tcW w:w="2640" w:type="dxa"/>
            <w:vAlign w:val="bottom"/>
            <w:shd w:val="clear" w:color="auto" w:fill="2B338D"/>
          </w:tcPr>
          <w:p>
            <w:pPr>
              <w:jc w:val="right"/>
              <w:ind w:right="84"/>
              <w:spacing w:after="0"/>
              <w:rPr>
                <w:sz w:val="20"/>
                <w:szCs w:val="20"/>
                <w:color w:val="auto"/>
              </w:rPr>
            </w:pPr>
            <w:r>
              <w:rPr>
                <w:rFonts w:ascii="Arial" w:cs="Arial" w:eastAsia="Arial" w:hAnsi="Arial"/>
                <w:sz w:val="16"/>
                <w:szCs w:val="16"/>
                <w:b w:val="1"/>
                <w:bCs w:val="1"/>
                <w:color w:val="FFFFFF"/>
              </w:rPr>
              <w:t>($)</w:t>
            </w:r>
          </w:p>
        </w:tc>
      </w:tr>
      <w:tr>
        <w:trPr>
          <w:trHeight w:val="73"/>
        </w:trPr>
        <w:tc>
          <w:tcPr>
            <w:tcW w:w="2460" w:type="dxa"/>
            <w:vAlign w:val="bottom"/>
            <w:shd w:val="clear" w:color="auto" w:fill="000000"/>
          </w:tcPr>
          <w:p>
            <w:pPr>
              <w:spacing w:after="0"/>
              <w:rPr>
                <w:sz w:val="6"/>
                <w:szCs w:val="6"/>
                <w:color w:val="auto"/>
              </w:rPr>
            </w:pPr>
          </w:p>
        </w:tc>
        <w:tc>
          <w:tcPr>
            <w:tcW w:w="2640" w:type="dxa"/>
            <w:vAlign w:val="bottom"/>
            <w:shd w:val="clear" w:color="auto" w:fill="2B338D"/>
          </w:tcPr>
          <w:p>
            <w:pPr>
              <w:spacing w:after="0"/>
              <w:rPr>
                <w:sz w:val="6"/>
                <w:szCs w:val="6"/>
                <w:color w:val="auto"/>
              </w:rPr>
            </w:pPr>
          </w:p>
        </w:tc>
      </w:tr>
      <w:tr>
        <w:trPr>
          <w:trHeight w:val="204"/>
        </w:trPr>
        <w:tc>
          <w:tcPr>
            <w:tcW w:w="2460" w:type="dxa"/>
            <w:vAlign w:val="bottom"/>
          </w:tcPr>
          <w:p>
            <w:pPr>
              <w:ind w:left="740"/>
              <w:spacing w:after="0"/>
              <w:rPr>
                <w:sz w:val="20"/>
                <w:szCs w:val="20"/>
                <w:color w:val="auto"/>
              </w:rPr>
            </w:pPr>
            <w:r>
              <w:rPr>
                <w:rFonts w:ascii="Arial" w:cs="Arial" w:eastAsia="Arial" w:hAnsi="Arial"/>
                <w:sz w:val="14"/>
                <w:szCs w:val="14"/>
                <w:color w:val="auto"/>
              </w:rPr>
              <w:t>Revenue</w:t>
            </w:r>
          </w:p>
        </w:tc>
        <w:tc>
          <w:tcPr>
            <w:tcW w:w="2640" w:type="dxa"/>
            <w:vAlign w:val="bottom"/>
          </w:tcPr>
          <w:p>
            <w:pPr>
              <w:jc w:val="right"/>
              <w:ind w:right="84"/>
              <w:spacing w:after="0"/>
              <w:rPr>
                <w:sz w:val="20"/>
                <w:szCs w:val="20"/>
                <w:color w:val="auto"/>
              </w:rPr>
            </w:pPr>
            <w:r>
              <w:rPr>
                <w:rFonts w:ascii="Arial" w:cs="Arial" w:eastAsia="Arial" w:hAnsi="Arial"/>
                <w:sz w:val="14"/>
                <w:szCs w:val="14"/>
                <w:color w:val="auto"/>
              </w:rPr>
              <w:t>661,600,000</w:t>
            </w:r>
          </w:p>
        </w:tc>
      </w:tr>
      <w:tr>
        <w:trPr>
          <w:trHeight w:val="26"/>
        </w:trPr>
        <w:tc>
          <w:tcPr>
            <w:tcW w:w="246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r>
      <w:tr>
        <w:trPr>
          <w:trHeight w:val="198"/>
        </w:trPr>
        <w:tc>
          <w:tcPr>
            <w:tcW w:w="2460" w:type="dxa"/>
            <w:vAlign w:val="bottom"/>
          </w:tcPr>
          <w:p>
            <w:pPr>
              <w:ind w:left="740"/>
              <w:spacing w:after="0"/>
              <w:rPr>
                <w:sz w:val="20"/>
                <w:szCs w:val="20"/>
                <w:color w:val="auto"/>
              </w:rPr>
            </w:pPr>
            <w:r>
              <w:rPr>
                <w:rFonts w:ascii="Arial" w:cs="Arial" w:eastAsia="Arial" w:hAnsi="Arial"/>
                <w:sz w:val="14"/>
                <w:szCs w:val="14"/>
                <w:color w:val="auto"/>
              </w:rPr>
              <w:t>Calculated Billings</w:t>
            </w:r>
          </w:p>
        </w:tc>
        <w:tc>
          <w:tcPr>
            <w:tcW w:w="2640" w:type="dxa"/>
            <w:vAlign w:val="bottom"/>
          </w:tcPr>
          <w:p>
            <w:pPr>
              <w:jc w:val="right"/>
              <w:ind w:right="84"/>
              <w:spacing w:after="0"/>
              <w:rPr>
                <w:sz w:val="20"/>
                <w:szCs w:val="20"/>
                <w:color w:val="auto"/>
              </w:rPr>
            </w:pPr>
            <w:r>
              <w:rPr>
                <w:rFonts w:ascii="Arial" w:cs="Arial" w:eastAsia="Arial" w:hAnsi="Arial"/>
                <w:sz w:val="14"/>
                <w:szCs w:val="14"/>
                <w:color w:val="auto"/>
              </w:rPr>
              <w:t>805,000,000</w:t>
            </w:r>
          </w:p>
        </w:tc>
      </w:tr>
      <w:tr>
        <w:trPr>
          <w:trHeight w:val="26"/>
        </w:trPr>
        <w:tc>
          <w:tcPr>
            <w:tcW w:w="246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r>
    </w:tbl>
    <w:p>
      <w:pPr>
        <w:spacing w:after="0" w:line="393" w:lineRule="exact"/>
        <w:rPr>
          <w:sz w:val="20"/>
          <w:szCs w:val="20"/>
          <w:color w:val="auto"/>
        </w:rPr>
      </w:pPr>
    </w:p>
    <w:p>
      <w:pPr>
        <w:ind w:right="660"/>
        <w:spacing w:after="0" w:line="348" w:lineRule="auto"/>
        <w:rPr>
          <w:sz w:val="20"/>
          <w:szCs w:val="20"/>
          <w:color w:val="auto"/>
        </w:rPr>
      </w:pPr>
      <w:r>
        <w:rPr>
          <w:rFonts w:ascii="Arial" w:cs="Arial" w:eastAsia="Arial" w:hAnsi="Arial"/>
          <w:sz w:val="16"/>
          <w:szCs w:val="16"/>
          <w:color w:val="auto"/>
        </w:rPr>
        <w:t>For fiscal 2021, the revenue and calculated billing targets for the Employee Incentive Compensation Plan were significantly greater than the amount achieved in the comparable period for the prior fiscal year and represented a very aggressive target for fiscal 2021.</w:t>
      </w:r>
    </w:p>
    <w:p>
      <w:pPr>
        <w:spacing w:after="0" w:line="141" w:lineRule="exact"/>
        <w:rPr>
          <w:sz w:val="20"/>
          <w:szCs w:val="20"/>
          <w:color w:val="auto"/>
        </w:rPr>
      </w:pPr>
    </w:p>
    <w:p>
      <w:pPr>
        <w:ind w:right="120"/>
        <w:spacing w:after="0" w:line="348" w:lineRule="auto"/>
        <w:rPr>
          <w:sz w:val="20"/>
          <w:szCs w:val="20"/>
          <w:color w:val="auto"/>
        </w:rPr>
      </w:pPr>
      <w:r>
        <w:rPr>
          <w:rFonts w:ascii="Arial" w:cs="Arial" w:eastAsia="Arial" w:hAnsi="Arial"/>
          <w:sz w:val="16"/>
          <w:szCs w:val="16"/>
          <w:color w:val="auto"/>
        </w:rPr>
        <w:t>In addition, the compensation committee determined that our Senior Executives were eligible to earn cash bonus awards to the extent that we achieved the minimum thresholds for revenue and calculated billings for each performance period in fiscal 2021 as set forth in the following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3030855</wp:posOffset>
            </wp:positionH>
            <wp:positionV relativeFrom="paragraph">
              <wp:posOffset>88900</wp:posOffset>
            </wp:positionV>
            <wp:extent cx="8890" cy="18859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8890" cy="188595"/>
                    </a:xfrm>
                    <a:prstGeom prst="rect">
                      <a:avLst/>
                    </a:prstGeom>
                    <a:noFill/>
                  </pic:spPr>
                </pic:pic>
              </a:graphicData>
            </a:graphic>
          </wp:anchor>
        </w:drawing>
        <w:drawing>
          <wp:anchor simplePos="0" relativeHeight="251657728" behindDoc="1" locked="0" layoutInCell="0" allowOverlap="1">
            <wp:simplePos x="0" y="0"/>
            <wp:positionH relativeFrom="column">
              <wp:posOffset>1504950</wp:posOffset>
            </wp:positionH>
            <wp:positionV relativeFrom="paragraph">
              <wp:posOffset>88900</wp:posOffset>
            </wp:positionV>
            <wp:extent cx="8890" cy="18859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8890" cy="188595"/>
                    </a:xfrm>
                    <a:prstGeom prst="rect">
                      <a:avLst/>
                    </a:prstGeom>
                    <a:noFill/>
                  </pic:spPr>
                </pic:pic>
              </a:graphicData>
            </a:graphic>
          </wp:anchor>
        </w:drawing>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380" w:type="dxa"/>
            <w:vAlign w:val="bottom"/>
            <w:gridSpan w:val="2"/>
            <w:shd w:val="clear" w:color="auto" w:fill="000000"/>
          </w:tcPr>
          <w:p>
            <w:pPr>
              <w:jc w:val="center"/>
              <w:spacing w:after="0"/>
              <w:rPr>
                <w:sz w:val="20"/>
                <w:szCs w:val="20"/>
                <w:color w:val="auto"/>
              </w:rPr>
            </w:pPr>
            <w:r>
              <w:rPr>
                <w:rFonts w:ascii="Arial" w:cs="Arial" w:eastAsia="Arial" w:hAnsi="Arial"/>
                <w:sz w:val="16"/>
                <w:szCs w:val="16"/>
                <w:b w:val="1"/>
                <w:bCs w:val="1"/>
                <w:color w:val="FFFFFF"/>
              </w:rPr>
              <w:t>Metric Achievement</w:t>
            </w:r>
          </w:p>
        </w:tc>
        <w:tc>
          <w:tcPr>
            <w:tcW w:w="2400" w:type="dxa"/>
            <w:vAlign w:val="bottom"/>
            <w:shd w:val="clear" w:color="auto" w:fill="2B338D"/>
          </w:tcPr>
          <w:p>
            <w:pPr>
              <w:jc w:val="center"/>
              <w:spacing w:after="0"/>
              <w:rPr>
                <w:sz w:val="20"/>
                <w:szCs w:val="20"/>
                <w:color w:val="auto"/>
              </w:rPr>
            </w:pPr>
            <w:r>
              <w:rPr>
                <w:rFonts w:ascii="Arial" w:cs="Arial" w:eastAsia="Arial" w:hAnsi="Arial"/>
                <w:sz w:val="16"/>
                <w:szCs w:val="16"/>
                <w:b w:val="1"/>
                <w:bCs w:val="1"/>
                <w:color w:val="FFFFFF"/>
              </w:rPr>
              <w:t>Payment</w:t>
            </w:r>
          </w:p>
        </w:tc>
        <w:tc>
          <w:tcPr>
            <w:tcW w:w="6460" w:type="dxa"/>
            <w:vAlign w:val="bottom"/>
            <w:shd w:val="clear" w:color="auto" w:fill="009ADA"/>
          </w:tcPr>
          <w:p>
            <w:pPr>
              <w:jc w:val="center"/>
              <w:spacing w:after="0"/>
              <w:rPr>
                <w:sz w:val="20"/>
                <w:szCs w:val="20"/>
                <w:color w:val="auto"/>
              </w:rPr>
            </w:pPr>
            <w:r>
              <w:rPr>
                <w:rFonts w:ascii="Arial" w:cs="Arial" w:eastAsia="Arial" w:hAnsi="Arial"/>
                <w:sz w:val="16"/>
                <w:szCs w:val="16"/>
                <w:b w:val="1"/>
                <w:bCs w:val="1"/>
                <w:color w:val="FFFFFF"/>
              </w:rPr>
              <w:t>Bonus Attainment</w:t>
            </w:r>
          </w:p>
        </w:tc>
      </w:tr>
      <w:tr>
        <w:trPr>
          <w:trHeight w:val="62"/>
        </w:trPr>
        <w:tc>
          <w:tcPr>
            <w:tcW w:w="2380" w:type="dxa"/>
            <w:vAlign w:val="bottom"/>
            <w:gridSpan w:val="2"/>
            <w:shd w:val="clear" w:color="auto" w:fill="000000"/>
          </w:tcPr>
          <w:p>
            <w:pPr>
              <w:spacing w:after="0"/>
              <w:rPr>
                <w:sz w:val="5"/>
                <w:szCs w:val="5"/>
                <w:color w:val="auto"/>
              </w:rPr>
            </w:pPr>
          </w:p>
        </w:tc>
        <w:tc>
          <w:tcPr>
            <w:tcW w:w="2400" w:type="dxa"/>
            <w:vAlign w:val="bottom"/>
            <w:shd w:val="clear" w:color="auto" w:fill="2B338D"/>
          </w:tcPr>
          <w:p>
            <w:pPr>
              <w:spacing w:after="0"/>
              <w:rPr>
                <w:sz w:val="5"/>
                <w:szCs w:val="5"/>
                <w:color w:val="auto"/>
              </w:rPr>
            </w:pPr>
          </w:p>
        </w:tc>
        <w:tc>
          <w:tcPr>
            <w:tcW w:w="6460" w:type="dxa"/>
            <w:vAlign w:val="bottom"/>
            <w:shd w:val="clear" w:color="auto" w:fill="009ADA"/>
          </w:tcPr>
          <w:p>
            <w:pPr>
              <w:spacing w:after="0"/>
              <w:rPr>
                <w:sz w:val="5"/>
                <w:szCs w:val="5"/>
                <w:color w:val="auto"/>
              </w:rPr>
            </w:pPr>
          </w:p>
        </w:tc>
      </w:tr>
      <w:tr>
        <w:trPr>
          <w:trHeight w:val="204"/>
        </w:trPr>
        <w:tc>
          <w:tcPr>
            <w:tcW w:w="2380" w:type="dxa"/>
            <w:vAlign w:val="bottom"/>
            <w:gridSpan w:val="2"/>
          </w:tcPr>
          <w:p>
            <w:pPr>
              <w:jc w:val="center"/>
              <w:spacing w:after="0"/>
              <w:rPr>
                <w:sz w:val="20"/>
                <w:szCs w:val="20"/>
                <w:color w:val="auto"/>
              </w:rPr>
            </w:pPr>
            <w:r>
              <w:rPr>
                <w:rFonts w:ascii="Arial" w:cs="Arial" w:eastAsia="Arial" w:hAnsi="Arial"/>
                <w:sz w:val="14"/>
                <w:szCs w:val="14"/>
                <w:color w:val="auto"/>
              </w:rPr>
              <w:t>Less than 80%</w:t>
            </w:r>
          </w:p>
        </w:tc>
        <w:tc>
          <w:tcPr>
            <w:tcW w:w="2400" w:type="dxa"/>
            <w:vAlign w:val="bottom"/>
          </w:tcPr>
          <w:p>
            <w:pPr>
              <w:jc w:val="center"/>
              <w:spacing w:after="0"/>
              <w:rPr>
                <w:sz w:val="20"/>
                <w:szCs w:val="20"/>
                <w:color w:val="auto"/>
              </w:rPr>
            </w:pPr>
            <w:r>
              <w:rPr>
                <w:rFonts w:ascii="Arial" w:cs="Arial" w:eastAsia="Arial" w:hAnsi="Arial"/>
                <w:sz w:val="14"/>
                <w:szCs w:val="14"/>
                <w:color w:val="auto"/>
              </w:rPr>
              <w:t>0%</w:t>
            </w:r>
          </w:p>
        </w:tc>
        <w:tc>
          <w:tcPr>
            <w:tcW w:w="6460" w:type="dxa"/>
            <w:vAlign w:val="bottom"/>
          </w:tcPr>
          <w:p>
            <w:pPr>
              <w:jc w:val="center"/>
              <w:spacing w:after="0"/>
              <w:rPr>
                <w:sz w:val="20"/>
                <w:szCs w:val="20"/>
                <w:color w:val="auto"/>
              </w:rPr>
            </w:pPr>
            <w:r>
              <w:rPr>
                <w:rFonts w:ascii="Arial" w:cs="Arial" w:eastAsia="Arial" w:hAnsi="Arial"/>
                <w:sz w:val="14"/>
                <w:szCs w:val="14"/>
                <w:color w:val="auto"/>
              </w:rPr>
              <w:t>No payout below 80% achievement</w:t>
            </w:r>
          </w:p>
        </w:tc>
      </w:tr>
      <w:tr>
        <w:trPr>
          <w:trHeight w:val="26"/>
        </w:trPr>
        <w:tc>
          <w:tcPr>
            <w:tcW w:w="1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6460" w:type="dxa"/>
            <w:vAlign w:val="bottom"/>
            <w:tcBorders>
              <w:bottom w:val="single" w:sz="8" w:color="auto"/>
            </w:tcBorders>
          </w:tcPr>
          <w:p>
            <w:pPr>
              <w:spacing w:after="0"/>
              <w:rPr>
                <w:sz w:val="2"/>
                <w:szCs w:val="2"/>
                <w:color w:val="auto"/>
              </w:rPr>
            </w:pPr>
          </w:p>
        </w:tc>
      </w:tr>
      <w:tr>
        <w:trPr>
          <w:trHeight w:val="197"/>
        </w:trPr>
        <w:tc>
          <w:tcPr>
            <w:tcW w:w="1140" w:type="dxa"/>
            <w:vAlign w:val="bottom"/>
          </w:tcPr>
          <w:p>
            <w:pPr>
              <w:jc w:val="right"/>
              <w:spacing w:after="0"/>
              <w:rPr>
                <w:sz w:val="20"/>
                <w:szCs w:val="20"/>
                <w:color w:val="auto"/>
              </w:rPr>
            </w:pPr>
            <w:r>
              <w:rPr>
                <w:rFonts w:ascii="Arial" w:cs="Arial" w:eastAsia="Arial" w:hAnsi="Arial"/>
                <w:sz w:val="14"/>
                <w:szCs w:val="14"/>
                <w:color w:val="auto"/>
              </w:rPr>
              <w:t>80%</w:t>
            </w:r>
          </w:p>
        </w:tc>
        <w:tc>
          <w:tcPr>
            <w:tcW w:w="1240" w:type="dxa"/>
            <w:vAlign w:val="bottom"/>
          </w:tcPr>
          <w:p>
            <w:pPr>
              <w:ind w:left="20"/>
              <w:spacing w:after="0"/>
              <w:rPr>
                <w:sz w:val="20"/>
                <w:szCs w:val="20"/>
                <w:color w:val="auto"/>
              </w:rPr>
            </w:pPr>
            <w:r>
              <w:rPr>
                <w:rFonts w:ascii="Arial" w:cs="Arial" w:eastAsia="Arial" w:hAnsi="Arial"/>
                <w:sz w:val="14"/>
                <w:szCs w:val="14"/>
                <w:color w:val="auto"/>
              </w:rPr>
              <w:t>- 90%</w:t>
            </w:r>
          </w:p>
        </w:tc>
        <w:tc>
          <w:tcPr>
            <w:tcW w:w="2400" w:type="dxa"/>
            <w:vAlign w:val="bottom"/>
          </w:tcPr>
          <w:p>
            <w:pPr>
              <w:jc w:val="center"/>
              <w:spacing w:after="0"/>
              <w:rPr>
                <w:sz w:val="20"/>
                <w:szCs w:val="20"/>
                <w:color w:val="auto"/>
              </w:rPr>
            </w:pPr>
            <w:r>
              <w:rPr>
                <w:rFonts w:ascii="Arial" w:cs="Arial" w:eastAsia="Arial" w:hAnsi="Arial"/>
                <w:sz w:val="14"/>
                <w:szCs w:val="14"/>
                <w:color w:val="auto"/>
              </w:rPr>
              <w:t>0% to 70% linear</w:t>
            </w:r>
          </w:p>
        </w:tc>
        <w:tc>
          <w:tcPr>
            <w:tcW w:w="6460" w:type="dxa"/>
            <w:vAlign w:val="bottom"/>
          </w:tcPr>
          <w:p>
            <w:pPr>
              <w:jc w:val="center"/>
              <w:spacing w:after="0"/>
              <w:rPr>
                <w:sz w:val="20"/>
                <w:szCs w:val="20"/>
                <w:color w:val="auto"/>
              </w:rPr>
            </w:pPr>
            <w:r>
              <w:rPr>
                <w:rFonts w:ascii="Arial" w:cs="Arial" w:eastAsia="Arial" w:hAnsi="Arial"/>
                <w:sz w:val="14"/>
                <w:szCs w:val="14"/>
                <w:color w:val="auto"/>
              </w:rPr>
              <w:t>80% attainment pays 0% and 90% pays 70%</w:t>
            </w:r>
          </w:p>
        </w:tc>
      </w:tr>
      <w:tr>
        <w:trPr>
          <w:trHeight w:val="26"/>
        </w:trPr>
        <w:tc>
          <w:tcPr>
            <w:tcW w:w="1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6460" w:type="dxa"/>
            <w:vAlign w:val="bottom"/>
            <w:tcBorders>
              <w:bottom w:val="single" w:sz="8" w:color="auto"/>
            </w:tcBorders>
          </w:tcPr>
          <w:p>
            <w:pPr>
              <w:spacing w:after="0"/>
              <w:rPr>
                <w:sz w:val="2"/>
                <w:szCs w:val="2"/>
                <w:color w:val="auto"/>
              </w:rPr>
            </w:pPr>
          </w:p>
        </w:tc>
      </w:tr>
      <w:tr>
        <w:trPr>
          <w:trHeight w:val="198"/>
        </w:trPr>
        <w:tc>
          <w:tcPr>
            <w:tcW w:w="1140" w:type="dxa"/>
            <w:vAlign w:val="bottom"/>
          </w:tcPr>
          <w:p>
            <w:pPr>
              <w:jc w:val="right"/>
              <w:spacing w:after="0"/>
              <w:rPr>
                <w:sz w:val="20"/>
                <w:szCs w:val="20"/>
                <w:color w:val="auto"/>
              </w:rPr>
            </w:pPr>
            <w:r>
              <w:rPr>
                <w:rFonts w:ascii="Arial" w:cs="Arial" w:eastAsia="Arial" w:hAnsi="Arial"/>
                <w:sz w:val="14"/>
                <w:szCs w:val="14"/>
                <w:color w:val="auto"/>
              </w:rPr>
              <w:t>90%</w:t>
            </w:r>
          </w:p>
        </w:tc>
        <w:tc>
          <w:tcPr>
            <w:tcW w:w="1240" w:type="dxa"/>
            <w:vAlign w:val="bottom"/>
          </w:tcPr>
          <w:p>
            <w:pPr>
              <w:ind w:left="20"/>
              <w:spacing w:after="0"/>
              <w:rPr>
                <w:sz w:val="20"/>
                <w:szCs w:val="20"/>
                <w:color w:val="auto"/>
              </w:rPr>
            </w:pPr>
            <w:r>
              <w:rPr>
                <w:rFonts w:ascii="Arial" w:cs="Arial" w:eastAsia="Arial" w:hAnsi="Arial"/>
                <w:sz w:val="14"/>
                <w:szCs w:val="14"/>
                <w:color w:val="auto"/>
              </w:rPr>
              <w:t>- 95%</w:t>
            </w:r>
          </w:p>
        </w:tc>
        <w:tc>
          <w:tcPr>
            <w:tcW w:w="2400" w:type="dxa"/>
            <w:vAlign w:val="bottom"/>
          </w:tcPr>
          <w:p>
            <w:pPr>
              <w:jc w:val="center"/>
              <w:spacing w:after="0"/>
              <w:rPr>
                <w:sz w:val="20"/>
                <w:szCs w:val="20"/>
                <w:color w:val="auto"/>
              </w:rPr>
            </w:pPr>
            <w:r>
              <w:rPr>
                <w:rFonts w:ascii="Arial" w:cs="Arial" w:eastAsia="Arial" w:hAnsi="Arial"/>
                <w:sz w:val="14"/>
                <w:szCs w:val="14"/>
                <w:color w:val="auto"/>
              </w:rPr>
              <w:t>70% to 90% linear</w:t>
            </w:r>
          </w:p>
        </w:tc>
        <w:tc>
          <w:tcPr>
            <w:tcW w:w="6460" w:type="dxa"/>
            <w:vAlign w:val="bottom"/>
          </w:tcPr>
          <w:p>
            <w:pPr>
              <w:jc w:val="center"/>
              <w:spacing w:after="0"/>
              <w:rPr>
                <w:sz w:val="20"/>
                <w:szCs w:val="20"/>
                <w:color w:val="auto"/>
              </w:rPr>
            </w:pPr>
            <w:r>
              <w:rPr>
                <w:rFonts w:ascii="Arial" w:cs="Arial" w:eastAsia="Arial" w:hAnsi="Arial"/>
                <w:sz w:val="14"/>
                <w:szCs w:val="14"/>
                <w:color w:val="auto"/>
              </w:rPr>
              <w:t>90% attainment pays 70% and 95% pays 90%</w:t>
            </w:r>
          </w:p>
        </w:tc>
      </w:tr>
      <w:tr>
        <w:trPr>
          <w:trHeight w:val="26"/>
        </w:trPr>
        <w:tc>
          <w:tcPr>
            <w:tcW w:w="2380" w:type="dxa"/>
            <w:vAlign w:val="bottom"/>
            <w:tcBorders>
              <w:bottom w:val="single" w:sz="8" w:color="auto"/>
            </w:tcBorders>
            <w:gridSpan w:val="2"/>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6460" w:type="dxa"/>
            <w:vAlign w:val="bottom"/>
            <w:tcBorders>
              <w:bottom w:val="single" w:sz="8" w:color="auto"/>
            </w:tcBorders>
          </w:tcPr>
          <w:p>
            <w:pPr>
              <w:spacing w:after="0"/>
              <w:rPr>
                <w:sz w:val="2"/>
                <w:szCs w:val="2"/>
                <w:color w:val="auto"/>
              </w:rPr>
            </w:pPr>
          </w:p>
        </w:tc>
      </w:tr>
      <w:tr>
        <w:trPr>
          <w:trHeight w:val="197"/>
        </w:trPr>
        <w:tc>
          <w:tcPr>
            <w:tcW w:w="2380" w:type="dxa"/>
            <w:vAlign w:val="bottom"/>
            <w:gridSpan w:val="2"/>
          </w:tcPr>
          <w:p>
            <w:pPr>
              <w:jc w:val="right"/>
              <w:ind w:right="728"/>
              <w:spacing w:after="0"/>
              <w:rPr>
                <w:sz w:val="20"/>
                <w:szCs w:val="20"/>
                <w:color w:val="auto"/>
              </w:rPr>
            </w:pPr>
            <w:r>
              <w:rPr>
                <w:rFonts w:ascii="Arial" w:cs="Arial" w:eastAsia="Arial" w:hAnsi="Arial"/>
                <w:sz w:val="14"/>
                <w:szCs w:val="14"/>
                <w:color w:val="auto"/>
              </w:rPr>
              <w:t>95% - 100%</w:t>
            </w:r>
          </w:p>
        </w:tc>
        <w:tc>
          <w:tcPr>
            <w:tcW w:w="2400" w:type="dxa"/>
            <w:vAlign w:val="bottom"/>
          </w:tcPr>
          <w:p>
            <w:pPr>
              <w:jc w:val="center"/>
              <w:spacing w:after="0"/>
              <w:rPr>
                <w:sz w:val="20"/>
                <w:szCs w:val="20"/>
                <w:color w:val="auto"/>
              </w:rPr>
            </w:pPr>
            <w:r>
              <w:rPr>
                <w:rFonts w:ascii="Arial" w:cs="Arial" w:eastAsia="Arial" w:hAnsi="Arial"/>
                <w:sz w:val="14"/>
                <w:szCs w:val="14"/>
                <w:color w:val="auto"/>
              </w:rPr>
              <w:t>90% to 100% linear</w:t>
            </w:r>
          </w:p>
        </w:tc>
        <w:tc>
          <w:tcPr>
            <w:tcW w:w="6460" w:type="dxa"/>
            <w:vAlign w:val="bottom"/>
          </w:tcPr>
          <w:p>
            <w:pPr>
              <w:jc w:val="center"/>
              <w:spacing w:after="0"/>
              <w:rPr>
                <w:sz w:val="20"/>
                <w:szCs w:val="20"/>
                <w:color w:val="auto"/>
              </w:rPr>
            </w:pPr>
            <w:r>
              <w:rPr>
                <w:rFonts w:ascii="Arial" w:cs="Arial" w:eastAsia="Arial" w:hAnsi="Arial"/>
                <w:sz w:val="14"/>
                <w:szCs w:val="14"/>
                <w:color w:val="auto"/>
              </w:rPr>
              <w:t>95% attainment pays 90% and 100% pays 100%</w:t>
            </w:r>
          </w:p>
        </w:tc>
      </w:tr>
      <w:tr>
        <w:trPr>
          <w:trHeight w:val="26"/>
        </w:trPr>
        <w:tc>
          <w:tcPr>
            <w:tcW w:w="1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6460" w:type="dxa"/>
            <w:vAlign w:val="bottom"/>
            <w:tcBorders>
              <w:bottom w:val="single" w:sz="8" w:color="auto"/>
            </w:tcBorders>
          </w:tcPr>
          <w:p>
            <w:pPr>
              <w:spacing w:after="0"/>
              <w:rPr>
                <w:sz w:val="2"/>
                <w:szCs w:val="2"/>
                <w:color w:val="auto"/>
              </w:rPr>
            </w:pPr>
          </w:p>
        </w:tc>
      </w:tr>
      <w:tr>
        <w:trPr>
          <w:trHeight w:val="198"/>
        </w:trPr>
        <w:tc>
          <w:tcPr>
            <w:tcW w:w="1140" w:type="dxa"/>
            <w:vAlign w:val="bottom"/>
          </w:tcPr>
          <w:p>
            <w:pPr>
              <w:jc w:val="right"/>
              <w:spacing w:after="0"/>
              <w:rPr>
                <w:sz w:val="20"/>
                <w:szCs w:val="20"/>
                <w:color w:val="auto"/>
              </w:rPr>
            </w:pPr>
            <w:r>
              <w:rPr>
                <w:rFonts w:ascii="Arial" w:cs="Arial" w:eastAsia="Arial" w:hAnsi="Arial"/>
                <w:sz w:val="14"/>
                <w:szCs w:val="14"/>
                <w:color w:val="auto"/>
              </w:rPr>
              <w:t>100%</w:t>
            </w:r>
          </w:p>
        </w:tc>
        <w:tc>
          <w:tcPr>
            <w:tcW w:w="1240" w:type="dxa"/>
            <w:vAlign w:val="bottom"/>
          </w:tcPr>
          <w:p>
            <w:pPr>
              <w:ind w:left="20"/>
              <w:spacing w:after="0"/>
              <w:rPr>
                <w:sz w:val="20"/>
                <w:szCs w:val="20"/>
                <w:color w:val="auto"/>
              </w:rPr>
            </w:pPr>
            <w:r>
              <w:rPr>
                <w:rFonts w:ascii="Arial" w:cs="Arial" w:eastAsia="Arial" w:hAnsi="Arial"/>
                <w:sz w:val="14"/>
                <w:szCs w:val="14"/>
                <w:color w:val="auto"/>
              </w:rPr>
              <w:t>- 105%</w:t>
            </w:r>
          </w:p>
        </w:tc>
        <w:tc>
          <w:tcPr>
            <w:tcW w:w="2400" w:type="dxa"/>
            <w:vAlign w:val="bottom"/>
          </w:tcPr>
          <w:p>
            <w:pPr>
              <w:jc w:val="center"/>
              <w:spacing w:after="0"/>
              <w:rPr>
                <w:sz w:val="20"/>
                <w:szCs w:val="20"/>
                <w:color w:val="auto"/>
              </w:rPr>
            </w:pPr>
            <w:r>
              <w:rPr>
                <w:rFonts w:ascii="Arial" w:cs="Arial" w:eastAsia="Arial" w:hAnsi="Arial"/>
                <w:sz w:val="14"/>
                <w:szCs w:val="14"/>
                <w:color w:val="auto"/>
              </w:rPr>
              <w:t>100% to 125% linear</w:t>
            </w:r>
          </w:p>
        </w:tc>
        <w:tc>
          <w:tcPr>
            <w:tcW w:w="6460" w:type="dxa"/>
            <w:vAlign w:val="bottom"/>
          </w:tcPr>
          <w:p>
            <w:pPr>
              <w:jc w:val="center"/>
              <w:spacing w:after="0"/>
              <w:rPr>
                <w:sz w:val="20"/>
                <w:szCs w:val="20"/>
                <w:color w:val="auto"/>
              </w:rPr>
            </w:pPr>
            <w:r>
              <w:rPr>
                <w:rFonts w:ascii="Arial" w:cs="Arial" w:eastAsia="Arial" w:hAnsi="Arial"/>
                <w:sz w:val="14"/>
                <w:szCs w:val="14"/>
                <w:color w:val="auto"/>
              </w:rPr>
              <w:t>100% attainment pays 100% and 105% pays 125%</w:t>
            </w:r>
          </w:p>
        </w:tc>
      </w:tr>
      <w:tr>
        <w:trPr>
          <w:trHeight w:val="26"/>
        </w:trPr>
        <w:tc>
          <w:tcPr>
            <w:tcW w:w="1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6460" w:type="dxa"/>
            <w:vAlign w:val="bottom"/>
            <w:tcBorders>
              <w:bottom w:val="single" w:sz="8" w:color="auto"/>
            </w:tcBorders>
          </w:tcPr>
          <w:p>
            <w:pPr>
              <w:spacing w:after="0"/>
              <w:rPr>
                <w:sz w:val="2"/>
                <w:szCs w:val="2"/>
                <w:color w:val="auto"/>
              </w:rPr>
            </w:pPr>
          </w:p>
        </w:tc>
      </w:tr>
      <w:tr>
        <w:trPr>
          <w:trHeight w:val="198"/>
        </w:trPr>
        <w:tc>
          <w:tcPr>
            <w:tcW w:w="1140" w:type="dxa"/>
            <w:vAlign w:val="bottom"/>
          </w:tcPr>
          <w:p>
            <w:pPr>
              <w:jc w:val="right"/>
              <w:spacing w:after="0"/>
              <w:rPr>
                <w:sz w:val="20"/>
                <w:szCs w:val="20"/>
                <w:color w:val="auto"/>
              </w:rPr>
            </w:pPr>
            <w:r>
              <w:rPr>
                <w:rFonts w:ascii="Arial" w:cs="Arial" w:eastAsia="Arial" w:hAnsi="Arial"/>
                <w:sz w:val="14"/>
                <w:szCs w:val="14"/>
                <w:color w:val="auto"/>
              </w:rPr>
              <w:t>105%</w:t>
            </w:r>
          </w:p>
        </w:tc>
        <w:tc>
          <w:tcPr>
            <w:tcW w:w="1240" w:type="dxa"/>
            <w:vAlign w:val="bottom"/>
          </w:tcPr>
          <w:p>
            <w:pPr>
              <w:ind w:left="20"/>
              <w:spacing w:after="0"/>
              <w:rPr>
                <w:sz w:val="20"/>
                <w:szCs w:val="20"/>
                <w:color w:val="auto"/>
              </w:rPr>
            </w:pPr>
            <w:r>
              <w:rPr>
                <w:rFonts w:ascii="Arial" w:cs="Arial" w:eastAsia="Arial" w:hAnsi="Arial"/>
                <w:sz w:val="14"/>
                <w:szCs w:val="14"/>
                <w:color w:val="auto"/>
              </w:rPr>
              <w:t>- 110%</w:t>
            </w:r>
          </w:p>
        </w:tc>
        <w:tc>
          <w:tcPr>
            <w:tcW w:w="2400" w:type="dxa"/>
            <w:vAlign w:val="bottom"/>
          </w:tcPr>
          <w:p>
            <w:pPr>
              <w:jc w:val="center"/>
              <w:spacing w:after="0"/>
              <w:rPr>
                <w:sz w:val="20"/>
                <w:szCs w:val="20"/>
                <w:color w:val="auto"/>
              </w:rPr>
            </w:pPr>
            <w:r>
              <w:rPr>
                <w:rFonts w:ascii="Arial" w:cs="Arial" w:eastAsia="Arial" w:hAnsi="Arial"/>
                <w:sz w:val="14"/>
                <w:szCs w:val="14"/>
                <w:color w:val="auto"/>
              </w:rPr>
              <w:t>125% to 150% linear</w:t>
            </w:r>
          </w:p>
        </w:tc>
        <w:tc>
          <w:tcPr>
            <w:tcW w:w="6460" w:type="dxa"/>
            <w:vAlign w:val="bottom"/>
          </w:tcPr>
          <w:p>
            <w:pPr>
              <w:jc w:val="center"/>
              <w:spacing w:after="0"/>
              <w:rPr>
                <w:sz w:val="20"/>
                <w:szCs w:val="20"/>
                <w:color w:val="auto"/>
              </w:rPr>
            </w:pPr>
            <w:r>
              <w:rPr>
                <w:rFonts w:ascii="Arial" w:cs="Arial" w:eastAsia="Arial" w:hAnsi="Arial"/>
                <w:sz w:val="14"/>
                <w:szCs w:val="14"/>
                <w:color w:val="auto"/>
              </w:rPr>
              <w:t>105% attainment pays 125% and 110% pays 150%</w:t>
            </w:r>
          </w:p>
        </w:tc>
      </w:tr>
      <w:tr>
        <w:trPr>
          <w:trHeight w:val="26"/>
        </w:trPr>
        <w:tc>
          <w:tcPr>
            <w:tcW w:w="2380" w:type="dxa"/>
            <w:vAlign w:val="bottom"/>
            <w:tcBorders>
              <w:bottom w:val="single" w:sz="8" w:color="auto"/>
            </w:tcBorders>
            <w:gridSpan w:val="2"/>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6460" w:type="dxa"/>
            <w:vAlign w:val="bottom"/>
            <w:tcBorders>
              <w:bottom w:val="single" w:sz="8" w:color="auto"/>
            </w:tcBorders>
          </w:tcPr>
          <w:p>
            <w:pPr>
              <w:spacing w:after="0"/>
              <w:rPr>
                <w:sz w:val="2"/>
                <w:szCs w:val="2"/>
                <w:color w:val="auto"/>
              </w:rPr>
            </w:pPr>
          </w:p>
        </w:tc>
      </w:tr>
      <w:tr>
        <w:trPr>
          <w:trHeight w:val="197"/>
        </w:trPr>
        <w:tc>
          <w:tcPr>
            <w:tcW w:w="2380" w:type="dxa"/>
            <w:vAlign w:val="bottom"/>
            <w:gridSpan w:val="2"/>
          </w:tcPr>
          <w:p>
            <w:pPr>
              <w:jc w:val="right"/>
              <w:ind w:right="888"/>
              <w:spacing w:after="0"/>
              <w:rPr>
                <w:sz w:val="20"/>
                <w:szCs w:val="20"/>
                <w:color w:val="auto"/>
              </w:rPr>
            </w:pPr>
            <w:r>
              <w:rPr>
                <w:rFonts w:ascii="Arial" w:cs="Arial" w:eastAsia="Arial" w:hAnsi="Arial"/>
                <w:sz w:val="14"/>
                <w:szCs w:val="14"/>
                <w:color w:val="auto"/>
              </w:rPr>
              <w:t>&gt;110%</w:t>
            </w:r>
          </w:p>
        </w:tc>
        <w:tc>
          <w:tcPr>
            <w:tcW w:w="2400" w:type="dxa"/>
            <w:vAlign w:val="bottom"/>
          </w:tcPr>
          <w:p>
            <w:pPr>
              <w:jc w:val="center"/>
              <w:spacing w:after="0"/>
              <w:rPr>
                <w:sz w:val="20"/>
                <w:szCs w:val="20"/>
                <w:color w:val="auto"/>
              </w:rPr>
            </w:pPr>
            <w:r>
              <w:rPr>
                <w:rFonts w:ascii="Arial" w:cs="Arial" w:eastAsia="Arial" w:hAnsi="Arial"/>
                <w:sz w:val="14"/>
                <w:szCs w:val="14"/>
                <w:color w:val="auto"/>
              </w:rPr>
              <w:t>TBD</w:t>
            </w:r>
          </w:p>
        </w:tc>
        <w:tc>
          <w:tcPr>
            <w:tcW w:w="6460" w:type="dxa"/>
            <w:vAlign w:val="bottom"/>
          </w:tcPr>
          <w:p>
            <w:pPr>
              <w:jc w:val="center"/>
              <w:spacing w:after="0"/>
              <w:rPr>
                <w:sz w:val="20"/>
                <w:szCs w:val="20"/>
                <w:color w:val="auto"/>
              </w:rPr>
            </w:pPr>
            <w:r>
              <w:rPr>
                <w:rFonts w:ascii="Arial" w:cs="Arial" w:eastAsia="Arial" w:hAnsi="Arial"/>
                <w:sz w:val="14"/>
                <w:szCs w:val="14"/>
                <w:color w:val="auto"/>
              </w:rPr>
              <w:t>Payout over 150%, determined in the discretion of the board of directors</w:t>
            </w:r>
          </w:p>
        </w:tc>
      </w:tr>
      <w:tr>
        <w:trPr>
          <w:trHeight w:val="25"/>
        </w:trPr>
        <w:tc>
          <w:tcPr>
            <w:tcW w:w="1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6460" w:type="dxa"/>
            <w:vAlign w:val="bottom"/>
            <w:tcBorders>
              <w:bottom w:val="single" w:sz="8" w:color="auto"/>
            </w:tcBorders>
          </w:tcPr>
          <w:p>
            <w:pPr>
              <w:spacing w:after="0"/>
              <w:rPr>
                <w:sz w:val="2"/>
                <w:szCs w:val="2"/>
                <w:color w:val="auto"/>
              </w:rPr>
            </w:pPr>
          </w:p>
        </w:tc>
      </w:tr>
    </w:tbl>
    <w:p>
      <w:pPr>
        <w:spacing w:after="0" w:line="380" w:lineRule="exact"/>
        <w:rPr>
          <w:sz w:val="20"/>
          <w:szCs w:val="20"/>
          <w:color w:val="auto"/>
        </w:rPr>
      </w:pPr>
    </w:p>
    <w:p>
      <w:pPr>
        <w:ind w:right="40"/>
        <w:spacing w:after="0" w:line="338" w:lineRule="auto"/>
        <w:rPr>
          <w:sz w:val="20"/>
          <w:szCs w:val="20"/>
          <w:color w:val="auto"/>
        </w:rPr>
      </w:pPr>
      <w:r>
        <w:rPr>
          <w:rFonts w:ascii="Arial" w:cs="Arial" w:eastAsia="Arial" w:hAnsi="Arial"/>
          <w:sz w:val="16"/>
          <w:szCs w:val="16"/>
          <w:color w:val="auto"/>
        </w:rPr>
        <w:t>The compensation committee also determined that the 50% of the bonus pool reserved for distributions in the discretion of our CEO was to be funded based on achievement of the revenue and calculated billings targets. If the average level of achievement for the applicable performance period for revenue and calculated billings was less than 90%, the discretionary bonus pool would not be funded. If the average level of achievement was equal to or greater than 90% but less than 100%, the discretionary pool would be funded at 100%. If the average level of achievement was equal to or greater than 100%, the discretionary pool would be funded at 150%.</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009ADA"/>
        </w:rPr>
        <w:t>Cash Bonus Payments (Other than Mr. Rajic)</w:t>
      </w:r>
    </w:p>
    <w:p>
      <w:pPr>
        <w:spacing w:after="0" w:line="127" w:lineRule="exact"/>
        <w:rPr>
          <w:sz w:val="20"/>
          <w:szCs w:val="20"/>
          <w:color w:val="auto"/>
        </w:rPr>
      </w:pPr>
    </w:p>
    <w:p>
      <w:pPr>
        <w:ind w:right="20"/>
        <w:spacing w:after="0" w:line="336" w:lineRule="auto"/>
        <w:rPr>
          <w:sz w:val="20"/>
          <w:szCs w:val="20"/>
          <w:color w:val="auto"/>
        </w:rPr>
      </w:pPr>
      <w:r>
        <w:rPr>
          <w:rFonts w:ascii="Arial" w:cs="Arial" w:eastAsia="Arial" w:hAnsi="Arial"/>
          <w:sz w:val="16"/>
          <w:szCs w:val="16"/>
          <w:color w:val="auto"/>
        </w:rPr>
        <w:t>As previously described, our Senior Executives (other than Mr. Rajic) were eligible for cash bonus awards only in an amount, if any, determined by the extent that we met or exceeded the applicable minimum threshold for revenue and calculated billings for each half of fiscal 2021. In March 2021, the compensation committee determined that we had achieved 100.7% of our revenue target and 109.2% of our calculated billing target for the first half of fiscal 2021, resulting in cash payments equal to 103.5% and 146.0%, respectively. In addition, because the average level of achievement for these metrics for the first half of fiscal 2021 was greater than 100%, the discretionary portion of the bonus pool reserved for our CEO was funded at 150%. Our CEO determined (with compensation committee approval) that, because we had fully achieved our target performance levels for the two corporate performance metrics and factoring in our performance with respect to other key metrics that we use internally to monitor our financial progress against our annual operating plan, it was appropriate to award 150% of the discretionary bonus pool to each of our Senior Executives.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267335</wp:posOffset>
            </wp:positionV>
            <wp:extent cx="342900" cy="21463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42900" cy="214630"/>
                    </a:xfrm>
                    <a:prstGeom prst="rect">
                      <a:avLst/>
                    </a:prstGeom>
                    <a:noFill/>
                  </pic:spPr>
                </pic:pic>
              </a:graphicData>
            </a:graphic>
          </wp:anchor>
        </w:drawing>
      </w:r>
    </w:p>
    <w:p>
      <w:pPr>
        <w:spacing w:after="0" w:line="339" w:lineRule="exact"/>
        <w:rPr>
          <w:sz w:val="20"/>
          <w:szCs w:val="20"/>
          <w:color w:val="auto"/>
        </w:rPr>
      </w:pPr>
    </w:p>
    <w:p>
      <w:pPr>
        <w:ind w:left="5540"/>
        <w:spacing w:after="0"/>
        <w:tabs>
          <w:tab w:leader="none" w:pos="9780" w:val="left"/>
        </w:tabs>
        <w:rPr>
          <w:sz w:val="20"/>
          <w:szCs w:val="20"/>
          <w:color w:val="auto"/>
        </w:rPr>
      </w:pPr>
      <w:r>
        <w:rPr>
          <w:rFonts w:ascii="Arial" w:cs="Arial" w:eastAsia="Arial" w:hAnsi="Arial"/>
          <w:sz w:val="29"/>
          <w:szCs w:val="29"/>
          <w:color w:val="auto"/>
          <w:vertAlign w:val="superscript"/>
        </w:rPr>
        <w:t>48</w:t>
      </w:r>
      <w:r>
        <w:rPr>
          <w:sz w:val="20"/>
          <w:szCs w:val="20"/>
          <w:color w:val="auto"/>
        </w:rPr>
        <w:tab/>
      </w:r>
      <w:r>
        <w:rPr>
          <w:rFonts w:ascii="Arial" w:cs="Arial" w:eastAsia="Arial" w:hAnsi="Arial"/>
          <w:sz w:val="14"/>
          <w:szCs w:val="14"/>
          <w:color w:val="auto"/>
        </w:rPr>
        <w:t>2021 Proxy Statement</w:t>
      </w:r>
    </w:p>
    <w:p>
      <w:pPr>
        <w:sectPr>
          <w:pgSz w:w="11900" w:h="16838" w:orient="portrait"/>
          <w:cols w:equalWidth="0" w:num="1">
            <w:col w:w="11240"/>
          </w:cols>
          <w:pgMar w:left="320" w:top="172" w:right="339" w:bottom="1440" w:gutter="0" w:footer="0" w:header="0"/>
        </w:sectPr>
      </w:pPr>
    </w:p>
    <w:bookmarkStart w:id="52" w:name="page53"/>
    <w:bookmarkEnd w:id="52"/>
    <w:p>
      <w:pPr>
        <w:ind w:left="280"/>
        <w:spacing w:after="0"/>
        <w:rPr>
          <w:sz w:val="20"/>
          <w:szCs w:val="20"/>
          <w:color w:val="auto"/>
        </w:rPr>
      </w:pPr>
      <w:r>
        <w:rPr>
          <w:rFonts w:ascii="Arial" w:cs="Arial" w:eastAsia="Arial" w:hAnsi="Arial"/>
          <w:sz w:val="13"/>
          <w:szCs w:val="13"/>
          <w:b w:val="1"/>
          <w:bCs w:val="1"/>
          <w:color w:val="929292"/>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7470" cy="596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7470" cy="59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340"/>
        <w:spacing w:after="0" w:line="348" w:lineRule="auto"/>
        <w:rPr>
          <w:sz w:val="20"/>
          <w:szCs w:val="20"/>
          <w:color w:val="auto"/>
        </w:rPr>
      </w:pPr>
      <w:r>
        <w:rPr>
          <w:rFonts w:ascii="Arial" w:cs="Arial" w:eastAsia="Arial" w:hAnsi="Arial"/>
          <w:sz w:val="16"/>
          <w:szCs w:val="16"/>
          <w:color w:val="auto"/>
        </w:rPr>
        <w:t>As a result, the cash bonus payments to our eligible Named Executive Officers (other than Mr. Rajic) for the first half of the year were equal to 137.4% of their target semi-annual cash bonus opportunities for that period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123190</wp:posOffset>
            </wp:positionV>
            <wp:extent cx="8890" cy="30861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8890" cy="308610"/>
                    </a:xfrm>
                    <a:prstGeom prst="rect">
                      <a:avLst/>
                    </a:prstGeom>
                    <a:noFill/>
                  </pic:spPr>
                </pic:pic>
              </a:graphicData>
            </a:graphic>
          </wp:anchor>
        </w:drawing>
        <w:drawing>
          <wp:anchor simplePos="0" relativeHeight="251657728" behindDoc="1" locked="0" layoutInCell="0" allowOverlap="1">
            <wp:simplePos x="0" y="0"/>
            <wp:positionH relativeFrom="column">
              <wp:posOffset>2207895</wp:posOffset>
            </wp:positionH>
            <wp:positionV relativeFrom="paragraph">
              <wp:posOffset>123190</wp:posOffset>
            </wp:positionV>
            <wp:extent cx="8255" cy="30861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8255" cy="308610"/>
                    </a:xfrm>
                    <a:prstGeom prst="rect">
                      <a:avLst/>
                    </a:prstGeom>
                    <a:noFill/>
                  </pic:spPr>
                </pic:pic>
              </a:graphicData>
            </a:graphic>
          </wp:anchor>
        </w:drawing>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3480" w:type="dxa"/>
            <w:vAlign w:val="bottom"/>
            <w:shd w:val="clear" w:color="auto" w:fill="000000"/>
          </w:tcPr>
          <w:p>
            <w:pPr>
              <w:spacing w:after="0"/>
              <w:rPr>
                <w:sz w:val="17"/>
                <w:szCs w:val="17"/>
                <w:color w:val="auto"/>
              </w:rPr>
            </w:pPr>
          </w:p>
        </w:tc>
        <w:tc>
          <w:tcPr>
            <w:tcW w:w="3880" w:type="dxa"/>
            <w:vAlign w:val="bottom"/>
            <w:shd w:val="clear" w:color="auto" w:fill="2B338D"/>
          </w:tcPr>
          <w:p>
            <w:pPr>
              <w:jc w:val="right"/>
              <w:ind w:right="84"/>
              <w:spacing w:after="0"/>
              <w:rPr>
                <w:sz w:val="20"/>
                <w:szCs w:val="20"/>
                <w:color w:val="auto"/>
              </w:rPr>
            </w:pPr>
            <w:r>
              <w:rPr>
                <w:rFonts w:ascii="Arial" w:cs="Arial" w:eastAsia="Arial" w:hAnsi="Arial"/>
                <w:sz w:val="16"/>
                <w:szCs w:val="16"/>
                <w:b w:val="1"/>
                <w:bCs w:val="1"/>
                <w:color w:val="FFFFFF"/>
              </w:rPr>
              <w:t>First Half Target Bonus Opportunity</w:t>
            </w:r>
          </w:p>
        </w:tc>
        <w:tc>
          <w:tcPr>
            <w:tcW w:w="3880" w:type="dxa"/>
            <w:vAlign w:val="bottom"/>
            <w:shd w:val="clear" w:color="auto" w:fill="009ADA"/>
          </w:tcPr>
          <w:p>
            <w:pPr>
              <w:jc w:val="right"/>
              <w:ind w:right="84"/>
              <w:spacing w:after="0"/>
              <w:rPr>
                <w:sz w:val="20"/>
                <w:szCs w:val="20"/>
                <w:color w:val="auto"/>
              </w:rPr>
            </w:pPr>
            <w:r>
              <w:rPr>
                <w:rFonts w:ascii="Arial" w:cs="Arial" w:eastAsia="Arial" w:hAnsi="Arial"/>
                <w:sz w:val="16"/>
                <w:szCs w:val="16"/>
                <w:b w:val="1"/>
                <w:bCs w:val="1"/>
                <w:color w:val="FFFFFF"/>
              </w:rPr>
              <w:t>First Half Bonus Payment</w:t>
            </w:r>
          </w:p>
        </w:tc>
      </w:tr>
      <w:tr>
        <w:trPr>
          <w:trHeight w:val="215"/>
        </w:trPr>
        <w:tc>
          <w:tcPr>
            <w:tcW w:w="3480" w:type="dxa"/>
            <w:vAlign w:val="bottom"/>
            <w:shd w:val="clear" w:color="auto" w:fill="000000"/>
          </w:tcPr>
          <w:p>
            <w:pPr>
              <w:ind w:left="100"/>
              <w:spacing w:after="0"/>
              <w:rPr>
                <w:sz w:val="20"/>
                <w:szCs w:val="20"/>
                <w:color w:val="auto"/>
              </w:rPr>
            </w:pPr>
            <w:r>
              <w:rPr>
                <w:rFonts w:ascii="Arial" w:cs="Arial" w:eastAsia="Arial" w:hAnsi="Arial"/>
                <w:sz w:val="16"/>
                <w:szCs w:val="16"/>
                <w:b w:val="1"/>
                <w:bCs w:val="1"/>
                <w:color w:val="FFFFFF"/>
              </w:rPr>
              <w:t>Named Executive Officer</w:t>
            </w:r>
          </w:p>
        </w:tc>
        <w:tc>
          <w:tcPr>
            <w:tcW w:w="3880" w:type="dxa"/>
            <w:vAlign w:val="bottom"/>
            <w:shd w:val="clear" w:color="auto" w:fill="2B338D"/>
          </w:tcPr>
          <w:p>
            <w:pPr>
              <w:jc w:val="right"/>
              <w:ind w:right="84"/>
              <w:spacing w:after="0"/>
              <w:rPr>
                <w:sz w:val="20"/>
                <w:szCs w:val="20"/>
                <w:color w:val="auto"/>
              </w:rPr>
            </w:pPr>
            <w:r>
              <w:rPr>
                <w:rFonts w:ascii="Arial" w:cs="Arial" w:eastAsia="Arial" w:hAnsi="Arial"/>
                <w:sz w:val="16"/>
                <w:szCs w:val="16"/>
                <w:b w:val="1"/>
                <w:bCs w:val="1"/>
                <w:color w:val="FFFFFF"/>
              </w:rPr>
              <w:t>($)</w:t>
            </w:r>
          </w:p>
        </w:tc>
        <w:tc>
          <w:tcPr>
            <w:tcW w:w="3880" w:type="dxa"/>
            <w:vAlign w:val="bottom"/>
            <w:shd w:val="clear" w:color="auto" w:fill="009ADA"/>
          </w:tcPr>
          <w:p>
            <w:pPr>
              <w:jc w:val="right"/>
              <w:ind w:right="84"/>
              <w:spacing w:after="0"/>
              <w:rPr>
                <w:sz w:val="20"/>
                <w:szCs w:val="20"/>
                <w:color w:val="auto"/>
              </w:rPr>
            </w:pPr>
            <w:r>
              <w:rPr>
                <w:rFonts w:ascii="Arial" w:cs="Arial" w:eastAsia="Arial" w:hAnsi="Arial"/>
                <w:sz w:val="16"/>
                <w:szCs w:val="16"/>
                <w:b w:val="1"/>
                <w:bCs w:val="1"/>
                <w:color w:val="FFFFFF"/>
              </w:rPr>
              <w:t>($)</w:t>
            </w:r>
          </w:p>
        </w:tc>
      </w:tr>
      <w:tr>
        <w:trPr>
          <w:trHeight w:val="73"/>
        </w:trPr>
        <w:tc>
          <w:tcPr>
            <w:tcW w:w="3480" w:type="dxa"/>
            <w:vAlign w:val="bottom"/>
            <w:shd w:val="clear" w:color="auto" w:fill="000000"/>
          </w:tcPr>
          <w:p>
            <w:pPr>
              <w:spacing w:after="0"/>
              <w:rPr>
                <w:sz w:val="6"/>
                <w:szCs w:val="6"/>
                <w:color w:val="auto"/>
              </w:rPr>
            </w:pPr>
          </w:p>
        </w:tc>
        <w:tc>
          <w:tcPr>
            <w:tcW w:w="3880" w:type="dxa"/>
            <w:vAlign w:val="bottom"/>
            <w:shd w:val="clear" w:color="auto" w:fill="2B338D"/>
          </w:tcPr>
          <w:p>
            <w:pPr>
              <w:spacing w:after="0"/>
              <w:rPr>
                <w:sz w:val="6"/>
                <w:szCs w:val="6"/>
                <w:color w:val="auto"/>
              </w:rPr>
            </w:pPr>
          </w:p>
        </w:tc>
        <w:tc>
          <w:tcPr>
            <w:tcW w:w="3880" w:type="dxa"/>
            <w:vAlign w:val="bottom"/>
            <w:shd w:val="clear" w:color="auto" w:fill="009ADA"/>
          </w:tcPr>
          <w:p>
            <w:pPr>
              <w:spacing w:after="0"/>
              <w:rPr>
                <w:sz w:val="6"/>
                <w:szCs w:val="6"/>
                <w:color w:val="auto"/>
              </w:rPr>
            </w:pPr>
          </w:p>
        </w:tc>
      </w:tr>
      <w:tr>
        <w:trPr>
          <w:trHeight w:val="231"/>
        </w:trPr>
        <w:tc>
          <w:tcPr>
            <w:tcW w:w="3480" w:type="dxa"/>
            <w:vAlign w:val="bottom"/>
          </w:tcPr>
          <w:p>
            <w:pPr>
              <w:ind w:left="100"/>
              <w:spacing w:after="0"/>
              <w:rPr>
                <w:sz w:val="20"/>
                <w:szCs w:val="20"/>
                <w:color w:val="auto"/>
              </w:rPr>
            </w:pPr>
            <w:r>
              <w:rPr>
                <w:rFonts w:ascii="Arial" w:cs="Arial" w:eastAsia="Arial" w:hAnsi="Arial"/>
                <w:sz w:val="14"/>
                <w:szCs w:val="14"/>
                <w:b w:val="1"/>
                <w:bCs w:val="1"/>
                <w:color w:val="auto"/>
              </w:rPr>
              <w:t>Mr. Canessa</w:t>
            </w:r>
          </w:p>
        </w:tc>
        <w:tc>
          <w:tcPr>
            <w:tcW w:w="3880" w:type="dxa"/>
            <w:vAlign w:val="bottom"/>
          </w:tcPr>
          <w:p>
            <w:pPr>
              <w:jc w:val="right"/>
              <w:ind w:right="84"/>
              <w:spacing w:after="0"/>
              <w:rPr>
                <w:sz w:val="20"/>
                <w:szCs w:val="20"/>
                <w:color w:val="auto"/>
              </w:rPr>
            </w:pPr>
            <w:r>
              <w:rPr>
                <w:rFonts w:ascii="Arial" w:cs="Arial" w:eastAsia="Arial" w:hAnsi="Arial"/>
                <w:sz w:val="14"/>
                <w:szCs w:val="14"/>
                <w:color w:val="auto"/>
              </w:rPr>
              <w:t>125,000</w:t>
            </w:r>
          </w:p>
        </w:tc>
        <w:tc>
          <w:tcPr>
            <w:tcW w:w="3880" w:type="dxa"/>
            <w:vAlign w:val="bottom"/>
          </w:tcPr>
          <w:p>
            <w:pPr>
              <w:jc w:val="right"/>
              <w:ind w:right="84"/>
              <w:spacing w:after="0"/>
              <w:rPr>
                <w:sz w:val="20"/>
                <w:szCs w:val="20"/>
                <w:color w:val="auto"/>
              </w:rPr>
            </w:pPr>
            <w:r>
              <w:rPr>
                <w:rFonts w:ascii="Arial" w:cs="Arial" w:eastAsia="Arial" w:hAnsi="Arial"/>
                <w:sz w:val="14"/>
                <w:szCs w:val="14"/>
                <w:color w:val="auto"/>
              </w:rPr>
              <w:t>171,719</w:t>
            </w:r>
          </w:p>
        </w:tc>
      </w:tr>
      <w:tr>
        <w:trPr>
          <w:trHeight w:val="53"/>
        </w:trPr>
        <w:tc>
          <w:tcPr>
            <w:tcW w:w="3480" w:type="dxa"/>
            <w:vAlign w:val="bottom"/>
            <w:tcBorders>
              <w:bottom w:val="single" w:sz="8" w:color="auto"/>
            </w:tcBorders>
          </w:tcPr>
          <w:p>
            <w:pPr>
              <w:spacing w:after="0"/>
              <w:rPr>
                <w:sz w:val="4"/>
                <w:szCs w:val="4"/>
                <w:color w:val="auto"/>
              </w:rPr>
            </w:pPr>
          </w:p>
        </w:tc>
        <w:tc>
          <w:tcPr>
            <w:tcW w:w="3880" w:type="dxa"/>
            <w:vAlign w:val="bottom"/>
            <w:tcBorders>
              <w:bottom w:val="single" w:sz="8" w:color="auto"/>
            </w:tcBorders>
          </w:tcPr>
          <w:p>
            <w:pPr>
              <w:spacing w:after="0"/>
              <w:rPr>
                <w:sz w:val="4"/>
                <w:szCs w:val="4"/>
                <w:color w:val="auto"/>
              </w:rPr>
            </w:pPr>
          </w:p>
        </w:tc>
        <w:tc>
          <w:tcPr>
            <w:tcW w:w="3880" w:type="dxa"/>
            <w:vAlign w:val="bottom"/>
            <w:tcBorders>
              <w:bottom w:val="single" w:sz="8" w:color="auto"/>
            </w:tcBorders>
          </w:tcPr>
          <w:p>
            <w:pPr>
              <w:spacing w:after="0"/>
              <w:rPr>
                <w:sz w:val="4"/>
                <w:szCs w:val="4"/>
                <w:color w:val="auto"/>
              </w:rPr>
            </w:pPr>
          </w:p>
        </w:tc>
      </w:tr>
      <w:tr>
        <w:trPr>
          <w:trHeight w:val="224"/>
        </w:trPr>
        <w:tc>
          <w:tcPr>
            <w:tcW w:w="3480" w:type="dxa"/>
            <w:vAlign w:val="bottom"/>
          </w:tcPr>
          <w:p>
            <w:pPr>
              <w:ind w:left="100"/>
              <w:spacing w:after="0"/>
              <w:rPr>
                <w:sz w:val="20"/>
                <w:szCs w:val="20"/>
                <w:color w:val="auto"/>
              </w:rPr>
            </w:pPr>
            <w:r>
              <w:rPr>
                <w:rFonts w:ascii="Arial" w:cs="Arial" w:eastAsia="Arial" w:hAnsi="Arial"/>
                <w:sz w:val="14"/>
                <w:szCs w:val="14"/>
                <w:b w:val="1"/>
                <w:bCs w:val="1"/>
                <w:color w:val="auto"/>
              </w:rPr>
              <w:t>Mr. Sinha</w:t>
            </w:r>
          </w:p>
        </w:tc>
        <w:tc>
          <w:tcPr>
            <w:tcW w:w="3880" w:type="dxa"/>
            <w:vAlign w:val="bottom"/>
          </w:tcPr>
          <w:p>
            <w:pPr>
              <w:jc w:val="right"/>
              <w:ind w:right="84"/>
              <w:spacing w:after="0"/>
              <w:rPr>
                <w:sz w:val="20"/>
                <w:szCs w:val="20"/>
                <w:color w:val="auto"/>
              </w:rPr>
            </w:pPr>
            <w:r>
              <w:rPr>
                <w:rFonts w:ascii="Arial" w:cs="Arial" w:eastAsia="Arial" w:hAnsi="Arial"/>
                <w:sz w:val="14"/>
                <w:szCs w:val="14"/>
                <w:color w:val="auto"/>
              </w:rPr>
              <w:t>125,000</w:t>
            </w:r>
          </w:p>
        </w:tc>
        <w:tc>
          <w:tcPr>
            <w:tcW w:w="3880" w:type="dxa"/>
            <w:vAlign w:val="bottom"/>
          </w:tcPr>
          <w:p>
            <w:pPr>
              <w:jc w:val="right"/>
              <w:ind w:right="84"/>
              <w:spacing w:after="0"/>
              <w:rPr>
                <w:sz w:val="20"/>
                <w:szCs w:val="20"/>
                <w:color w:val="auto"/>
              </w:rPr>
            </w:pPr>
            <w:r>
              <w:rPr>
                <w:rFonts w:ascii="Arial" w:cs="Arial" w:eastAsia="Arial" w:hAnsi="Arial"/>
                <w:sz w:val="14"/>
                <w:szCs w:val="14"/>
                <w:color w:val="auto"/>
              </w:rPr>
              <w:t>171,719</w:t>
            </w:r>
          </w:p>
        </w:tc>
      </w:tr>
      <w:tr>
        <w:trPr>
          <w:trHeight w:val="53"/>
        </w:trPr>
        <w:tc>
          <w:tcPr>
            <w:tcW w:w="3480" w:type="dxa"/>
            <w:vAlign w:val="bottom"/>
            <w:tcBorders>
              <w:bottom w:val="single" w:sz="8" w:color="auto"/>
            </w:tcBorders>
          </w:tcPr>
          <w:p>
            <w:pPr>
              <w:spacing w:after="0"/>
              <w:rPr>
                <w:sz w:val="4"/>
                <w:szCs w:val="4"/>
                <w:color w:val="auto"/>
              </w:rPr>
            </w:pPr>
          </w:p>
        </w:tc>
        <w:tc>
          <w:tcPr>
            <w:tcW w:w="3880" w:type="dxa"/>
            <w:vAlign w:val="bottom"/>
            <w:tcBorders>
              <w:bottom w:val="single" w:sz="8" w:color="auto"/>
            </w:tcBorders>
          </w:tcPr>
          <w:p>
            <w:pPr>
              <w:spacing w:after="0"/>
              <w:rPr>
                <w:sz w:val="4"/>
                <w:szCs w:val="4"/>
                <w:color w:val="auto"/>
              </w:rPr>
            </w:pPr>
          </w:p>
        </w:tc>
        <w:tc>
          <w:tcPr>
            <w:tcW w:w="3880" w:type="dxa"/>
            <w:vAlign w:val="bottom"/>
            <w:tcBorders>
              <w:bottom w:val="single" w:sz="8" w:color="auto"/>
            </w:tcBorders>
          </w:tcPr>
          <w:p>
            <w:pPr>
              <w:spacing w:after="0"/>
              <w:rPr>
                <w:sz w:val="4"/>
                <w:szCs w:val="4"/>
                <w:color w:val="auto"/>
              </w:rPr>
            </w:pPr>
          </w:p>
        </w:tc>
      </w:tr>
      <w:tr>
        <w:trPr>
          <w:trHeight w:val="224"/>
        </w:trPr>
        <w:tc>
          <w:tcPr>
            <w:tcW w:w="3480" w:type="dxa"/>
            <w:vAlign w:val="bottom"/>
          </w:tcPr>
          <w:p>
            <w:pPr>
              <w:ind w:left="100"/>
              <w:spacing w:after="0"/>
              <w:rPr>
                <w:sz w:val="20"/>
                <w:szCs w:val="20"/>
                <w:color w:val="auto"/>
              </w:rPr>
            </w:pPr>
            <w:r>
              <w:rPr>
                <w:rFonts w:ascii="Arial" w:cs="Arial" w:eastAsia="Arial" w:hAnsi="Arial"/>
                <w:sz w:val="14"/>
                <w:szCs w:val="14"/>
                <w:b w:val="1"/>
                <w:bCs w:val="1"/>
                <w:color w:val="auto"/>
              </w:rPr>
              <w:t>Mr. Schlossman</w:t>
            </w:r>
          </w:p>
        </w:tc>
        <w:tc>
          <w:tcPr>
            <w:tcW w:w="3880" w:type="dxa"/>
            <w:vAlign w:val="bottom"/>
          </w:tcPr>
          <w:p>
            <w:pPr>
              <w:jc w:val="right"/>
              <w:ind w:right="84"/>
              <w:spacing w:after="0"/>
              <w:rPr>
                <w:sz w:val="20"/>
                <w:szCs w:val="20"/>
                <w:color w:val="auto"/>
              </w:rPr>
            </w:pPr>
            <w:r>
              <w:rPr>
                <w:rFonts w:ascii="Arial" w:cs="Arial" w:eastAsia="Arial" w:hAnsi="Arial"/>
                <w:sz w:val="14"/>
                <w:szCs w:val="14"/>
                <w:color w:val="auto"/>
              </w:rPr>
              <w:t>82,500</w:t>
            </w:r>
          </w:p>
        </w:tc>
        <w:tc>
          <w:tcPr>
            <w:tcW w:w="3880" w:type="dxa"/>
            <w:vAlign w:val="bottom"/>
          </w:tcPr>
          <w:p>
            <w:pPr>
              <w:jc w:val="right"/>
              <w:ind w:right="84"/>
              <w:spacing w:after="0"/>
              <w:rPr>
                <w:sz w:val="20"/>
                <w:szCs w:val="20"/>
                <w:color w:val="auto"/>
              </w:rPr>
            </w:pPr>
            <w:r>
              <w:rPr>
                <w:rFonts w:ascii="Arial" w:cs="Arial" w:eastAsia="Arial" w:hAnsi="Arial"/>
                <w:sz w:val="14"/>
                <w:szCs w:val="14"/>
                <w:color w:val="auto"/>
              </w:rPr>
              <w:t>113,334</w:t>
            </w:r>
          </w:p>
        </w:tc>
      </w:tr>
      <w:tr>
        <w:trPr>
          <w:trHeight w:val="53"/>
        </w:trPr>
        <w:tc>
          <w:tcPr>
            <w:tcW w:w="3480" w:type="dxa"/>
            <w:vAlign w:val="bottom"/>
            <w:tcBorders>
              <w:bottom w:val="single" w:sz="8" w:color="auto"/>
            </w:tcBorders>
          </w:tcPr>
          <w:p>
            <w:pPr>
              <w:spacing w:after="0"/>
              <w:rPr>
                <w:sz w:val="4"/>
                <w:szCs w:val="4"/>
                <w:color w:val="auto"/>
              </w:rPr>
            </w:pPr>
          </w:p>
        </w:tc>
        <w:tc>
          <w:tcPr>
            <w:tcW w:w="3880" w:type="dxa"/>
            <w:vAlign w:val="bottom"/>
            <w:tcBorders>
              <w:bottom w:val="single" w:sz="8" w:color="auto"/>
            </w:tcBorders>
          </w:tcPr>
          <w:p>
            <w:pPr>
              <w:spacing w:after="0"/>
              <w:rPr>
                <w:sz w:val="4"/>
                <w:szCs w:val="4"/>
                <w:color w:val="auto"/>
              </w:rPr>
            </w:pPr>
          </w:p>
        </w:tc>
        <w:tc>
          <w:tcPr>
            <w:tcW w:w="3880" w:type="dxa"/>
            <w:vAlign w:val="bottom"/>
            <w:tcBorders>
              <w:bottom w:val="single" w:sz="8" w:color="auto"/>
            </w:tcBorders>
          </w:tcPr>
          <w:p>
            <w:pPr>
              <w:spacing w:after="0"/>
              <w:rPr>
                <w:sz w:val="4"/>
                <w:szCs w:val="4"/>
                <w:color w:val="auto"/>
              </w:rPr>
            </w:pPr>
          </w:p>
        </w:tc>
      </w:tr>
    </w:tbl>
    <w:p>
      <w:pPr>
        <w:spacing w:after="0" w:line="339" w:lineRule="exact"/>
        <w:rPr>
          <w:sz w:val="20"/>
          <w:szCs w:val="20"/>
          <w:color w:val="auto"/>
        </w:rPr>
      </w:pPr>
    </w:p>
    <w:p>
      <w:pPr>
        <w:ind w:right="40"/>
        <w:spacing w:after="0" w:line="336" w:lineRule="auto"/>
        <w:rPr>
          <w:sz w:val="20"/>
          <w:szCs w:val="20"/>
          <w:color w:val="auto"/>
        </w:rPr>
      </w:pPr>
      <w:r>
        <w:rPr>
          <w:rFonts w:ascii="Arial" w:cs="Arial" w:eastAsia="Arial" w:hAnsi="Arial"/>
          <w:sz w:val="16"/>
          <w:szCs w:val="16"/>
          <w:color w:val="auto"/>
        </w:rPr>
        <w:t>In September 2021, the compensation committee determined that we had achieved 102.6% of our revenue target and 121.7% of our calculated billing target for the second half of fiscal 2021, resulting in cash payments equal to 113.0% and 150.0%, respectively. In addition, because the average level of achievement for these metrics for second half of fiscal 2021 was greater than 100%, the discretionary portion of the bonus pool reserved for our CEO was funded at 150%. Our CEO determined (with compensation committee approval) that, because we had significantly exceeded our calculated billings target for the second half of the fiscal year and factoring in our performance with respect to other key metrics that we use internally to monitor our financial progress against our annual operating plan, it was appropriate to award 150% of the discretionary bonus pool to each of our Senior Executives. As a result, the cash bonus payments to our eligible Named Executive Officers for the second half of the year were equal to 140.8% of their target annual cash bonus award opportunities for that period.</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color w:val="auto"/>
        </w:rPr>
        <w:t>As a result, the cash bonus payments to our eligible Named Executive Officers (other than Mr. Rajic) for the second half of the year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147955</wp:posOffset>
            </wp:positionV>
            <wp:extent cx="8890" cy="33401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8890" cy="334010"/>
                    </a:xfrm>
                    <a:prstGeom prst="rect">
                      <a:avLst/>
                    </a:prstGeom>
                    <a:noFill/>
                  </pic:spPr>
                </pic:pic>
              </a:graphicData>
            </a:graphic>
          </wp:anchor>
        </w:drawing>
        <w:drawing>
          <wp:anchor simplePos="0" relativeHeight="251657728" behindDoc="1" locked="0" layoutInCell="0" allowOverlap="1">
            <wp:simplePos x="0" y="0"/>
            <wp:positionH relativeFrom="column">
              <wp:posOffset>2207895</wp:posOffset>
            </wp:positionH>
            <wp:positionV relativeFrom="paragraph">
              <wp:posOffset>147955</wp:posOffset>
            </wp:positionV>
            <wp:extent cx="8255" cy="33401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8255" cy="334010"/>
                    </a:xfrm>
                    <a:prstGeom prst="rect">
                      <a:avLst/>
                    </a:prstGeom>
                    <a:noFill/>
                  </pic:spPr>
                </pic:pic>
              </a:graphicData>
            </a:graphic>
          </wp:anchor>
        </w:drawing>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3480" w:type="dxa"/>
            <w:vAlign w:val="bottom"/>
            <w:shd w:val="clear" w:color="auto" w:fill="000000"/>
          </w:tcPr>
          <w:p>
            <w:pPr>
              <w:spacing w:after="0"/>
              <w:rPr>
                <w:sz w:val="17"/>
                <w:szCs w:val="17"/>
                <w:color w:val="auto"/>
              </w:rPr>
            </w:pPr>
          </w:p>
        </w:tc>
        <w:tc>
          <w:tcPr>
            <w:tcW w:w="3880" w:type="dxa"/>
            <w:vAlign w:val="bottom"/>
            <w:shd w:val="clear" w:color="auto" w:fill="2B338D"/>
          </w:tcPr>
          <w:p>
            <w:pPr>
              <w:jc w:val="right"/>
              <w:ind w:right="84"/>
              <w:spacing w:after="0"/>
              <w:rPr>
                <w:sz w:val="20"/>
                <w:szCs w:val="20"/>
                <w:color w:val="auto"/>
              </w:rPr>
            </w:pPr>
            <w:r>
              <w:rPr>
                <w:rFonts w:ascii="Arial" w:cs="Arial" w:eastAsia="Arial" w:hAnsi="Arial"/>
                <w:sz w:val="16"/>
                <w:szCs w:val="16"/>
                <w:b w:val="1"/>
                <w:bCs w:val="1"/>
                <w:color w:val="FFFFFF"/>
              </w:rPr>
              <w:t>Second Half Target Bonus Opportunity</w:t>
            </w:r>
          </w:p>
        </w:tc>
        <w:tc>
          <w:tcPr>
            <w:tcW w:w="3880" w:type="dxa"/>
            <w:vAlign w:val="bottom"/>
            <w:shd w:val="clear" w:color="auto" w:fill="009ADA"/>
          </w:tcPr>
          <w:p>
            <w:pPr>
              <w:jc w:val="right"/>
              <w:ind w:right="84"/>
              <w:spacing w:after="0"/>
              <w:rPr>
                <w:sz w:val="20"/>
                <w:szCs w:val="20"/>
                <w:color w:val="auto"/>
              </w:rPr>
            </w:pPr>
            <w:r>
              <w:rPr>
                <w:rFonts w:ascii="Arial" w:cs="Arial" w:eastAsia="Arial" w:hAnsi="Arial"/>
                <w:sz w:val="16"/>
                <w:szCs w:val="16"/>
                <w:b w:val="1"/>
                <w:bCs w:val="1"/>
                <w:color w:val="FFFFFF"/>
              </w:rPr>
              <w:t>Second Half Bonus Payment</w:t>
            </w:r>
          </w:p>
        </w:tc>
      </w:tr>
      <w:tr>
        <w:trPr>
          <w:trHeight w:val="215"/>
        </w:trPr>
        <w:tc>
          <w:tcPr>
            <w:tcW w:w="3480" w:type="dxa"/>
            <w:vAlign w:val="bottom"/>
            <w:shd w:val="clear" w:color="auto" w:fill="000000"/>
          </w:tcPr>
          <w:p>
            <w:pPr>
              <w:ind w:left="100"/>
              <w:spacing w:after="0"/>
              <w:rPr>
                <w:sz w:val="20"/>
                <w:szCs w:val="20"/>
                <w:color w:val="auto"/>
              </w:rPr>
            </w:pPr>
            <w:r>
              <w:rPr>
                <w:rFonts w:ascii="Arial" w:cs="Arial" w:eastAsia="Arial" w:hAnsi="Arial"/>
                <w:sz w:val="16"/>
                <w:szCs w:val="16"/>
                <w:b w:val="1"/>
                <w:bCs w:val="1"/>
                <w:color w:val="FFFFFF"/>
              </w:rPr>
              <w:t>Named Executive Officer</w:t>
            </w:r>
          </w:p>
        </w:tc>
        <w:tc>
          <w:tcPr>
            <w:tcW w:w="3880" w:type="dxa"/>
            <w:vAlign w:val="bottom"/>
            <w:shd w:val="clear" w:color="auto" w:fill="2B338D"/>
          </w:tcPr>
          <w:p>
            <w:pPr>
              <w:jc w:val="right"/>
              <w:ind w:right="84"/>
              <w:spacing w:after="0"/>
              <w:rPr>
                <w:sz w:val="20"/>
                <w:szCs w:val="20"/>
                <w:color w:val="auto"/>
              </w:rPr>
            </w:pPr>
            <w:r>
              <w:rPr>
                <w:rFonts w:ascii="Arial" w:cs="Arial" w:eastAsia="Arial" w:hAnsi="Arial"/>
                <w:sz w:val="16"/>
                <w:szCs w:val="16"/>
                <w:b w:val="1"/>
                <w:bCs w:val="1"/>
                <w:color w:val="FFFFFF"/>
              </w:rPr>
              <w:t>($)</w:t>
            </w:r>
          </w:p>
        </w:tc>
        <w:tc>
          <w:tcPr>
            <w:tcW w:w="3880" w:type="dxa"/>
            <w:vAlign w:val="bottom"/>
            <w:shd w:val="clear" w:color="auto" w:fill="009ADA"/>
          </w:tcPr>
          <w:p>
            <w:pPr>
              <w:jc w:val="right"/>
              <w:ind w:right="84"/>
              <w:spacing w:after="0"/>
              <w:rPr>
                <w:sz w:val="20"/>
                <w:szCs w:val="20"/>
                <w:color w:val="auto"/>
              </w:rPr>
            </w:pPr>
            <w:r>
              <w:rPr>
                <w:rFonts w:ascii="Arial" w:cs="Arial" w:eastAsia="Arial" w:hAnsi="Arial"/>
                <w:sz w:val="16"/>
                <w:szCs w:val="16"/>
                <w:b w:val="1"/>
                <w:bCs w:val="1"/>
                <w:color w:val="FFFFFF"/>
              </w:rPr>
              <w:t>($)</w:t>
            </w:r>
          </w:p>
        </w:tc>
      </w:tr>
      <w:tr>
        <w:trPr>
          <w:trHeight w:val="114"/>
        </w:trPr>
        <w:tc>
          <w:tcPr>
            <w:tcW w:w="3480" w:type="dxa"/>
            <w:vAlign w:val="bottom"/>
            <w:shd w:val="clear" w:color="auto" w:fill="000000"/>
          </w:tcPr>
          <w:p>
            <w:pPr>
              <w:spacing w:after="0"/>
              <w:rPr>
                <w:sz w:val="9"/>
                <w:szCs w:val="9"/>
                <w:color w:val="auto"/>
              </w:rPr>
            </w:pPr>
          </w:p>
        </w:tc>
        <w:tc>
          <w:tcPr>
            <w:tcW w:w="3880" w:type="dxa"/>
            <w:vAlign w:val="bottom"/>
            <w:shd w:val="clear" w:color="auto" w:fill="2B338D"/>
          </w:tcPr>
          <w:p>
            <w:pPr>
              <w:spacing w:after="0"/>
              <w:rPr>
                <w:sz w:val="9"/>
                <w:szCs w:val="9"/>
                <w:color w:val="auto"/>
              </w:rPr>
            </w:pPr>
          </w:p>
        </w:tc>
        <w:tc>
          <w:tcPr>
            <w:tcW w:w="3880" w:type="dxa"/>
            <w:vAlign w:val="bottom"/>
            <w:shd w:val="clear" w:color="auto" w:fill="009ADA"/>
          </w:tcPr>
          <w:p>
            <w:pPr>
              <w:spacing w:after="0"/>
              <w:rPr>
                <w:sz w:val="9"/>
                <w:szCs w:val="9"/>
                <w:color w:val="auto"/>
              </w:rPr>
            </w:pPr>
          </w:p>
        </w:tc>
      </w:tr>
      <w:tr>
        <w:trPr>
          <w:trHeight w:val="231"/>
        </w:trPr>
        <w:tc>
          <w:tcPr>
            <w:tcW w:w="3480" w:type="dxa"/>
            <w:vAlign w:val="bottom"/>
          </w:tcPr>
          <w:p>
            <w:pPr>
              <w:ind w:left="100"/>
              <w:spacing w:after="0"/>
              <w:rPr>
                <w:sz w:val="20"/>
                <w:szCs w:val="20"/>
                <w:color w:val="auto"/>
              </w:rPr>
            </w:pPr>
            <w:r>
              <w:rPr>
                <w:rFonts w:ascii="Arial" w:cs="Arial" w:eastAsia="Arial" w:hAnsi="Arial"/>
                <w:sz w:val="14"/>
                <w:szCs w:val="14"/>
                <w:b w:val="1"/>
                <w:bCs w:val="1"/>
                <w:color w:val="auto"/>
              </w:rPr>
              <w:t>Mr. Canessa</w:t>
            </w:r>
          </w:p>
        </w:tc>
        <w:tc>
          <w:tcPr>
            <w:tcW w:w="3880" w:type="dxa"/>
            <w:vAlign w:val="bottom"/>
          </w:tcPr>
          <w:p>
            <w:pPr>
              <w:jc w:val="right"/>
              <w:ind w:right="84"/>
              <w:spacing w:after="0"/>
              <w:rPr>
                <w:sz w:val="20"/>
                <w:szCs w:val="20"/>
                <w:color w:val="auto"/>
              </w:rPr>
            </w:pPr>
            <w:r>
              <w:rPr>
                <w:rFonts w:ascii="Arial" w:cs="Arial" w:eastAsia="Arial" w:hAnsi="Arial"/>
                <w:sz w:val="14"/>
                <w:szCs w:val="14"/>
                <w:color w:val="auto"/>
              </w:rPr>
              <w:t>125,000</w:t>
            </w:r>
          </w:p>
        </w:tc>
        <w:tc>
          <w:tcPr>
            <w:tcW w:w="3880" w:type="dxa"/>
            <w:vAlign w:val="bottom"/>
          </w:tcPr>
          <w:p>
            <w:pPr>
              <w:jc w:val="right"/>
              <w:ind w:right="84"/>
              <w:spacing w:after="0"/>
              <w:rPr>
                <w:sz w:val="20"/>
                <w:szCs w:val="20"/>
                <w:color w:val="auto"/>
              </w:rPr>
            </w:pPr>
            <w:r>
              <w:rPr>
                <w:rFonts w:ascii="Arial" w:cs="Arial" w:eastAsia="Arial" w:hAnsi="Arial"/>
                <w:sz w:val="14"/>
                <w:szCs w:val="14"/>
                <w:color w:val="auto"/>
              </w:rPr>
              <w:t>175,938</w:t>
            </w:r>
          </w:p>
        </w:tc>
      </w:tr>
      <w:tr>
        <w:trPr>
          <w:trHeight w:val="52"/>
        </w:trPr>
        <w:tc>
          <w:tcPr>
            <w:tcW w:w="3480" w:type="dxa"/>
            <w:vAlign w:val="bottom"/>
            <w:tcBorders>
              <w:bottom w:val="single" w:sz="8" w:color="auto"/>
            </w:tcBorders>
          </w:tcPr>
          <w:p>
            <w:pPr>
              <w:spacing w:after="0"/>
              <w:rPr>
                <w:sz w:val="4"/>
                <w:szCs w:val="4"/>
                <w:color w:val="auto"/>
              </w:rPr>
            </w:pPr>
          </w:p>
        </w:tc>
        <w:tc>
          <w:tcPr>
            <w:tcW w:w="3880" w:type="dxa"/>
            <w:vAlign w:val="bottom"/>
            <w:tcBorders>
              <w:bottom w:val="single" w:sz="8" w:color="auto"/>
            </w:tcBorders>
          </w:tcPr>
          <w:p>
            <w:pPr>
              <w:spacing w:after="0"/>
              <w:rPr>
                <w:sz w:val="4"/>
                <w:szCs w:val="4"/>
                <w:color w:val="auto"/>
              </w:rPr>
            </w:pPr>
          </w:p>
        </w:tc>
        <w:tc>
          <w:tcPr>
            <w:tcW w:w="3880" w:type="dxa"/>
            <w:vAlign w:val="bottom"/>
            <w:tcBorders>
              <w:bottom w:val="single" w:sz="8" w:color="auto"/>
            </w:tcBorders>
          </w:tcPr>
          <w:p>
            <w:pPr>
              <w:spacing w:after="0"/>
              <w:rPr>
                <w:sz w:val="4"/>
                <w:szCs w:val="4"/>
                <w:color w:val="auto"/>
              </w:rPr>
            </w:pPr>
          </w:p>
        </w:tc>
      </w:tr>
      <w:tr>
        <w:trPr>
          <w:trHeight w:val="225"/>
        </w:trPr>
        <w:tc>
          <w:tcPr>
            <w:tcW w:w="3480" w:type="dxa"/>
            <w:vAlign w:val="bottom"/>
          </w:tcPr>
          <w:p>
            <w:pPr>
              <w:ind w:left="100"/>
              <w:spacing w:after="0"/>
              <w:rPr>
                <w:sz w:val="20"/>
                <w:szCs w:val="20"/>
                <w:color w:val="auto"/>
              </w:rPr>
            </w:pPr>
            <w:r>
              <w:rPr>
                <w:rFonts w:ascii="Arial" w:cs="Arial" w:eastAsia="Arial" w:hAnsi="Arial"/>
                <w:sz w:val="14"/>
                <w:szCs w:val="14"/>
                <w:b w:val="1"/>
                <w:bCs w:val="1"/>
                <w:color w:val="auto"/>
              </w:rPr>
              <w:t>Mr. Sinha</w:t>
            </w:r>
          </w:p>
        </w:tc>
        <w:tc>
          <w:tcPr>
            <w:tcW w:w="3880" w:type="dxa"/>
            <w:vAlign w:val="bottom"/>
          </w:tcPr>
          <w:p>
            <w:pPr>
              <w:jc w:val="right"/>
              <w:ind w:right="84"/>
              <w:spacing w:after="0"/>
              <w:rPr>
                <w:sz w:val="20"/>
                <w:szCs w:val="20"/>
                <w:color w:val="auto"/>
              </w:rPr>
            </w:pPr>
            <w:r>
              <w:rPr>
                <w:rFonts w:ascii="Arial" w:cs="Arial" w:eastAsia="Arial" w:hAnsi="Arial"/>
                <w:sz w:val="14"/>
                <w:szCs w:val="14"/>
                <w:color w:val="auto"/>
              </w:rPr>
              <w:t>125,000</w:t>
            </w:r>
          </w:p>
        </w:tc>
        <w:tc>
          <w:tcPr>
            <w:tcW w:w="3880" w:type="dxa"/>
            <w:vAlign w:val="bottom"/>
          </w:tcPr>
          <w:p>
            <w:pPr>
              <w:jc w:val="right"/>
              <w:ind w:right="84"/>
              <w:spacing w:after="0"/>
              <w:rPr>
                <w:sz w:val="20"/>
                <w:szCs w:val="20"/>
                <w:color w:val="auto"/>
              </w:rPr>
            </w:pPr>
            <w:r>
              <w:rPr>
                <w:rFonts w:ascii="Arial" w:cs="Arial" w:eastAsia="Arial" w:hAnsi="Arial"/>
                <w:sz w:val="14"/>
                <w:szCs w:val="14"/>
                <w:color w:val="auto"/>
              </w:rPr>
              <w:t>175,938</w:t>
            </w:r>
          </w:p>
        </w:tc>
      </w:tr>
      <w:tr>
        <w:trPr>
          <w:trHeight w:val="53"/>
        </w:trPr>
        <w:tc>
          <w:tcPr>
            <w:tcW w:w="3480" w:type="dxa"/>
            <w:vAlign w:val="bottom"/>
            <w:tcBorders>
              <w:bottom w:val="single" w:sz="8" w:color="auto"/>
            </w:tcBorders>
          </w:tcPr>
          <w:p>
            <w:pPr>
              <w:spacing w:after="0"/>
              <w:rPr>
                <w:sz w:val="4"/>
                <w:szCs w:val="4"/>
                <w:color w:val="auto"/>
              </w:rPr>
            </w:pPr>
          </w:p>
        </w:tc>
        <w:tc>
          <w:tcPr>
            <w:tcW w:w="3880" w:type="dxa"/>
            <w:vAlign w:val="bottom"/>
            <w:tcBorders>
              <w:bottom w:val="single" w:sz="8" w:color="auto"/>
            </w:tcBorders>
          </w:tcPr>
          <w:p>
            <w:pPr>
              <w:spacing w:after="0"/>
              <w:rPr>
                <w:sz w:val="4"/>
                <w:szCs w:val="4"/>
                <w:color w:val="auto"/>
              </w:rPr>
            </w:pPr>
          </w:p>
        </w:tc>
        <w:tc>
          <w:tcPr>
            <w:tcW w:w="3880" w:type="dxa"/>
            <w:vAlign w:val="bottom"/>
            <w:tcBorders>
              <w:bottom w:val="single" w:sz="8" w:color="auto"/>
            </w:tcBorders>
          </w:tcPr>
          <w:p>
            <w:pPr>
              <w:spacing w:after="0"/>
              <w:rPr>
                <w:sz w:val="4"/>
                <w:szCs w:val="4"/>
                <w:color w:val="auto"/>
              </w:rPr>
            </w:pPr>
          </w:p>
        </w:tc>
      </w:tr>
      <w:tr>
        <w:trPr>
          <w:trHeight w:val="225"/>
        </w:trPr>
        <w:tc>
          <w:tcPr>
            <w:tcW w:w="3480" w:type="dxa"/>
            <w:vAlign w:val="bottom"/>
          </w:tcPr>
          <w:p>
            <w:pPr>
              <w:ind w:left="100"/>
              <w:spacing w:after="0"/>
              <w:rPr>
                <w:sz w:val="20"/>
                <w:szCs w:val="20"/>
                <w:color w:val="auto"/>
              </w:rPr>
            </w:pPr>
            <w:r>
              <w:rPr>
                <w:rFonts w:ascii="Arial" w:cs="Arial" w:eastAsia="Arial" w:hAnsi="Arial"/>
                <w:sz w:val="14"/>
                <w:szCs w:val="14"/>
                <w:b w:val="1"/>
                <w:bCs w:val="1"/>
                <w:color w:val="auto"/>
              </w:rPr>
              <w:t>Mr. Schlossman</w:t>
            </w:r>
          </w:p>
        </w:tc>
        <w:tc>
          <w:tcPr>
            <w:tcW w:w="3880" w:type="dxa"/>
            <w:vAlign w:val="bottom"/>
          </w:tcPr>
          <w:p>
            <w:pPr>
              <w:jc w:val="right"/>
              <w:ind w:right="84"/>
              <w:spacing w:after="0"/>
              <w:rPr>
                <w:sz w:val="20"/>
                <w:szCs w:val="20"/>
                <w:color w:val="auto"/>
              </w:rPr>
            </w:pPr>
            <w:r>
              <w:rPr>
                <w:rFonts w:ascii="Arial" w:cs="Arial" w:eastAsia="Arial" w:hAnsi="Arial"/>
                <w:sz w:val="14"/>
                <w:szCs w:val="14"/>
                <w:color w:val="auto"/>
              </w:rPr>
              <w:t>82,500</w:t>
            </w:r>
          </w:p>
        </w:tc>
        <w:tc>
          <w:tcPr>
            <w:tcW w:w="3880" w:type="dxa"/>
            <w:vAlign w:val="bottom"/>
          </w:tcPr>
          <w:p>
            <w:pPr>
              <w:jc w:val="right"/>
              <w:ind w:right="84"/>
              <w:spacing w:after="0"/>
              <w:rPr>
                <w:sz w:val="20"/>
                <w:szCs w:val="20"/>
                <w:color w:val="auto"/>
              </w:rPr>
            </w:pPr>
            <w:r>
              <w:rPr>
                <w:rFonts w:ascii="Arial" w:cs="Arial" w:eastAsia="Arial" w:hAnsi="Arial"/>
                <w:sz w:val="14"/>
                <w:szCs w:val="14"/>
                <w:color w:val="auto"/>
              </w:rPr>
              <w:t>116,119</w:t>
            </w:r>
          </w:p>
        </w:tc>
      </w:tr>
      <w:tr>
        <w:trPr>
          <w:trHeight w:val="53"/>
        </w:trPr>
        <w:tc>
          <w:tcPr>
            <w:tcW w:w="3480" w:type="dxa"/>
            <w:vAlign w:val="bottom"/>
            <w:tcBorders>
              <w:bottom w:val="single" w:sz="8" w:color="auto"/>
            </w:tcBorders>
          </w:tcPr>
          <w:p>
            <w:pPr>
              <w:spacing w:after="0"/>
              <w:rPr>
                <w:sz w:val="4"/>
                <w:szCs w:val="4"/>
                <w:color w:val="auto"/>
              </w:rPr>
            </w:pPr>
          </w:p>
        </w:tc>
        <w:tc>
          <w:tcPr>
            <w:tcW w:w="3880" w:type="dxa"/>
            <w:vAlign w:val="bottom"/>
            <w:tcBorders>
              <w:bottom w:val="single" w:sz="8" w:color="auto"/>
            </w:tcBorders>
          </w:tcPr>
          <w:p>
            <w:pPr>
              <w:spacing w:after="0"/>
              <w:rPr>
                <w:sz w:val="4"/>
                <w:szCs w:val="4"/>
                <w:color w:val="auto"/>
              </w:rPr>
            </w:pPr>
          </w:p>
        </w:tc>
        <w:tc>
          <w:tcPr>
            <w:tcW w:w="3880" w:type="dxa"/>
            <w:vAlign w:val="bottom"/>
            <w:tcBorders>
              <w:bottom w:val="single" w:sz="8" w:color="auto"/>
            </w:tcBorders>
          </w:tcPr>
          <w:p>
            <w:pPr>
              <w:spacing w:after="0"/>
              <w:rPr>
                <w:sz w:val="4"/>
                <w:szCs w:val="4"/>
                <w:color w:val="auto"/>
              </w:rPr>
            </w:pPr>
          </w:p>
        </w:tc>
      </w:tr>
    </w:tbl>
    <w:p>
      <w:pPr>
        <w:spacing w:after="0" w:line="353" w:lineRule="exact"/>
        <w:rPr>
          <w:sz w:val="20"/>
          <w:szCs w:val="20"/>
          <w:color w:val="auto"/>
        </w:rPr>
      </w:pPr>
    </w:p>
    <w:p>
      <w:pPr>
        <w:spacing w:after="0"/>
        <w:rPr>
          <w:sz w:val="20"/>
          <w:szCs w:val="20"/>
          <w:color w:val="auto"/>
        </w:rPr>
      </w:pPr>
      <w:r>
        <w:rPr>
          <w:rFonts w:ascii="Arial" w:cs="Arial" w:eastAsia="Arial" w:hAnsi="Arial"/>
          <w:sz w:val="16"/>
          <w:szCs w:val="16"/>
          <w:color w:val="009ADA"/>
        </w:rPr>
        <w:t>Cash Bonus Payments for Mr. Rajic</w:t>
      </w:r>
    </w:p>
    <w:p>
      <w:pPr>
        <w:spacing w:after="0" w:line="127" w:lineRule="exact"/>
        <w:rPr>
          <w:sz w:val="20"/>
          <w:szCs w:val="20"/>
          <w:color w:val="auto"/>
        </w:rPr>
      </w:pPr>
    </w:p>
    <w:p>
      <w:pPr>
        <w:ind w:right="40"/>
        <w:spacing w:after="0" w:line="341" w:lineRule="auto"/>
        <w:rPr>
          <w:sz w:val="20"/>
          <w:szCs w:val="20"/>
          <w:color w:val="auto"/>
        </w:rPr>
      </w:pPr>
      <w:r>
        <w:rPr>
          <w:rFonts w:ascii="Arial" w:cs="Arial" w:eastAsia="Arial" w:hAnsi="Arial"/>
          <w:sz w:val="16"/>
          <w:szCs w:val="16"/>
          <w:color w:val="auto"/>
        </w:rPr>
        <w:t>As provided pursuant to his Employment Offer Letter, Mr. Rajic was eligible to participate in the Employee Incentive Compensation Plan on the same terms and conditions, described above for our other Senior Executives, subject to determination and receipt of his cash bonus payments on a quarterly, rather than a semi-annual,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263525</wp:posOffset>
            </wp:positionV>
            <wp:extent cx="342900" cy="21463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42900" cy="214630"/>
                    </a:xfrm>
                    <a:prstGeom prst="rect">
                      <a:avLst/>
                    </a:prstGeom>
                    <a:noFill/>
                  </pic:spPr>
                </pic:pic>
              </a:graphicData>
            </a:graphic>
          </wp:anchor>
        </w:drawing>
      </w:r>
    </w:p>
    <w:p>
      <w:pPr>
        <w:spacing w:after="0" w:line="333" w:lineRule="exact"/>
        <w:rPr>
          <w:sz w:val="20"/>
          <w:szCs w:val="20"/>
          <w:color w:val="auto"/>
        </w:rPr>
      </w:pPr>
    </w:p>
    <w:p>
      <w:pPr>
        <w:jc w:val="both"/>
        <w:ind w:left="5540"/>
        <w:spacing w:after="0"/>
        <w:tabs>
          <w:tab w:leader="none" w:pos="9780" w:val="left"/>
        </w:tabs>
        <w:rPr>
          <w:sz w:val="20"/>
          <w:szCs w:val="20"/>
          <w:color w:val="auto"/>
        </w:rPr>
      </w:pPr>
      <w:r>
        <w:rPr>
          <w:rFonts w:ascii="Arial" w:cs="Arial" w:eastAsia="Arial" w:hAnsi="Arial"/>
          <w:sz w:val="29"/>
          <w:szCs w:val="29"/>
          <w:color w:val="auto"/>
          <w:vertAlign w:val="superscript"/>
        </w:rPr>
        <w:t>49</w:t>
      </w:r>
      <w:r>
        <w:rPr>
          <w:sz w:val="20"/>
          <w:szCs w:val="20"/>
          <w:color w:val="auto"/>
        </w:rPr>
        <w:tab/>
      </w:r>
      <w:r>
        <w:rPr>
          <w:rFonts w:ascii="Arial" w:cs="Arial" w:eastAsia="Arial" w:hAnsi="Arial"/>
          <w:sz w:val="14"/>
          <w:szCs w:val="14"/>
          <w:color w:val="auto"/>
        </w:rPr>
        <w:t>2021 Proxy Statement</w:t>
      </w:r>
    </w:p>
    <w:p>
      <w:pPr>
        <w:sectPr>
          <w:pgSz w:w="11900" w:h="16838" w:orient="portrait"/>
          <w:cols w:equalWidth="0" w:num="1">
            <w:col w:w="11240"/>
          </w:cols>
          <w:pgMar w:left="320" w:top="172" w:right="339" w:bottom="1440" w:gutter="0" w:footer="0" w:header="0"/>
        </w:sectPr>
      </w:pPr>
    </w:p>
    <w:bookmarkStart w:id="53" w:name="page54"/>
    <w:bookmarkEnd w:id="53"/>
    <w:p>
      <w:pPr>
        <w:ind w:left="280"/>
        <w:spacing w:after="0"/>
        <w:rPr>
          <w:sz w:val="20"/>
          <w:szCs w:val="20"/>
          <w:color w:val="auto"/>
        </w:rPr>
      </w:pPr>
      <w:r>
        <w:rPr>
          <w:rFonts w:ascii="Arial" w:cs="Arial" w:eastAsia="Arial" w:hAnsi="Arial"/>
          <w:sz w:val="13"/>
          <w:szCs w:val="13"/>
          <w:b w:val="1"/>
          <w:bCs w:val="1"/>
          <w:color w:val="929292"/>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7470" cy="596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7470" cy="59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6"/>
          <w:szCs w:val="16"/>
          <w:color w:val="auto"/>
        </w:rPr>
        <w:t>Based on our corporate performance and the exercise of our CEO’s discretion, the cash bonus payments to Mr. Rajic for fiscal 2021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147955</wp:posOffset>
            </wp:positionV>
            <wp:extent cx="8890" cy="30861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8890" cy="308610"/>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147955</wp:posOffset>
            </wp:positionV>
            <wp:extent cx="8890" cy="30861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8890" cy="308610"/>
                    </a:xfrm>
                    <a:prstGeom prst="rect">
                      <a:avLst/>
                    </a:prstGeom>
                    <a:noFill/>
                  </pic:spPr>
                </pic:pic>
              </a:graphicData>
            </a:graphic>
          </wp:anchor>
        </w:drawing>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3460" w:type="dxa"/>
            <w:vAlign w:val="bottom"/>
            <w:shd w:val="clear" w:color="auto" w:fill="000000"/>
          </w:tcPr>
          <w:p>
            <w:pPr>
              <w:spacing w:after="0"/>
              <w:rPr>
                <w:sz w:val="17"/>
                <w:szCs w:val="17"/>
                <w:color w:val="auto"/>
              </w:rPr>
            </w:pPr>
          </w:p>
        </w:tc>
        <w:tc>
          <w:tcPr>
            <w:tcW w:w="3900" w:type="dxa"/>
            <w:vAlign w:val="bottom"/>
            <w:shd w:val="clear" w:color="auto" w:fill="2B338D"/>
          </w:tcPr>
          <w:p>
            <w:pPr>
              <w:jc w:val="right"/>
              <w:ind w:right="85"/>
              <w:spacing w:after="0"/>
              <w:rPr>
                <w:sz w:val="20"/>
                <w:szCs w:val="20"/>
                <w:color w:val="auto"/>
              </w:rPr>
            </w:pPr>
            <w:r>
              <w:rPr>
                <w:rFonts w:ascii="Arial" w:cs="Arial" w:eastAsia="Arial" w:hAnsi="Arial"/>
                <w:sz w:val="16"/>
                <w:szCs w:val="16"/>
                <w:b w:val="1"/>
                <w:bCs w:val="1"/>
                <w:color w:val="FFFFFF"/>
              </w:rPr>
              <w:t>Quarterly Target Bonus Opportunity</w:t>
            </w:r>
          </w:p>
        </w:tc>
        <w:tc>
          <w:tcPr>
            <w:tcW w:w="3880" w:type="dxa"/>
            <w:vAlign w:val="bottom"/>
            <w:shd w:val="clear" w:color="auto" w:fill="009ADA"/>
          </w:tcPr>
          <w:p>
            <w:pPr>
              <w:jc w:val="right"/>
              <w:ind w:right="85"/>
              <w:spacing w:after="0"/>
              <w:rPr>
                <w:sz w:val="20"/>
                <w:szCs w:val="20"/>
                <w:color w:val="auto"/>
              </w:rPr>
            </w:pPr>
            <w:r>
              <w:rPr>
                <w:rFonts w:ascii="Arial" w:cs="Arial" w:eastAsia="Arial" w:hAnsi="Arial"/>
                <w:sz w:val="16"/>
                <w:szCs w:val="16"/>
                <w:b w:val="1"/>
                <w:bCs w:val="1"/>
                <w:color w:val="FFFFFF"/>
              </w:rPr>
              <w:t>Quarterly Bonus Payment</w:t>
            </w:r>
          </w:p>
        </w:tc>
      </w:tr>
      <w:tr>
        <w:trPr>
          <w:trHeight w:val="215"/>
        </w:trPr>
        <w:tc>
          <w:tcPr>
            <w:tcW w:w="3460" w:type="dxa"/>
            <w:vAlign w:val="bottom"/>
            <w:shd w:val="clear" w:color="auto" w:fill="000000"/>
          </w:tcPr>
          <w:p>
            <w:pPr>
              <w:ind w:left="100"/>
              <w:spacing w:after="0"/>
              <w:rPr>
                <w:sz w:val="20"/>
                <w:szCs w:val="20"/>
                <w:color w:val="auto"/>
              </w:rPr>
            </w:pPr>
            <w:r>
              <w:rPr>
                <w:rFonts w:ascii="Arial" w:cs="Arial" w:eastAsia="Arial" w:hAnsi="Arial"/>
                <w:sz w:val="16"/>
                <w:szCs w:val="16"/>
                <w:b w:val="1"/>
                <w:bCs w:val="1"/>
                <w:color w:val="FFFFFF"/>
              </w:rPr>
              <w:t>Fiscal Period</w:t>
            </w:r>
          </w:p>
        </w:tc>
        <w:tc>
          <w:tcPr>
            <w:tcW w:w="3900" w:type="dxa"/>
            <w:vAlign w:val="bottom"/>
            <w:shd w:val="clear" w:color="auto" w:fill="2B338D"/>
          </w:tcPr>
          <w:p>
            <w:pPr>
              <w:jc w:val="right"/>
              <w:ind w:right="85"/>
              <w:spacing w:after="0"/>
              <w:rPr>
                <w:sz w:val="20"/>
                <w:szCs w:val="20"/>
                <w:color w:val="auto"/>
              </w:rPr>
            </w:pPr>
            <w:r>
              <w:rPr>
                <w:rFonts w:ascii="Arial" w:cs="Arial" w:eastAsia="Arial" w:hAnsi="Arial"/>
                <w:sz w:val="16"/>
                <w:szCs w:val="16"/>
                <w:b w:val="1"/>
                <w:bCs w:val="1"/>
                <w:color w:val="FFFFFF"/>
              </w:rPr>
              <w:t>($)</w:t>
            </w:r>
          </w:p>
        </w:tc>
        <w:tc>
          <w:tcPr>
            <w:tcW w:w="3880" w:type="dxa"/>
            <w:vAlign w:val="bottom"/>
            <w:shd w:val="clear" w:color="auto" w:fill="009ADA"/>
          </w:tcPr>
          <w:p>
            <w:pPr>
              <w:jc w:val="right"/>
              <w:ind w:right="85"/>
              <w:spacing w:after="0"/>
              <w:rPr>
                <w:sz w:val="20"/>
                <w:szCs w:val="20"/>
                <w:color w:val="auto"/>
              </w:rPr>
            </w:pPr>
            <w:r>
              <w:rPr>
                <w:rFonts w:ascii="Arial" w:cs="Arial" w:eastAsia="Arial" w:hAnsi="Arial"/>
                <w:sz w:val="16"/>
                <w:szCs w:val="16"/>
                <w:b w:val="1"/>
                <w:bCs w:val="1"/>
                <w:color w:val="FFFFFF"/>
              </w:rPr>
              <w:t>($)</w:t>
            </w:r>
          </w:p>
        </w:tc>
      </w:tr>
      <w:tr>
        <w:trPr>
          <w:trHeight w:val="73"/>
        </w:trPr>
        <w:tc>
          <w:tcPr>
            <w:tcW w:w="3460" w:type="dxa"/>
            <w:vAlign w:val="bottom"/>
            <w:shd w:val="clear" w:color="auto" w:fill="000000"/>
          </w:tcPr>
          <w:p>
            <w:pPr>
              <w:spacing w:after="0"/>
              <w:rPr>
                <w:sz w:val="6"/>
                <w:szCs w:val="6"/>
                <w:color w:val="auto"/>
              </w:rPr>
            </w:pPr>
          </w:p>
        </w:tc>
        <w:tc>
          <w:tcPr>
            <w:tcW w:w="3900" w:type="dxa"/>
            <w:vAlign w:val="bottom"/>
            <w:shd w:val="clear" w:color="auto" w:fill="2B338D"/>
          </w:tcPr>
          <w:p>
            <w:pPr>
              <w:spacing w:after="0"/>
              <w:rPr>
                <w:sz w:val="6"/>
                <w:szCs w:val="6"/>
                <w:color w:val="auto"/>
              </w:rPr>
            </w:pPr>
          </w:p>
        </w:tc>
        <w:tc>
          <w:tcPr>
            <w:tcW w:w="3880" w:type="dxa"/>
            <w:vAlign w:val="bottom"/>
            <w:shd w:val="clear" w:color="auto" w:fill="009ADA"/>
          </w:tcPr>
          <w:p>
            <w:pPr>
              <w:spacing w:after="0"/>
              <w:rPr>
                <w:sz w:val="6"/>
                <w:szCs w:val="6"/>
                <w:color w:val="auto"/>
              </w:rPr>
            </w:pPr>
          </w:p>
        </w:tc>
      </w:tr>
      <w:tr>
        <w:trPr>
          <w:trHeight w:val="231"/>
        </w:trPr>
        <w:tc>
          <w:tcPr>
            <w:tcW w:w="3460" w:type="dxa"/>
            <w:vAlign w:val="bottom"/>
          </w:tcPr>
          <w:p>
            <w:pPr>
              <w:ind w:left="100"/>
              <w:spacing w:after="0"/>
              <w:rPr>
                <w:sz w:val="20"/>
                <w:szCs w:val="20"/>
                <w:color w:val="auto"/>
              </w:rPr>
            </w:pPr>
            <w:r>
              <w:rPr>
                <w:rFonts w:ascii="Arial" w:cs="Arial" w:eastAsia="Arial" w:hAnsi="Arial"/>
                <w:sz w:val="14"/>
                <w:szCs w:val="14"/>
                <w:b w:val="1"/>
                <w:bCs w:val="1"/>
                <w:color w:val="auto"/>
              </w:rPr>
              <w:t>First Fiscal Quarter</w:t>
            </w:r>
          </w:p>
        </w:tc>
        <w:tc>
          <w:tcPr>
            <w:tcW w:w="3900" w:type="dxa"/>
            <w:vAlign w:val="bottom"/>
          </w:tcPr>
          <w:p>
            <w:pPr>
              <w:jc w:val="right"/>
              <w:ind w:right="85"/>
              <w:spacing w:after="0"/>
              <w:rPr>
                <w:sz w:val="20"/>
                <w:szCs w:val="20"/>
                <w:color w:val="auto"/>
              </w:rPr>
            </w:pPr>
            <w:r>
              <w:rPr>
                <w:rFonts w:ascii="Arial" w:cs="Arial" w:eastAsia="Arial" w:hAnsi="Arial"/>
                <w:sz w:val="14"/>
                <w:szCs w:val="14"/>
                <w:color w:val="auto"/>
              </w:rPr>
              <w:t>100,000</w:t>
            </w:r>
          </w:p>
        </w:tc>
        <w:tc>
          <w:tcPr>
            <w:tcW w:w="3880" w:type="dxa"/>
            <w:vAlign w:val="bottom"/>
          </w:tcPr>
          <w:p>
            <w:pPr>
              <w:jc w:val="right"/>
              <w:ind w:right="85"/>
              <w:spacing w:after="0"/>
              <w:rPr>
                <w:sz w:val="20"/>
                <w:szCs w:val="20"/>
                <w:color w:val="auto"/>
              </w:rPr>
            </w:pPr>
            <w:r>
              <w:rPr>
                <w:rFonts w:ascii="Arial" w:cs="Arial" w:eastAsia="Arial" w:hAnsi="Arial"/>
                <w:sz w:val="14"/>
                <w:szCs w:val="14"/>
                <w:color w:val="auto"/>
              </w:rPr>
              <w:t>105,325</w:t>
            </w:r>
          </w:p>
        </w:tc>
      </w:tr>
      <w:tr>
        <w:trPr>
          <w:trHeight w:val="53"/>
        </w:trPr>
        <w:tc>
          <w:tcPr>
            <w:tcW w:w="3460" w:type="dxa"/>
            <w:vAlign w:val="bottom"/>
            <w:tcBorders>
              <w:bottom w:val="single" w:sz="8" w:color="auto"/>
            </w:tcBorders>
          </w:tcPr>
          <w:p>
            <w:pPr>
              <w:spacing w:after="0"/>
              <w:rPr>
                <w:sz w:val="4"/>
                <w:szCs w:val="4"/>
                <w:color w:val="auto"/>
              </w:rPr>
            </w:pPr>
          </w:p>
        </w:tc>
        <w:tc>
          <w:tcPr>
            <w:tcW w:w="3900" w:type="dxa"/>
            <w:vAlign w:val="bottom"/>
            <w:tcBorders>
              <w:bottom w:val="single" w:sz="8" w:color="auto"/>
            </w:tcBorders>
          </w:tcPr>
          <w:p>
            <w:pPr>
              <w:spacing w:after="0"/>
              <w:rPr>
                <w:sz w:val="4"/>
                <w:szCs w:val="4"/>
                <w:color w:val="auto"/>
              </w:rPr>
            </w:pPr>
          </w:p>
        </w:tc>
        <w:tc>
          <w:tcPr>
            <w:tcW w:w="3880" w:type="dxa"/>
            <w:vAlign w:val="bottom"/>
            <w:tcBorders>
              <w:bottom w:val="single" w:sz="8" w:color="auto"/>
            </w:tcBorders>
          </w:tcPr>
          <w:p>
            <w:pPr>
              <w:spacing w:after="0"/>
              <w:rPr>
                <w:sz w:val="4"/>
                <w:szCs w:val="4"/>
                <w:color w:val="auto"/>
              </w:rPr>
            </w:pPr>
          </w:p>
        </w:tc>
      </w:tr>
      <w:tr>
        <w:trPr>
          <w:trHeight w:val="224"/>
        </w:trPr>
        <w:tc>
          <w:tcPr>
            <w:tcW w:w="3460" w:type="dxa"/>
            <w:vAlign w:val="bottom"/>
          </w:tcPr>
          <w:p>
            <w:pPr>
              <w:ind w:left="100"/>
              <w:spacing w:after="0"/>
              <w:rPr>
                <w:sz w:val="20"/>
                <w:szCs w:val="20"/>
                <w:color w:val="auto"/>
              </w:rPr>
            </w:pPr>
            <w:r>
              <w:rPr>
                <w:rFonts w:ascii="Arial" w:cs="Arial" w:eastAsia="Arial" w:hAnsi="Arial"/>
                <w:sz w:val="14"/>
                <w:szCs w:val="14"/>
                <w:b w:val="1"/>
                <w:bCs w:val="1"/>
                <w:color w:val="auto"/>
              </w:rPr>
              <w:t>Second Fiscal Quarter</w:t>
            </w:r>
          </w:p>
        </w:tc>
        <w:tc>
          <w:tcPr>
            <w:tcW w:w="3900" w:type="dxa"/>
            <w:vAlign w:val="bottom"/>
          </w:tcPr>
          <w:p>
            <w:pPr>
              <w:jc w:val="right"/>
              <w:ind w:right="85"/>
              <w:spacing w:after="0"/>
              <w:rPr>
                <w:sz w:val="20"/>
                <w:szCs w:val="20"/>
                <w:color w:val="auto"/>
              </w:rPr>
            </w:pPr>
            <w:r>
              <w:rPr>
                <w:rFonts w:ascii="Arial" w:cs="Arial" w:eastAsia="Arial" w:hAnsi="Arial"/>
                <w:sz w:val="14"/>
                <w:szCs w:val="14"/>
                <w:color w:val="auto"/>
              </w:rPr>
              <w:t>100,000</w:t>
            </w:r>
          </w:p>
        </w:tc>
        <w:tc>
          <w:tcPr>
            <w:tcW w:w="3880" w:type="dxa"/>
            <w:vAlign w:val="bottom"/>
          </w:tcPr>
          <w:p>
            <w:pPr>
              <w:jc w:val="right"/>
              <w:ind w:right="85"/>
              <w:spacing w:after="0"/>
              <w:rPr>
                <w:sz w:val="20"/>
                <w:szCs w:val="20"/>
                <w:color w:val="auto"/>
              </w:rPr>
            </w:pPr>
            <w:r>
              <w:rPr>
                <w:rFonts w:ascii="Arial" w:cs="Arial" w:eastAsia="Arial" w:hAnsi="Arial"/>
                <w:sz w:val="14"/>
                <w:szCs w:val="14"/>
                <w:color w:val="auto"/>
              </w:rPr>
              <w:t>138,375</w:t>
            </w:r>
          </w:p>
        </w:tc>
      </w:tr>
      <w:tr>
        <w:trPr>
          <w:trHeight w:val="53"/>
        </w:trPr>
        <w:tc>
          <w:tcPr>
            <w:tcW w:w="3460" w:type="dxa"/>
            <w:vAlign w:val="bottom"/>
            <w:tcBorders>
              <w:bottom w:val="single" w:sz="8" w:color="auto"/>
            </w:tcBorders>
          </w:tcPr>
          <w:p>
            <w:pPr>
              <w:spacing w:after="0"/>
              <w:rPr>
                <w:sz w:val="4"/>
                <w:szCs w:val="4"/>
                <w:color w:val="auto"/>
              </w:rPr>
            </w:pPr>
          </w:p>
        </w:tc>
        <w:tc>
          <w:tcPr>
            <w:tcW w:w="3900" w:type="dxa"/>
            <w:vAlign w:val="bottom"/>
            <w:tcBorders>
              <w:bottom w:val="single" w:sz="8" w:color="auto"/>
            </w:tcBorders>
          </w:tcPr>
          <w:p>
            <w:pPr>
              <w:spacing w:after="0"/>
              <w:rPr>
                <w:sz w:val="4"/>
                <w:szCs w:val="4"/>
                <w:color w:val="auto"/>
              </w:rPr>
            </w:pPr>
          </w:p>
        </w:tc>
        <w:tc>
          <w:tcPr>
            <w:tcW w:w="3880" w:type="dxa"/>
            <w:vAlign w:val="bottom"/>
            <w:tcBorders>
              <w:bottom w:val="single" w:sz="8" w:color="auto"/>
            </w:tcBorders>
          </w:tcPr>
          <w:p>
            <w:pPr>
              <w:spacing w:after="0"/>
              <w:rPr>
                <w:sz w:val="4"/>
                <w:szCs w:val="4"/>
                <w:color w:val="auto"/>
              </w:rPr>
            </w:pPr>
          </w:p>
        </w:tc>
      </w:tr>
      <w:tr>
        <w:trPr>
          <w:trHeight w:val="224"/>
        </w:trPr>
        <w:tc>
          <w:tcPr>
            <w:tcW w:w="3460" w:type="dxa"/>
            <w:vAlign w:val="bottom"/>
          </w:tcPr>
          <w:p>
            <w:pPr>
              <w:ind w:left="100"/>
              <w:spacing w:after="0"/>
              <w:rPr>
                <w:sz w:val="20"/>
                <w:szCs w:val="20"/>
                <w:color w:val="auto"/>
              </w:rPr>
            </w:pPr>
            <w:r>
              <w:rPr>
                <w:rFonts w:ascii="Arial" w:cs="Arial" w:eastAsia="Arial" w:hAnsi="Arial"/>
                <w:sz w:val="14"/>
                <w:szCs w:val="14"/>
                <w:b w:val="1"/>
                <w:bCs w:val="1"/>
                <w:color w:val="auto"/>
              </w:rPr>
              <w:t>Third Fiscal Quarter</w:t>
            </w:r>
          </w:p>
        </w:tc>
        <w:tc>
          <w:tcPr>
            <w:tcW w:w="3900" w:type="dxa"/>
            <w:vAlign w:val="bottom"/>
          </w:tcPr>
          <w:p>
            <w:pPr>
              <w:jc w:val="right"/>
              <w:ind w:right="85"/>
              <w:spacing w:after="0"/>
              <w:rPr>
                <w:sz w:val="20"/>
                <w:szCs w:val="20"/>
                <w:color w:val="auto"/>
              </w:rPr>
            </w:pPr>
            <w:r>
              <w:rPr>
                <w:rFonts w:ascii="Arial" w:cs="Arial" w:eastAsia="Arial" w:hAnsi="Arial"/>
                <w:sz w:val="14"/>
                <w:szCs w:val="14"/>
                <w:color w:val="auto"/>
              </w:rPr>
              <w:t>100,000</w:t>
            </w:r>
          </w:p>
        </w:tc>
        <w:tc>
          <w:tcPr>
            <w:tcW w:w="3880" w:type="dxa"/>
            <w:vAlign w:val="bottom"/>
          </w:tcPr>
          <w:p>
            <w:pPr>
              <w:jc w:val="right"/>
              <w:ind w:right="85"/>
              <w:spacing w:after="0"/>
              <w:rPr>
                <w:sz w:val="20"/>
                <w:szCs w:val="20"/>
                <w:color w:val="auto"/>
              </w:rPr>
            </w:pPr>
            <w:r>
              <w:rPr>
                <w:rFonts w:ascii="Arial" w:cs="Arial" w:eastAsia="Arial" w:hAnsi="Arial"/>
                <w:sz w:val="14"/>
                <w:szCs w:val="14"/>
                <w:color w:val="auto"/>
              </w:rPr>
              <w:t>141,375</w:t>
            </w:r>
          </w:p>
        </w:tc>
      </w:tr>
      <w:tr>
        <w:trPr>
          <w:trHeight w:val="53"/>
        </w:trPr>
        <w:tc>
          <w:tcPr>
            <w:tcW w:w="3460" w:type="dxa"/>
            <w:vAlign w:val="bottom"/>
            <w:tcBorders>
              <w:bottom w:val="single" w:sz="8" w:color="auto"/>
            </w:tcBorders>
          </w:tcPr>
          <w:p>
            <w:pPr>
              <w:spacing w:after="0"/>
              <w:rPr>
                <w:sz w:val="4"/>
                <w:szCs w:val="4"/>
                <w:color w:val="auto"/>
              </w:rPr>
            </w:pPr>
          </w:p>
        </w:tc>
        <w:tc>
          <w:tcPr>
            <w:tcW w:w="3900" w:type="dxa"/>
            <w:vAlign w:val="bottom"/>
            <w:tcBorders>
              <w:bottom w:val="single" w:sz="8" w:color="auto"/>
            </w:tcBorders>
          </w:tcPr>
          <w:p>
            <w:pPr>
              <w:spacing w:after="0"/>
              <w:rPr>
                <w:sz w:val="4"/>
                <w:szCs w:val="4"/>
                <w:color w:val="auto"/>
              </w:rPr>
            </w:pPr>
          </w:p>
        </w:tc>
        <w:tc>
          <w:tcPr>
            <w:tcW w:w="3880" w:type="dxa"/>
            <w:vAlign w:val="bottom"/>
            <w:tcBorders>
              <w:bottom w:val="single" w:sz="8" w:color="auto"/>
            </w:tcBorders>
          </w:tcPr>
          <w:p>
            <w:pPr>
              <w:spacing w:after="0"/>
              <w:rPr>
                <w:sz w:val="4"/>
                <w:szCs w:val="4"/>
                <w:color w:val="auto"/>
              </w:rPr>
            </w:pPr>
          </w:p>
        </w:tc>
      </w:tr>
      <w:tr>
        <w:trPr>
          <w:trHeight w:val="224"/>
        </w:trPr>
        <w:tc>
          <w:tcPr>
            <w:tcW w:w="3460" w:type="dxa"/>
            <w:vAlign w:val="bottom"/>
          </w:tcPr>
          <w:p>
            <w:pPr>
              <w:ind w:left="100"/>
              <w:spacing w:after="0"/>
              <w:rPr>
                <w:sz w:val="20"/>
                <w:szCs w:val="20"/>
                <w:color w:val="auto"/>
              </w:rPr>
            </w:pPr>
            <w:r>
              <w:rPr>
                <w:rFonts w:ascii="Arial" w:cs="Arial" w:eastAsia="Arial" w:hAnsi="Arial"/>
                <w:sz w:val="14"/>
                <w:szCs w:val="14"/>
                <w:b w:val="1"/>
                <w:bCs w:val="1"/>
                <w:color w:val="auto"/>
              </w:rPr>
              <w:t>Fourth Fiscal Quarter</w:t>
            </w:r>
          </w:p>
        </w:tc>
        <w:tc>
          <w:tcPr>
            <w:tcW w:w="3900" w:type="dxa"/>
            <w:vAlign w:val="bottom"/>
          </w:tcPr>
          <w:p>
            <w:pPr>
              <w:jc w:val="right"/>
              <w:ind w:right="85"/>
              <w:spacing w:after="0"/>
              <w:rPr>
                <w:sz w:val="20"/>
                <w:szCs w:val="20"/>
                <w:color w:val="auto"/>
              </w:rPr>
            </w:pPr>
            <w:r>
              <w:rPr>
                <w:rFonts w:ascii="Arial" w:cs="Arial" w:eastAsia="Arial" w:hAnsi="Arial"/>
                <w:sz w:val="14"/>
                <w:szCs w:val="14"/>
                <w:color w:val="auto"/>
              </w:rPr>
              <w:t>100,000</w:t>
            </w:r>
          </w:p>
        </w:tc>
        <w:tc>
          <w:tcPr>
            <w:tcW w:w="3880" w:type="dxa"/>
            <w:vAlign w:val="bottom"/>
          </w:tcPr>
          <w:p>
            <w:pPr>
              <w:jc w:val="right"/>
              <w:ind w:right="85"/>
              <w:spacing w:after="0"/>
              <w:rPr>
                <w:sz w:val="20"/>
                <w:szCs w:val="20"/>
                <w:color w:val="auto"/>
              </w:rPr>
            </w:pPr>
            <w:r>
              <w:rPr>
                <w:rFonts w:ascii="Arial" w:cs="Arial" w:eastAsia="Arial" w:hAnsi="Arial"/>
                <w:sz w:val="14"/>
                <w:szCs w:val="14"/>
                <w:color w:val="auto"/>
              </w:rPr>
              <w:t>141,375</w:t>
            </w:r>
          </w:p>
        </w:tc>
      </w:tr>
      <w:tr>
        <w:trPr>
          <w:trHeight w:val="53"/>
        </w:trPr>
        <w:tc>
          <w:tcPr>
            <w:tcW w:w="3460" w:type="dxa"/>
            <w:vAlign w:val="bottom"/>
            <w:tcBorders>
              <w:bottom w:val="single" w:sz="8" w:color="auto"/>
            </w:tcBorders>
          </w:tcPr>
          <w:p>
            <w:pPr>
              <w:spacing w:after="0"/>
              <w:rPr>
                <w:sz w:val="4"/>
                <w:szCs w:val="4"/>
                <w:color w:val="auto"/>
              </w:rPr>
            </w:pPr>
          </w:p>
        </w:tc>
        <w:tc>
          <w:tcPr>
            <w:tcW w:w="3900" w:type="dxa"/>
            <w:vAlign w:val="bottom"/>
            <w:tcBorders>
              <w:bottom w:val="single" w:sz="8" w:color="auto"/>
            </w:tcBorders>
          </w:tcPr>
          <w:p>
            <w:pPr>
              <w:spacing w:after="0"/>
              <w:rPr>
                <w:sz w:val="4"/>
                <w:szCs w:val="4"/>
                <w:color w:val="auto"/>
              </w:rPr>
            </w:pPr>
          </w:p>
        </w:tc>
        <w:tc>
          <w:tcPr>
            <w:tcW w:w="3880" w:type="dxa"/>
            <w:vAlign w:val="bottom"/>
            <w:tcBorders>
              <w:bottom w:val="single" w:sz="8" w:color="auto"/>
            </w:tcBorders>
          </w:tcPr>
          <w:p>
            <w:pPr>
              <w:spacing w:after="0"/>
              <w:rPr>
                <w:sz w:val="4"/>
                <w:szCs w:val="4"/>
                <w:color w:val="auto"/>
              </w:rPr>
            </w:pPr>
          </w:p>
        </w:tc>
      </w:tr>
    </w:tbl>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6"/>
          <w:szCs w:val="16"/>
          <w:color w:val="auto"/>
        </w:rPr>
        <w:t>The total cash bonuses paid to our Named Executive Officers for fiscal 2021 are set forth in the “Fiscal 2021 Summary Compensation Table” below.</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Long-Term Incentive Compensation</w:t>
      </w:r>
    </w:p>
    <w:p>
      <w:pPr>
        <w:spacing w:after="0" w:line="147" w:lineRule="exact"/>
        <w:rPr>
          <w:sz w:val="20"/>
          <w:szCs w:val="20"/>
          <w:color w:val="auto"/>
        </w:rPr>
      </w:pPr>
    </w:p>
    <w:p>
      <w:pPr>
        <w:jc w:val="both"/>
        <w:ind w:right="80"/>
        <w:spacing w:after="0" w:line="341" w:lineRule="auto"/>
        <w:rPr>
          <w:sz w:val="20"/>
          <w:szCs w:val="20"/>
          <w:color w:val="auto"/>
        </w:rPr>
      </w:pPr>
      <w:r>
        <w:rPr>
          <w:rFonts w:ascii="Arial" w:cs="Arial" w:eastAsia="Arial" w:hAnsi="Arial"/>
          <w:sz w:val="16"/>
          <w:szCs w:val="16"/>
          <w:color w:val="auto"/>
        </w:rPr>
        <w:t>We view long-term incentive compensation in the form of equity awards as a critical element of our executive compensation program. We use equity awards to incentivize and reward our Named Executive Officers for long-term corporate performance based on the value of our common stock and, thereby, to align the interests of our Named Executive Officers with those of our stockholders.</w:t>
      </w:r>
    </w:p>
    <w:p>
      <w:pPr>
        <w:spacing w:after="0" w:line="147" w:lineRule="exact"/>
        <w:rPr>
          <w:sz w:val="20"/>
          <w:szCs w:val="20"/>
          <w:color w:val="auto"/>
        </w:rPr>
      </w:pPr>
    </w:p>
    <w:p>
      <w:pPr>
        <w:ind w:right="20"/>
        <w:spacing w:after="0" w:line="336" w:lineRule="auto"/>
        <w:rPr>
          <w:sz w:val="20"/>
          <w:szCs w:val="20"/>
          <w:color w:val="auto"/>
        </w:rPr>
      </w:pPr>
      <w:r>
        <w:rPr>
          <w:rFonts w:ascii="Arial" w:cs="Arial" w:eastAsia="Arial" w:hAnsi="Arial"/>
          <w:sz w:val="16"/>
          <w:szCs w:val="16"/>
          <w:color w:val="auto"/>
        </w:rPr>
        <w:t>Currently, we use RSU awards and PSU awards to retain, motivate, and reward our Named Executive Officers for long-term increases in the value of our common stock and, thereby, to align their interests with those of our stockholders. Our PSU awards provide that our Named Executive Officers may earn shares of our common stock based on our achievement of pre-established target levels for one or more financial or operational performance measures as well as continued service. We also grant RSU awards with solely time-based vesting requirements to our Named Executive Officers other than our CEO. Because RSU awards have value to the recipient even in the absence of stock price appreciation, we are able to incentivize and retain our Named Executive Officers using fewer shares of our common stock than would be necessary if we regularly used stock options to provide equity to our executive officers. In addition, because the value of these RSU and PSU awards increases with any increase in the value of the underlying shares, RSU and PSU awards also provide incentives to our Named Executive Officers that are aligned with the interests of our stockholders.</w:t>
      </w:r>
    </w:p>
    <w:p>
      <w:pPr>
        <w:spacing w:after="0" w:line="153" w:lineRule="exact"/>
        <w:rPr>
          <w:sz w:val="20"/>
          <w:szCs w:val="20"/>
          <w:color w:val="auto"/>
        </w:rPr>
      </w:pPr>
    </w:p>
    <w:p>
      <w:pPr>
        <w:ind w:right="40"/>
        <w:spacing w:after="0" w:line="337" w:lineRule="auto"/>
        <w:rPr>
          <w:sz w:val="20"/>
          <w:szCs w:val="20"/>
          <w:color w:val="auto"/>
        </w:rPr>
      </w:pPr>
      <w:r>
        <w:rPr>
          <w:rFonts w:ascii="Arial" w:cs="Arial" w:eastAsia="Arial" w:hAnsi="Arial"/>
          <w:sz w:val="16"/>
          <w:szCs w:val="16"/>
          <w:color w:val="auto"/>
        </w:rPr>
        <w:t>To date, the compensation committee has not applied a rigid formula in determining the size and form of the equity awards to be granted to our Named Executive Officers. Instead, in making these decisions, the compensation committee has exercised its judgment as to the amount and form of the awards. The compensation committee considers the retention value of the equity compensation held by the Named Executive Officer, the cash compensation received by the Named Executive Officer, a competitive market analysis performed by its compensation consultant, the recommendations of our CEO (except with respect to his own equity awards), the amount of equity compensation held by the Named Executive Officer (including the current economic value of his or her unvested equity and the ability of these unvested holdings to satisfy our retention objectives), and the other factors described in “Compensation-Setting Process – Setting Target Total Direct Compensation” above. Based upon these factors, the compensation committee has determined the size of each award at levels it considered appropriate to create a meaningful opportunity for reward predicated on the creation of long-term stockholder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417830</wp:posOffset>
            </wp:positionV>
            <wp:extent cx="342900" cy="21463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42900" cy="214630"/>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jc w:val="both"/>
        <w:ind w:left="5540"/>
        <w:spacing w:after="0"/>
        <w:tabs>
          <w:tab w:leader="none" w:pos="9780" w:val="left"/>
        </w:tabs>
        <w:rPr>
          <w:sz w:val="20"/>
          <w:szCs w:val="20"/>
          <w:color w:val="auto"/>
        </w:rPr>
      </w:pPr>
      <w:r>
        <w:rPr>
          <w:rFonts w:ascii="Arial" w:cs="Arial" w:eastAsia="Arial" w:hAnsi="Arial"/>
          <w:sz w:val="29"/>
          <w:szCs w:val="29"/>
          <w:color w:val="auto"/>
          <w:vertAlign w:val="superscript"/>
        </w:rPr>
        <w:t>50</w:t>
      </w:r>
      <w:r>
        <w:rPr>
          <w:sz w:val="20"/>
          <w:szCs w:val="20"/>
          <w:color w:val="auto"/>
        </w:rPr>
        <w:tab/>
      </w:r>
      <w:r>
        <w:rPr>
          <w:rFonts w:ascii="Arial" w:cs="Arial" w:eastAsia="Arial" w:hAnsi="Arial"/>
          <w:sz w:val="14"/>
          <w:szCs w:val="14"/>
          <w:color w:val="auto"/>
        </w:rPr>
        <w:t>2021 Proxy Statement</w:t>
      </w:r>
    </w:p>
    <w:p>
      <w:pPr>
        <w:sectPr>
          <w:pgSz w:w="11900" w:h="16838" w:orient="portrait"/>
          <w:cols w:equalWidth="0" w:num="1">
            <w:col w:w="11240"/>
          </w:cols>
          <w:pgMar w:left="320" w:top="172" w:right="339" w:bottom="1440" w:gutter="0" w:footer="0" w:header="0"/>
        </w:sectPr>
      </w:pPr>
    </w:p>
    <w:bookmarkStart w:id="54" w:name="page55"/>
    <w:bookmarkEnd w:id="54"/>
    <w:p>
      <w:pPr>
        <w:ind w:left="280"/>
        <w:spacing w:after="0"/>
        <w:rPr>
          <w:sz w:val="20"/>
          <w:szCs w:val="20"/>
          <w:color w:val="auto"/>
        </w:rPr>
      </w:pPr>
      <w:r>
        <w:rPr>
          <w:rFonts w:ascii="Arial" w:cs="Arial" w:eastAsia="Arial" w:hAnsi="Arial"/>
          <w:sz w:val="13"/>
          <w:szCs w:val="13"/>
          <w:b w:val="1"/>
          <w:bCs w:val="1"/>
          <w:color w:val="929292"/>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7470" cy="596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7470" cy="59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6"/>
          <w:szCs w:val="16"/>
          <w:color w:val="009ADA"/>
        </w:rPr>
        <w:t>Fiscal 2021 Equity Awards</w:t>
      </w:r>
    </w:p>
    <w:p>
      <w:pPr>
        <w:spacing w:after="0" w:line="127" w:lineRule="exact"/>
        <w:rPr>
          <w:sz w:val="20"/>
          <w:szCs w:val="20"/>
          <w:color w:val="auto"/>
        </w:rPr>
      </w:pPr>
    </w:p>
    <w:p>
      <w:pPr>
        <w:ind w:right="220"/>
        <w:spacing w:after="0" w:line="339" w:lineRule="auto"/>
        <w:rPr>
          <w:sz w:val="20"/>
          <w:szCs w:val="20"/>
          <w:color w:val="auto"/>
        </w:rPr>
      </w:pPr>
      <w:r>
        <w:rPr>
          <w:rFonts w:ascii="Arial" w:cs="Arial" w:eastAsia="Arial" w:hAnsi="Arial"/>
          <w:sz w:val="16"/>
          <w:szCs w:val="16"/>
          <w:color w:val="auto"/>
        </w:rPr>
        <w:t>In April 2021, the compensation committee approved long-term incentive compensation opportunities in the form of RSU awards to our Named Executive Officers (other than our CEO) in amounts that it considered to be consistent with our compensation philosophy, its desired market positioning, and its retention objectives. The number of shares of our common stock subject to the RSU awards was determined by the compensation committee based on its consideration of the factors described above. The equity awards approved for grant to our Named Executive Officers in April 2021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93345</wp:posOffset>
            </wp:positionV>
            <wp:extent cx="8890" cy="30861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8890" cy="308610"/>
                    </a:xfrm>
                    <a:prstGeom prst="rect">
                      <a:avLst/>
                    </a:prstGeom>
                    <a:noFill/>
                  </pic:spPr>
                </pic:pic>
              </a:graphicData>
            </a:graphic>
          </wp:anchor>
        </w:drawing>
        <w:drawing>
          <wp:anchor simplePos="0" relativeHeight="251657728" behindDoc="1" locked="0" layoutInCell="0" allowOverlap="1">
            <wp:simplePos x="0" y="0"/>
            <wp:positionH relativeFrom="column">
              <wp:posOffset>2371090</wp:posOffset>
            </wp:positionH>
            <wp:positionV relativeFrom="paragraph">
              <wp:posOffset>93345</wp:posOffset>
            </wp:positionV>
            <wp:extent cx="8890" cy="30861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8890" cy="308610"/>
                    </a:xfrm>
                    <a:prstGeom prst="rect">
                      <a:avLst/>
                    </a:prstGeom>
                    <a:noFill/>
                  </pic:spPr>
                </pic:pic>
              </a:graphicData>
            </a:graphic>
          </wp:anchor>
        </w:drawing>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3740" w:type="dxa"/>
            <w:vAlign w:val="bottom"/>
            <w:shd w:val="clear" w:color="auto" w:fill="000000"/>
          </w:tcPr>
          <w:p>
            <w:pPr>
              <w:spacing w:after="0"/>
              <w:rPr>
                <w:sz w:val="17"/>
                <w:szCs w:val="17"/>
                <w:color w:val="auto"/>
              </w:rPr>
            </w:pPr>
          </w:p>
        </w:tc>
        <w:tc>
          <w:tcPr>
            <w:tcW w:w="3740" w:type="dxa"/>
            <w:vAlign w:val="bottom"/>
            <w:shd w:val="clear" w:color="auto" w:fill="2B338D"/>
          </w:tcPr>
          <w:p>
            <w:pPr>
              <w:jc w:val="center"/>
              <w:spacing w:after="0"/>
              <w:rPr>
                <w:sz w:val="20"/>
                <w:szCs w:val="20"/>
                <w:color w:val="auto"/>
              </w:rPr>
            </w:pPr>
            <w:r>
              <w:rPr>
                <w:rFonts w:ascii="Arial" w:cs="Arial" w:eastAsia="Arial" w:hAnsi="Arial"/>
                <w:sz w:val="16"/>
                <w:szCs w:val="16"/>
                <w:b w:val="1"/>
                <w:bCs w:val="1"/>
                <w:color w:val="FFFFFF"/>
              </w:rPr>
              <w:t>Restricted Stock Unit Award</w:t>
            </w:r>
          </w:p>
        </w:tc>
        <w:tc>
          <w:tcPr>
            <w:tcW w:w="3760" w:type="dxa"/>
            <w:vAlign w:val="bottom"/>
            <w:shd w:val="clear" w:color="auto" w:fill="009ADA"/>
          </w:tcPr>
          <w:p>
            <w:pPr>
              <w:jc w:val="center"/>
              <w:spacing w:after="0"/>
              <w:rPr>
                <w:sz w:val="20"/>
                <w:szCs w:val="20"/>
                <w:color w:val="auto"/>
              </w:rPr>
            </w:pPr>
            <w:r>
              <w:rPr>
                <w:rFonts w:ascii="Arial" w:cs="Arial" w:eastAsia="Arial" w:hAnsi="Arial"/>
                <w:sz w:val="16"/>
                <w:szCs w:val="16"/>
                <w:b w:val="1"/>
                <w:bCs w:val="1"/>
                <w:color w:val="FFFFFF"/>
              </w:rPr>
              <w:t>Restricted Stock Unit Award</w:t>
            </w:r>
          </w:p>
        </w:tc>
      </w:tr>
      <w:tr>
        <w:trPr>
          <w:trHeight w:val="215"/>
        </w:trPr>
        <w:tc>
          <w:tcPr>
            <w:tcW w:w="3740" w:type="dxa"/>
            <w:vAlign w:val="bottom"/>
            <w:shd w:val="clear" w:color="auto" w:fill="000000"/>
          </w:tcPr>
          <w:p>
            <w:pPr>
              <w:ind w:left="100"/>
              <w:spacing w:after="0"/>
              <w:rPr>
                <w:sz w:val="20"/>
                <w:szCs w:val="20"/>
                <w:color w:val="auto"/>
              </w:rPr>
            </w:pPr>
            <w:r>
              <w:rPr>
                <w:rFonts w:ascii="Arial" w:cs="Arial" w:eastAsia="Arial" w:hAnsi="Arial"/>
                <w:sz w:val="16"/>
                <w:szCs w:val="16"/>
                <w:b w:val="1"/>
                <w:bCs w:val="1"/>
                <w:color w:val="FFFFFF"/>
              </w:rPr>
              <w:t>Named Executive Officers</w:t>
            </w:r>
          </w:p>
        </w:tc>
        <w:tc>
          <w:tcPr>
            <w:tcW w:w="3740" w:type="dxa"/>
            <w:vAlign w:val="bottom"/>
            <w:shd w:val="clear" w:color="auto" w:fill="2B338D"/>
          </w:tcPr>
          <w:p>
            <w:pPr>
              <w:jc w:val="center"/>
              <w:spacing w:after="0"/>
              <w:rPr>
                <w:sz w:val="20"/>
                <w:szCs w:val="20"/>
                <w:color w:val="auto"/>
              </w:rPr>
            </w:pPr>
            <w:r>
              <w:rPr>
                <w:rFonts w:ascii="Arial" w:cs="Arial" w:eastAsia="Arial" w:hAnsi="Arial"/>
                <w:sz w:val="16"/>
                <w:szCs w:val="16"/>
                <w:b w:val="1"/>
                <w:bCs w:val="1"/>
                <w:color w:val="FFFFFF"/>
              </w:rPr>
              <w:t>(Number of shares)</w:t>
            </w:r>
          </w:p>
        </w:tc>
        <w:tc>
          <w:tcPr>
            <w:tcW w:w="3760" w:type="dxa"/>
            <w:vAlign w:val="bottom"/>
            <w:shd w:val="clear" w:color="auto" w:fill="009ADA"/>
          </w:tcPr>
          <w:p>
            <w:pPr>
              <w:jc w:val="center"/>
              <w:spacing w:after="0"/>
              <w:rPr>
                <w:sz w:val="20"/>
                <w:szCs w:val="20"/>
                <w:color w:val="auto"/>
              </w:rPr>
            </w:pPr>
            <w:r>
              <w:rPr>
                <w:rFonts w:ascii="Arial" w:cs="Arial" w:eastAsia="Arial" w:hAnsi="Arial"/>
                <w:sz w:val="16"/>
                <w:szCs w:val="16"/>
                <w:b w:val="1"/>
                <w:bCs w:val="1"/>
                <w:color w:val="FFFFFF"/>
                <w:w w:val="99"/>
              </w:rPr>
              <w:t>(Target Value)($)</w:t>
            </w:r>
          </w:p>
        </w:tc>
      </w:tr>
      <w:tr>
        <w:trPr>
          <w:trHeight w:val="73"/>
        </w:trPr>
        <w:tc>
          <w:tcPr>
            <w:tcW w:w="3740" w:type="dxa"/>
            <w:vAlign w:val="bottom"/>
            <w:shd w:val="clear" w:color="auto" w:fill="000000"/>
          </w:tcPr>
          <w:p>
            <w:pPr>
              <w:spacing w:after="0"/>
              <w:rPr>
                <w:sz w:val="6"/>
                <w:szCs w:val="6"/>
                <w:color w:val="auto"/>
              </w:rPr>
            </w:pPr>
          </w:p>
        </w:tc>
        <w:tc>
          <w:tcPr>
            <w:tcW w:w="3740" w:type="dxa"/>
            <w:vAlign w:val="bottom"/>
            <w:shd w:val="clear" w:color="auto" w:fill="2B338D"/>
          </w:tcPr>
          <w:p>
            <w:pPr>
              <w:spacing w:after="0"/>
              <w:rPr>
                <w:sz w:val="6"/>
                <w:szCs w:val="6"/>
                <w:color w:val="auto"/>
              </w:rPr>
            </w:pPr>
          </w:p>
        </w:tc>
        <w:tc>
          <w:tcPr>
            <w:tcW w:w="3760" w:type="dxa"/>
            <w:vAlign w:val="bottom"/>
            <w:shd w:val="clear" w:color="auto" w:fill="009ADA"/>
          </w:tcPr>
          <w:p>
            <w:pPr>
              <w:spacing w:after="0"/>
              <w:rPr>
                <w:sz w:val="6"/>
                <w:szCs w:val="6"/>
                <w:color w:val="auto"/>
              </w:rPr>
            </w:pPr>
          </w:p>
        </w:tc>
      </w:tr>
      <w:tr>
        <w:trPr>
          <w:trHeight w:val="231"/>
        </w:trPr>
        <w:tc>
          <w:tcPr>
            <w:tcW w:w="3740" w:type="dxa"/>
            <w:vAlign w:val="bottom"/>
          </w:tcPr>
          <w:p>
            <w:pPr>
              <w:ind w:left="100"/>
              <w:spacing w:after="0"/>
              <w:rPr>
                <w:sz w:val="20"/>
                <w:szCs w:val="20"/>
                <w:color w:val="auto"/>
              </w:rPr>
            </w:pPr>
            <w:r>
              <w:rPr>
                <w:rFonts w:ascii="Arial" w:cs="Arial" w:eastAsia="Arial" w:hAnsi="Arial"/>
                <w:sz w:val="14"/>
                <w:szCs w:val="14"/>
                <w:b w:val="1"/>
                <w:bCs w:val="1"/>
                <w:color w:val="auto"/>
              </w:rPr>
              <w:t>Mr. Chaudhry</w:t>
            </w:r>
          </w:p>
        </w:tc>
        <w:tc>
          <w:tcPr>
            <w:tcW w:w="37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3760" w:type="dxa"/>
            <w:vAlign w:val="bottom"/>
          </w:tcPr>
          <w:p>
            <w:pPr>
              <w:jc w:val="center"/>
              <w:spacing w:after="0"/>
              <w:rPr>
                <w:sz w:val="20"/>
                <w:szCs w:val="20"/>
                <w:color w:val="auto"/>
              </w:rPr>
            </w:pPr>
            <w:r>
              <w:rPr>
                <w:rFonts w:ascii="Arial" w:cs="Arial" w:eastAsia="Arial" w:hAnsi="Arial"/>
                <w:sz w:val="14"/>
                <w:szCs w:val="14"/>
                <w:color w:val="auto"/>
                <w:w w:val="99"/>
              </w:rPr>
              <w:t>—</w:t>
            </w:r>
          </w:p>
        </w:tc>
      </w:tr>
      <w:tr>
        <w:trPr>
          <w:trHeight w:val="53"/>
        </w:trPr>
        <w:tc>
          <w:tcPr>
            <w:tcW w:w="3740" w:type="dxa"/>
            <w:vAlign w:val="bottom"/>
            <w:tcBorders>
              <w:bottom w:val="single" w:sz="8" w:color="auto"/>
            </w:tcBorders>
          </w:tcPr>
          <w:p>
            <w:pPr>
              <w:spacing w:after="0"/>
              <w:rPr>
                <w:sz w:val="4"/>
                <w:szCs w:val="4"/>
                <w:color w:val="auto"/>
              </w:rPr>
            </w:pPr>
          </w:p>
        </w:tc>
        <w:tc>
          <w:tcPr>
            <w:tcW w:w="3740" w:type="dxa"/>
            <w:vAlign w:val="bottom"/>
            <w:tcBorders>
              <w:bottom w:val="single" w:sz="8" w:color="auto"/>
            </w:tcBorders>
          </w:tcPr>
          <w:p>
            <w:pPr>
              <w:spacing w:after="0"/>
              <w:rPr>
                <w:sz w:val="4"/>
                <w:szCs w:val="4"/>
                <w:color w:val="auto"/>
              </w:rPr>
            </w:pPr>
          </w:p>
        </w:tc>
        <w:tc>
          <w:tcPr>
            <w:tcW w:w="3760" w:type="dxa"/>
            <w:vAlign w:val="bottom"/>
            <w:tcBorders>
              <w:bottom w:val="single" w:sz="8" w:color="auto"/>
            </w:tcBorders>
          </w:tcPr>
          <w:p>
            <w:pPr>
              <w:spacing w:after="0"/>
              <w:rPr>
                <w:sz w:val="4"/>
                <w:szCs w:val="4"/>
                <w:color w:val="auto"/>
              </w:rPr>
            </w:pPr>
          </w:p>
        </w:tc>
      </w:tr>
      <w:tr>
        <w:trPr>
          <w:trHeight w:val="224"/>
        </w:trPr>
        <w:tc>
          <w:tcPr>
            <w:tcW w:w="3740" w:type="dxa"/>
            <w:vAlign w:val="bottom"/>
          </w:tcPr>
          <w:p>
            <w:pPr>
              <w:ind w:left="100"/>
              <w:spacing w:after="0"/>
              <w:rPr>
                <w:sz w:val="20"/>
                <w:szCs w:val="20"/>
                <w:color w:val="auto"/>
              </w:rPr>
            </w:pPr>
            <w:r>
              <w:rPr>
                <w:rFonts w:ascii="Arial" w:cs="Arial" w:eastAsia="Arial" w:hAnsi="Arial"/>
                <w:sz w:val="14"/>
                <w:szCs w:val="14"/>
                <w:b w:val="1"/>
                <w:bCs w:val="1"/>
                <w:color w:val="auto"/>
              </w:rPr>
              <w:t>Mr. Canessa</w:t>
            </w:r>
          </w:p>
        </w:tc>
        <w:tc>
          <w:tcPr>
            <w:tcW w:w="3740" w:type="dxa"/>
            <w:vAlign w:val="bottom"/>
          </w:tcPr>
          <w:p>
            <w:pPr>
              <w:jc w:val="center"/>
              <w:spacing w:after="0"/>
              <w:rPr>
                <w:sz w:val="20"/>
                <w:szCs w:val="20"/>
                <w:color w:val="auto"/>
              </w:rPr>
            </w:pPr>
            <w:r>
              <w:rPr>
                <w:rFonts w:ascii="Arial" w:cs="Arial" w:eastAsia="Arial" w:hAnsi="Arial"/>
                <w:sz w:val="14"/>
                <w:szCs w:val="14"/>
                <w:color w:val="auto"/>
              </w:rPr>
              <w:t>13,830</w:t>
            </w:r>
          </w:p>
        </w:tc>
        <w:tc>
          <w:tcPr>
            <w:tcW w:w="3760" w:type="dxa"/>
            <w:vAlign w:val="bottom"/>
          </w:tcPr>
          <w:p>
            <w:pPr>
              <w:jc w:val="center"/>
              <w:spacing w:after="0"/>
              <w:rPr>
                <w:sz w:val="20"/>
                <w:szCs w:val="20"/>
                <w:color w:val="auto"/>
              </w:rPr>
            </w:pPr>
            <w:r>
              <w:rPr>
                <w:rFonts w:ascii="Arial" w:cs="Arial" w:eastAsia="Arial" w:hAnsi="Arial"/>
                <w:sz w:val="14"/>
                <w:szCs w:val="14"/>
                <w:color w:val="auto"/>
              </w:rPr>
              <w:t>2.5 million</w:t>
            </w:r>
          </w:p>
        </w:tc>
      </w:tr>
      <w:tr>
        <w:trPr>
          <w:trHeight w:val="53"/>
        </w:trPr>
        <w:tc>
          <w:tcPr>
            <w:tcW w:w="3740" w:type="dxa"/>
            <w:vAlign w:val="bottom"/>
            <w:tcBorders>
              <w:bottom w:val="single" w:sz="8" w:color="auto"/>
            </w:tcBorders>
          </w:tcPr>
          <w:p>
            <w:pPr>
              <w:spacing w:after="0"/>
              <w:rPr>
                <w:sz w:val="4"/>
                <w:szCs w:val="4"/>
                <w:color w:val="auto"/>
              </w:rPr>
            </w:pPr>
          </w:p>
        </w:tc>
        <w:tc>
          <w:tcPr>
            <w:tcW w:w="3740" w:type="dxa"/>
            <w:vAlign w:val="bottom"/>
            <w:tcBorders>
              <w:bottom w:val="single" w:sz="8" w:color="auto"/>
            </w:tcBorders>
          </w:tcPr>
          <w:p>
            <w:pPr>
              <w:spacing w:after="0"/>
              <w:rPr>
                <w:sz w:val="4"/>
                <w:szCs w:val="4"/>
                <w:color w:val="auto"/>
              </w:rPr>
            </w:pPr>
          </w:p>
        </w:tc>
        <w:tc>
          <w:tcPr>
            <w:tcW w:w="3760" w:type="dxa"/>
            <w:vAlign w:val="bottom"/>
            <w:tcBorders>
              <w:bottom w:val="single" w:sz="8" w:color="auto"/>
            </w:tcBorders>
          </w:tcPr>
          <w:p>
            <w:pPr>
              <w:spacing w:after="0"/>
              <w:rPr>
                <w:sz w:val="4"/>
                <w:szCs w:val="4"/>
                <w:color w:val="auto"/>
              </w:rPr>
            </w:pPr>
          </w:p>
        </w:tc>
      </w:tr>
      <w:tr>
        <w:trPr>
          <w:trHeight w:val="224"/>
        </w:trPr>
        <w:tc>
          <w:tcPr>
            <w:tcW w:w="3740" w:type="dxa"/>
            <w:vAlign w:val="bottom"/>
          </w:tcPr>
          <w:p>
            <w:pPr>
              <w:ind w:left="100"/>
              <w:spacing w:after="0"/>
              <w:rPr>
                <w:sz w:val="20"/>
                <w:szCs w:val="20"/>
                <w:color w:val="auto"/>
              </w:rPr>
            </w:pPr>
            <w:r>
              <w:rPr>
                <w:rFonts w:ascii="Arial" w:cs="Arial" w:eastAsia="Arial" w:hAnsi="Arial"/>
                <w:sz w:val="14"/>
                <w:szCs w:val="14"/>
                <w:b w:val="1"/>
                <w:bCs w:val="1"/>
                <w:color w:val="auto"/>
              </w:rPr>
              <w:t>Dr. Sinha</w:t>
            </w:r>
          </w:p>
        </w:tc>
        <w:tc>
          <w:tcPr>
            <w:tcW w:w="3740" w:type="dxa"/>
            <w:vAlign w:val="bottom"/>
          </w:tcPr>
          <w:p>
            <w:pPr>
              <w:jc w:val="center"/>
              <w:spacing w:after="0"/>
              <w:rPr>
                <w:sz w:val="20"/>
                <w:szCs w:val="20"/>
                <w:color w:val="auto"/>
              </w:rPr>
            </w:pPr>
            <w:r>
              <w:rPr>
                <w:rFonts w:ascii="Arial" w:cs="Arial" w:eastAsia="Arial" w:hAnsi="Arial"/>
                <w:sz w:val="14"/>
                <w:szCs w:val="14"/>
                <w:color w:val="auto"/>
              </w:rPr>
              <w:t>27,659</w:t>
            </w:r>
          </w:p>
        </w:tc>
        <w:tc>
          <w:tcPr>
            <w:tcW w:w="3760" w:type="dxa"/>
            <w:vAlign w:val="bottom"/>
          </w:tcPr>
          <w:p>
            <w:pPr>
              <w:jc w:val="center"/>
              <w:spacing w:after="0"/>
              <w:rPr>
                <w:sz w:val="20"/>
                <w:szCs w:val="20"/>
                <w:color w:val="auto"/>
              </w:rPr>
            </w:pPr>
            <w:r>
              <w:rPr>
                <w:rFonts w:ascii="Arial" w:cs="Arial" w:eastAsia="Arial" w:hAnsi="Arial"/>
                <w:sz w:val="14"/>
                <w:szCs w:val="14"/>
                <w:color w:val="auto"/>
              </w:rPr>
              <w:t>5 million</w:t>
            </w:r>
          </w:p>
        </w:tc>
      </w:tr>
      <w:tr>
        <w:trPr>
          <w:trHeight w:val="53"/>
        </w:trPr>
        <w:tc>
          <w:tcPr>
            <w:tcW w:w="3740" w:type="dxa"/>
            <w:vAlign w:val="bottom"/>
            <w:tcBorders>
              <w:bottom w:val="single" w:sz="8" w:color="auto"/>
            </w:tcBorders>
          </w:tcPr>
          <w:p>
            <w:pPr>
              <w:spacing w:after="0"/>
              <w:rPr>
                <w:sz w:val="4"/>
                <w:szCs w:val="4"/>
                <w:color w:val="auto"/>
              </w:rPr>
            </w:pPr>
          </w:p>
        </w:tc>
        <w:tc>
          <w:tcPr>
            <w:tcW w:w="3740" w:type="dxa"/>
            <w:vAlign w:val="bottom"/>
            <w:tcBorders>
              <w:bottom w:val="single" w:sz="8" w:color="auto"/>
            </w:tcBorders>
          </w:tcPr>
          <w:p>
            <w:pPr>
              <w:spacing w:after="0"/>
              <w:rPr>
                <w:sz w:val="4"/>
                <w:szCs w:val="4"/>
                <w:color w:val="auto"/>
              </w:rPr>
            </w:pPr>
          </w:p>
        </w:tc>
        <w:tc>
          <w:tcPr>
            <w:tcW w:w="3760" w:type="dxa"/>
            <w:vAlign w:val="bottom"/>
            <w:tcBorders>
              <w:bottom w:val="single" w:sz="8" w:color="auto"/>
            </w:tcBorders>
          </w:tcPr>
          <w:p>
            <w:pPr>
              <w:spacing w:after="0"/>
              <w:rPr>
                <w:sz w:val="4"/>
                <w:szCs w:val="4"/>
                <w:color w:val="auto"/>
              </w:rPr>
            </w:pPr>
          </w:p>
        </w:tc>
      </w:tr>
      <w:tr>
        <w:trPr>
          <w:trHeight w:val="224"/>
        </w:trPr>
        <w:tc>
          <w:tcPr>
            <w:tcW w:w="3740" w:type="dxa"/>
            <w:vAlign w:val="bottom"/>
          </w:tcPr>
          <w:p>
            <w:pPr>
              <w:ind w:left="100"/>
              <w:spacing w:after="0"/>
              <w:rPr>
                <w:sz w:val="20"/>
                <w:szCs w:val="20"/>
                <w:color w:val="auto"/>
              </w:rPr>
            </w:pPr>
            <w:r>
              <w:rPr>
                <w:rFonts w:ascii="Arial" w:cs="Arial" w:eastAsia="Arial" w:hAnsi="Arial"/>
                <w:sz w:val="14"/>
                <w:szCs w:val="14"/>
                <w:b w:val="1"/>
                <w:bCs w:val="1"/>
                <w:color w:val="auto"/>
              </w:rPr>
              <w:t>Mr. Rajic</w:t>
            </w:r>
          </w:p>
        </w:tc>
        <w:tc>
          <w:tcPr>
            <w:tcW w:w="3740" w:type="dxa"/>
            <w:vAlign w:val="bottom"/>
          </w:tcPr>
          <w:p>
            <w:pPr>
              <w:jc w:val="center"/>
              <w:spacing w:after="0"/>
              <w:rPr>
                <w:sz w:val="20"/>
                <w:szCs w:val="20"/>
                <w:color w:val="auto"/>
              </w:rPr>
            </w:pPr>
            <w:r>
              <w:rPr>
                <w:rFonts w:ascii="Arial" w:cs="Arial" w:eastAsia="Arial" w:hAnsi="Arial"/>
                <w:sz w:val="14"/>
                <w:szCs w:val="14"/>
                <w:color w:val="auto"/>
              </w:rPr>
              <w:t>27,659</w:t>
            </w:r>
          </w:p>
        </w:tc>
        <w:tc>
          <w:tcPr>
            <w:tcW w:w="3760" w:type="dxa"/>
            <w:vAlign w:val="bottom"/>
          </w:tcPr>
          <w:p>
            <w:pPr>
              <w:jc w:val="center"/>
              <w:spacing w:after="0"/>
              <w:rPr>
                <w:sz w:val="20"/>
                <w:szCs w:val="20"/>
                <w:color w:val="auto"/>
              </w:rPr>
            </w:pPr>
            <w:r>
              <w:rPr>
                <w:rFonts w:ascii="Arial" w:cs="Arial" w:eastAsia="Arial" w:hAnsi="Arial"/>
                <w:sz w:val="14"/>
                <w:szCs w:val="14"/>
                <w:color w:val="auto"/>
              </w:rPr>
              <w:t>5 million</w:t>
            </w:r>
          </w:p>
        </w:tc>
      </w:tr>
      <w:tr>
        <w:trPr>
          <w:trHeight w:val="53"/>
        </w:trPr>
        <w:tc>
          <w:tcPr>
            <w:tcW w:w="3740" w:type="dxa"/>
            <w:vAlign w:val="bottom"/>
            <w:tcBorders>
              <w:bottom w:val="single" w:sz="8" w:color="auto"/>
            </w:tcBorders>
          </w:tcPr>
          <w:p>
            <w:pPr>
              <w:spacing w:after="0"/>
              <w:rPr>
                <w:sz w:val="4"/>
                <w:szCs w:val="4"/>
                <w:color w:val="auto"/>
              </w:rPr>
            </w:pPr>
          </w:p>
        </w:tc>
        <w:tc>
          <w:tcPr>
            <w:tcW w:w="3740" w:type="dxa"/>
            <w:vAlign w:val="bottom"/>
            <w:tcBorders>
              <w:bottom w:val="single" w:sz="8" w:color="auto"/>
            </w:tcBorders>
          </w:tcPr>
          <w:p>
            <w:pPr>
              <w:spacing w:after="0"/>
              <w:rPr>
                <w:sz w:val="4"/>
                <w:szCs w:val="4"/>
                <w:color w:val="auto"/>
              </w:rPr>
            </w:pPr>
          </w:p>
        </w:tc>
        <w:tc>
          <w:tcPr>
            <w:tcW w:w="3760" w:type="dxa"/>
            <w:vAlign w:val="bottom"/>
            <w:tcBorders>
              <w:bottom w:val="single" w:sz="8" w:color="auto"/>
            </w:tcBorders>
          </w:tcPr>
          <w:p>
            <w:pPr>
              <w:spacing w:after="0"/>
              <w:rPr>
                <w:sz w:val="4"/>
                <w:szCs w:val="4"/>
                <w:color w:val="auto"/>
              </w:rPr>
            </w:pPr>
          </w:p>
        </w:tc>
      </w:tr>
      <w:tr>
        <w:trPr>
          <w:trHeight w:val="224"/>
        </w:trPr>
        <w:tc>
          <w:tcPr>
            <w:tcW w:w="3740" w:type="dxa"/>
            <w:vAlign w:val="bottom"/>
          </w:tcPr>
          <w:p>
            <w:pPr>
              <w:ind w:left="100"/>
              <w:spacing w:after="0"/>
              <w:rPr>
                <w:sz w:val="20"/>
                <w:szCs w:val="20"/>
                <w:color w:val="auto"/>
              </w:rPr>
            </w:pPr>
            <w:r>
              <w:rPr>
                <w:rFonts w:ascii="Arial" w:cs="Arial" w:eastAsia="Arial" w:hAnsi="Arial"/>
                <w:sz w:val="14"/>
                <w:szCs w:val="14"/>
                <w:b w:val="1"/>
                <w:bCs w:val="1"/>
                <w:color w:val="auto"/>
              </w:rPr>
              <w:t>Mr. Schlossman</w:t>
            </w:r>
          </w:p>
        </w:tc>
        <w:tc>
          <w:tcPr>
            <w:tcW w:w="3740" w:type="dxa"/>
            <w:vAlign w:val="bottom"/>
          </w:tcPr>
          <w:p>
            <w:pPr>
              <w:jc w:val="center"/>
              <w:spacing w:after="0"/>
              <w:rPr>
                <w:sz w:val="20"/>
                <w:szCs w:val="20"/>
                <w:color w:val="auto"/>
              </w:rPr>
            </w:pPr>
            <w:r>
              <w:rPr>
                <w:rFonts w:ascii="Arial" w:cs="Arial" w:eastAsia="Arial" w:hAnsi="Arial"/>
                <w:sz w:val="14"/>
                <w:szCs w:val="14"/>
                <w:color w:val="auto"/>
              </w:rPr>
              <w:t>11,064</w:t>
            </w:r>
          </w:p>
        </w:tc>
        <w:tc>
          <w:tcPr>
            <w:tcW w:w="3760" w:type="dxa"/>
            <w:vAlign w:val="bottom"/>
          </w:tcPr>
          <w:p>
            <w:pPr>
              <w:jc w:val="center"/>
              <w:spacing w:after="0"/>
              <w:rPr>
                <w:sz w:val="20"/>
                <w:szCs w:val="20"/>
                <w:color w:val="auto"/>
              </w:rPr>
            </w:pPr>
            <w:r>
              <w:rPr>
                <w:rFonts w:ascii="Arial" w:cs="Arial" w:eastAsia="Arial" w:hAnsi="Arial"/>
                <w:sz w:val="14"/>
                <w:szCs w:val="14"/>
                <w:color w:val="auto"/>
              </w:rPr>
              <w:t>2 million</w:t>
            </w:r>
          </w:p>
        </w:tc>
      </w:tr>
      <w:tr>
        <w:trPr>
          <w:trHeight w:val="53"/>
        </w:trPr>
        <w:tc>
          <w:tcPr>
            <w:tcW w:w="3740" w:type="dxa"/>
            <w:vAlign w:val="bottom"/>
            <w:tcBorders>
              <w:bottom w:val="single" w:sz="8" w:color="auto"/>
            </w:tcBorders>
          </w:tcPr>
          <w:p>
            <w:pPr>
              <w:spacing w:after="0"/>
              <w:rPr>
                <w:sz w:val="4"/>
                <w:szCs w:val="4"/>
                <w:color w:val="auto"/>
              </w:rPr>
            </w:pPr>
          </w:p>
        </w:tc>
        <w:tc>
          <w:tcPr>
            <w:tcW w:w="3740" w:type="dxa"/>
            <w:vAlign w:val="bottom"/>
            <w:tcBorders>
              <w:bottom w:val="single" w:sz="8" w:color="auto"/>
            </w:tcBorders>
          </w:tcPr>
          <w:p>
            <w:pPr>
              <w:spacing w:after="0"/>
              <w:rPr>
                <w:sz w:val="4"/>
                <w:szCs w:val="4"/>
                <w:color w:val="auto"/>
              </w:rPr>
            </w:pPr>
          </w:p>
        </w:tc>
        <w:tc>
          <w:tcPr>
            <w:tcW w:w="3760" w:type="dxa"/>
            <w:vAlign w:val="bottom"/>
            <w:tcBorders>
              <w:bottom w:val="single" w:sz="8" w:color="auto"/>
            </w:tcBorders>
          </w:tcPr>
          <w:p>
            <w:pPr>
              <w:spacing w:after="0"/>
              <w:rPr>
                <w:sz w:val="4"/>
                <w:szCs w:val="4"/>
                <w:color w:val="auto"/>
              </w:rPr>
            </w:pPr>
          </w:p>
        </w:tc>
      </w:tr>
    </w:tbl>
    <w:p>
      <w:pPr>
        <w:spacing w:after="0" w:line="393" w:lineRule="exact"/>
        <w:rPr>
          <w:sz w:val="20"/>
          <w:szCs w:val="20"/>
          <w:color w:val="auto"/>
        </w:rPr>
      </w:pPr>
    </w:p>
    <w:p>
      <w:pPr>
        <w:ind w:right="40"/>
        <w:spacing w:after="0" w:line="336" w:lineRule="auto"/>
        <w:rPr>
          <w:sz w:val="20"/>
          <w:szCs w:val="20"/>
          <w:color w:val="auto"/>
        </w:rPr>
      </w:pPr>
      <w:r>
        <w:rPr>
          <w:rFonts w:ascii="Arial" w:cs="Arial" w:eastAsia="Arial" w:hAnsi="Arial"/>
          <w:sz w:val="16"/>
          <w:szCs w:val="16"/>
          <w:color w:val="auto"/>
        </w:rPr>
        <w:t>The effective grant date of the RSU awards was April 13, 2021. The RSU awards were designed to provide long-term retention and were structured to vest over an almost six-and-a-half-year period from the date of grant with an initial vesting date of December 15, 2022. The awards will vest as follows: 2.5% of the shares of common stock subject to the award vest on December 15, 2022, the first quarterly vesting date following the vesting commencement date of September 15, 2022. Thereafter, the shares of our common stock subject to the award will vest over the next 45 months as follows: (i) 2.5% of the shares will vest on each of the next three quarterly vesting dates, (ii) 5% of the shares will vest on each of the next eight quarterly vesting dates, and (iii) 6.25% of the shares will vest on each quarterly vesting dates until the awards vested in full, subject to the Named Executive Officer continuing to be a service provider to us through each vesting date.</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009ADA"/>
        </w:rPr>
        <w:t>Fiscal 2021 Performance Period PSU Awards</w:t>
      </w:r>
    </w:p>
    <w:p>
      <w:pPr>
        <w:spacing w:after="0" w:line="127" w:lineRule="exact"/>
        <w:rPr>
          <w:sz w:val="20"/>
          <w:szCs w:val="20"/>
          <w:color w:val="auto"/>
        </w:rPr>
      </w:pPr>
    </w:p>
    <w:p>
      <w:pPr>
        <w:jc w:val="both"/>
        <w:spacing w:after="0" w:line="338" w:lineRule="auto"/>
        <w:rPr>
          <w:sz w:val="20"/>
          <w:szCs w:val="20"/>
          <w:color w:val="auto"/>
        </w:rPr>
      </w:pPr>
      <w:r>
        <w:rPr>
          <w:rFonts w:ascii="Arial" w:cs="Arial" w:eastAsia="Arial" w:hAnsi="Arial"/>
          <w:sz w:val="16"/>
          <w:szCs w:val="16"/>
          <w:color w:val="auto"/>
        </w:rPr>
        <w:t>In September 2020, the compensation committee approved the performance metrics for the Fiscal 2021 PSU Awards. These awards were previously granted to Messrs. Chaudhry in fiscal 2019 and Rajic in fiscal 2020. The compensation committee determined that the Fiscal 2021 PSU awards were to be earned based on our level of attainment of two equally weighted performance metrics: revenue and calculated billings. The compensation committee selected revenue and calculated billings as the appropriate corporate performance metrics for the Fiscal 2021 PSU Award period because, in its view, these metrics were the key indicators of our progress in executing our business strategy of pursuing growth to capture significant market share.</w:t>
      </w:r>
    </w:p>
    <w:p>
      <w:pPr>
        <w:spacing w:after="0" w:line="149" w:lineRule="exact"/>
        <w:rPr>
          <w:sz w:val="20"/>
          <w:szCs w:val="20"/>
          <w:color w:val="auto"/>
        </w:rPr>
      </w:pPr>
    </w:p>
    <w:p>
      <w:pPr>
        <w:jc w:val="both"/>
        <w:spacing w:after="0" w:line="341" w:lineRule="auto"/>
        <w:rPr>
          <w:sz w:val="20"/>
          <w:szCs w:val="20"/>
          <w:color w:val="auto"/>
        </w:rPr>
      </w:pPr>
      <w:r>
        <w:rPr>
          <w:rFonts w:ascii="Arial" w:cs="Arial" w:eastAsia="Arial" w:hAnsi="Arial"/>
          <w:sz w:val="16"/>
          <w:szCs w:val="16"/>
          <w:color w:val="auto"/>
        </w:rPr>
        <w:t>For purposes of the Fiscal 2021 PSU Awards, “revenue” and “calculated billings” had the same meanings as under the Employee Incentive Compensation Plan for our senior executives. For fiscal 2021, the revenue and calculated billing levels for the Fiscal 2021 PSU Awards were significantly greater than the amount achieved in the comparable period for the prior fiscal year and represented a very aggressive target for fiscal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255270</wp:posOffset>
            </wp:positionV>
            <wp:extent cx="342900" cy="21463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42900" cy="214630"/>
                    </a:xfrm>
                    <a:prstGeom prst="rect">
                      <a:avLst/>
                    </a:prstGeom>
                    <a:noFill/>
                  </pic:spPr>
                </pic:pic>
              </a:graphicData>
            </a:graphic>
          </wp:anchor>
        </w:drawing>
      </w:r>
    </w:p>
    <w:p>
      <w:pPr>
        <w:spacing w:after="0" w:line="320" w:lineRule="exact"/>
        <w:rPr>
          <w:sz w:val="20"/>
          <w:szCs w:val="20"/>
          <w:color w:val="auto"/>
        </w:rPr>
      </w:pPr>
    </w:p>
    <w:p>
      <w:pPr>
        <w:ind w:left="5540"/>
        <w:spacing w:after="0"/>
        <w:tabs>
          <w:tab w:leader="none" w:pos="9780" w:val="left"/>
        </w:tabs>
        <w:rPr>
          <w:sz w:val="20"/>
          <w:szCs w:val="20"/>
          <w:color w:val="auto"/>
        </w:rPr>
      </w:pPr>
      <w:r>
        <w:rPr>
          <w:rFonts w:ascii="Arial" w:cs="Arial" w:eastAsia="Arial" w:hAnsi="Arial"/>
          <w:sz w:val="29"/>
          <w:szCs w:val="29"/>
          <w:color w:val="auto"/>
          <w:vertAlign w:val="superscript"/>
        </w:rPr>
        <w:t>51</w:t>
      </w:r>
      <w:r>
        <w:rPr>
          <w:sz w:val="20"/>
          <w:szCs w:val="20"/>
          <w:color w:val="auto"/>
        </w:rPr>
        <w:tab/>
      </w:r>
      <w:r>
        <w:rPr>
          <w:rFonts w:ascii="Arial" w:cs="Arial" w:eastAsia="Arial" w:hAnsi="Arial"/>
          <w:sz w:val="14"/>
          <w:szCs w:val="14"/>
          <w:color w:val="auto"/>
        </w:rPr>
        <w:t>2021 Proxy Statement</w:t>
      </w:r>
    </w:p>
    <w:p>
      <w:pPr>
        <w:sectPr>
          <w:pgSz w:w="11900" w:h="16838" w:orient="portrait"/>
          <w:cols w:equalWidth="0" w:num="1">
            <w:col w:w="11240"/>
          </w:cols>
          <w:pgMar w:left="320" w:top="172" w:right="339" w:bottom="1440" w:gutter="0" w:footer="0" w:header="0"/>
        </w:sectPr>
      </w:pPr>
    </w:p>
    <w:bookmarkStart w:id="55" w:name="page56"/>
    <w:bookmarkEnd w:id="55"/>
    <w:p>
      <w:pPr>
        <w:ind w:left="280"/>
        <w:spacing w:after="0"/>
        <w:rPr>
          <w:sz w:val="20"/>
          <w:szCs w:val="20"/>
          <w:color w:val="auto"/>
        </w:rPr>
      </w:pPr>
      <w:r>
        <w:rPr>
          <w:rFonts w:ascii="Arial" w:cs="Arial" w:eastAsia="Arial" w:hAnsi="Arial"/>
          <w:sz w:val="13"/>
          <w:szCs w:val="13"/>
          <w:b w:val="1"/>
          <w:bCs w:val="1"/>
          <w:color w:val="929292"/>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7470" cy="596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7470" cy="59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140"/>
        <w:spacing w:after="0" w:line="348" w:lineRule="auto"/>
        <w:rPr>
          <w:sz w:val="20"/>
          <w:szCs w:val="20"/>
          <w:color w:val="auto"/>
        </w:rPr>
      </w:pPr>
      <w:r>
        <w:rPr>
          <w:rFonts w:ascii="Arial" w:cs="Arial" w:eastAsia="Arial" w:hAnsi="Arial"/>
          <w:sz w:val="16"/>
          <w:szCs w:val="16"/>
          <w:color w:val="auto"/>
        </w:rPr>
        <w:t>For the fiscal 2021 performance year, the total number of units that could be earned scaled from 0% to 150% of the target number of units, based on actual achievement of the fiscal 2021 performance metrics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88900</wp:posOffset>
            </wp:positionV>
            <wp:extent cx="8890" cy="18859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8890" cy="188595"/>
                    </a:xfrm>
                    <a:prstGeom prst="rect">
                      <a:avLst/>
                    </a:prstGeom>
                    <a:noFill/>
                  </pic:spPr>
                </pic:pic>
              </a:graphicData>
            </a:graphic>
          </wp:anchor>
        </w:drawing>
        <w:drawing>
          <wp:anchor simplePos="0" relativeHeight="251657728" behindDoc="1" locked="0" layoutInCell="0" allowOverlap="1">
            <wp:simplePos x="0" y="0"/>
            <wp:positionH relativeFrom="column">
              <wp:posOffset>2182495</wp:posOffset>
            </wp:positionH>
            <wp:positionV relativeFrom="paragraph">
              <wp:posOffset>88900</wp:posOffset>
            </wp:positionV>
            <wp:extent cx="8890" cy="18859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8890" cy="188595"/>
                    </a:xfrm>
                    <a:prstGeom prst="rect">
                      <a:avLst/>
                    </a:prstGeom>
                    <a:noFill/>
                  </pic:spPr>
                </pic:pic>
              </a:graphicData>
            </a:graphic>
          </wp:anchor>
        </w:drawing>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440" w:type="dxa"/>
            <w:vAlign w:val="bottom"/>
            <w:gridSpan w:val="2"/>
            <w:shd w:val="clear" w:color="auto" w:fill="000000"/>
          </w:tcPr>
          <w:p>
            <w:pPr>
              <w:jc w:val="center"/>
              <w:spacing w:after="0"/>
              <w:rPr>
                <w:sz w:val="20"/>
                <w:szCs w:val="20"/>
                <w:color w:val="auto"/>
              </w:rPr>
            </w:pPr>
            <w:r>
              <w:rPr>
                <w:rFonts w:ascii="Arial" w:cs="Arial" w:eastAsia="Arial" w:hAnsi="Arial"/>
                <w:sz w:val="16"/>
                <w:szCs w:val="16"/>
                <w:b w:val="1"/>
                <w:bCs w:val="1"/>
                <w:color w:val="FFFFFF"/>
              </w:rPr>
              <w:t>Metric Achievement</w:t>
            </w:r>
          </w:p>
        </w:tc>
        <w:tc>
          <w:tcPr>
            <w:tcW w:w="3440" w:type="dxa"/>
            <w:vAlign w:val="bottom"/>
            <w:shd w:val="clear" w:color="auto" w:fill="2B338D"/>
          </w:tcPr>
          <w:p>
            <w:pPr>
              <w:jc w:val="center"/>
              <w:spacing w:after="0"/>
              <w:rPr>
                <w:sz w:val="20"/>
                <w:szCs w:val="20"/>
                <w:color w:val="auto"/>
              </w:rPr>
            </w:pPr>
            <w:r>
              <w:rPr>
                <w:rFonts w:ascii="Arial" w:cs="Arial" w:eastAsia="Arial" w:hAnsi="Arial"/>
                <w:sz w:val="16"/>
                <w:szCs w:val="16"/>
                <w:b w:val="1"/>
                <w:bCs w:val="1"/>
                <w:color w:val="FFFFFF"/>
              </w:rPr>
              <w:t>Payment</w:t>
            </w:r>
          </w:p>
        </w:tc>
        <w:tc>
          <w:tcPr>
            <w:tcW w:w="4360" w:type="dxa"/>
            <w:vAlign w:val="bottom"/>
            <w:shd w:val="clear" w:color="auto" w:fill="009ADA"/>
          </w:tcPr>
          <w:p>
            <w:pPr>
              <w:jc w:val="center"/>
              <w:spacing w:after="0"/>
              <w:rPr>
                <w:sz w:val="20"/>
                <w:szCs w:val="20"/>
                <w:color w:val="auto"/>
              </w:rPr>
            </w:pPr>
            <w:r>
              <w:rPr>
                <w:rFonts w:ascii="Arial" w:cs="Arial" w:eastAsia="Arial" w:hAnsi="Arial"/>
                <w:sz w:val="16"/>
                <w:szCs w:val="16"/>
                <w:b w:val="1"/>
                <w:bCs w:val="1"/>
                <w:color w:val="FFFFFF"/>
              </w:rPr>
              <w:t>PSU Award Attainment</w:t>
            </w:r>
          </w:p>
        </w:tc>
      </w:tr>
      <w:tr>
        <w:trPr>
          <w:trHeight w:val="62"/>
        </w:trPr>
        <w:tc>
          <w:tcPr>
            <w:tcW w:w="3440" w:type="dxa"/>
            <w:vAlign w:val="bottom"/>
            <w:gridSpan w:val="2"/>
            <w:shd w:val="clear" w:color="auto" w:fill="000000"/>
          </w:tcPr>
          <w:p>
            <w:pPr>
              <w:spacing w:after="0"/>
              <w:rPr>
                <w:sz w:val="5"/>
                <w:szCs w:val="5"/>
                <w:color w:val="auto"/>
              </w:rPr>
            </w:pPr>
          </w:p>
        </w:tc>
        <w:tc>
          <w:tcPr>
            <w:tcW w:w="3440" w:type="dxa"/>
            <w:vAlign w:val="bottom"/>
            <w:shd w:val="clear" w:color="auto" w:fill="2B338D"/>
          </w:tcPr>
          <w:p>
            <w:pPr>
              <w:spacing w:after="0"/>
              <w:rPr>
                <w:sz w:val="5"/>
                <w:szCs w:val="5"/>
                <w:color w:val="auto"/>
              </w:rPr>
            </w:pPr>
          </w:p>
        </w:tc>
        <w:tc>
          <w:tcPr>
            <w:tcW w:w="4360" w:type="dxa"/>
            <w:vAlign w:val="bottom"/>
            <w:shd w:val="clear" w:color="auto" w:fill="009ADA"/>
          </w:tcPr>
          <w:p>
            <w:pPr>
              <w:spacing w:after="0"/>
              <w:rPr>
                <w:sz w:val="5"/>
                <w:szCs w:val="5"/>
                <w:color w:val="auto"/>
              </w:rPr>
            </w:pPr>
          </w:p>
        </w:tc>
      </w:tr>
      <w:tr>
        <w:trPr>
          <w:trHeight w:val="204"/>
        </w:trPr>
        <w:tc>
          <w:tcPr>
            <w:tcW w:w="3440" w:type="dxa"/>
            <w:vAlign w:val="bottom"/>
            <w:gridSpan w:val="2"/>
          </w:tcPr>
          <w:p>
            <w:pPr>
              <w:jc w:val="center"/>
              <w:spacing w:after="0"/>
              <w:rPr>
                <w:sz w:val="20"/>
                <w:szCs w:val="20"/>
                <w:color w:val="auto"/>
              </w:rPr>
            </w:pPr>
            <w:r>
              <w:rPr>
                <w:rFonts w:ascii="Arial" w:cs="Arial" w:eastAsia="Arial" w:hAnsi="Arial"/>
                <w:sz w:val="14"/>
                <w:szCs w:val="14"/>
                <w:color w:val="auto"/>
              </w:rPr>
              <w:t>Less than 80%</w:t>
            </w:r>
          </w:p>
        </w:tc>
        <w:tc>
          <w:tcPr>
            <w:tcW w:w="3440" w:type="dxa"/>
            <w:vAlign w:val="bottom"/>
          </w:tcPr>
          <w:p>
            <w:pPr>
              <w:jc w:val="center"/>
              <w:spacing w:after="0"/>
              <w:rPr>
                <w:sz w:val="20"/>
                <w:szCs w:val="20"/>
                <w:color w:val="auto"/>
              </w:rPr>
            </w:pPr>
            <w:r>
              <w:rPr>
                <w:rFonts w:ascii="Arial" w:cs="Arial" w:eastAsia="Arial" w:hAnsi="Arial"/>
                <w:sz w:val="14"/>
                <w:szCs w:val="14"/>
                <w:color w:val="auto"/>
                <w:w w:val="98"/>
              </w:rPr>
              <w:t>0%</w:t>
            </w:r>
          </w:p>
        </w:tc>
        <w:tc>
          <w:tcPr>
            <w:tcW w:w="4360" w:type="dxa"/>
            <w:vAlign w:val="bottom"/>
          </w:tcPr>
          <w:p>
            <w:pPr>
              <w:jc w:val="center"/>
              <w:spacing w:after="0"/>
              <w:rPr>
                <w:sz w:val="20"/>
                <w:szCs w:val="20"/>
                <w:color w:val="auto"/>
              </w:rPr>
            </w:pPr>
            <w:r>
              <w:rPr>
                <w:rFonts w:ascii="Arial" w:cs="Arial" w:eastAsia="Arial" w:hAnsi="Arial"/>
                <w:sz w:val="14"/>
                <w:szCs w:val="14"/>
                <w:color w:val="auto"/>
              </w:rPr>
              <w:t>No attainment below 80% achievement</w:t>
            </w:r>
          </w:p>
        </w:tc>
      </w:tr>
      <w:tr>
        <w:trPr>
          <w:trHeight w:val="26"/>
        </w:trPr>
        <w:tc>
          <w:tcPr>
            <w:tcW w:w="16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r>
      <w:tr>
        <w:trPr>
          <w:trHeight w:val="197"/>
        </w:trPr>
        <w:tc>
          <w:tcPr>
            <w:tcW w:w="1680" w:type="dxa"/>
            <w:vAlign w:val="bottom"/>
          </w:tcPr>
          <w:p>
            <w:pPr>
              <w:jc w:val="right"/>
              <w:spacing w:after="0"/>
              <w:rPr>
                <w:sz w:val="20"/>
                <w:szCs w:val="20"/>
                <w:color w:val="auto"/>
              </w:rPr>
            </w:pPr>
            <w:r>
              <w:rPr>
                <w:rFonts w:ascii="Arial" w:cs="Arial" w:eastAsia="Arial" w:hAnsi="Arial"/>
                <w:sz w:val="14"/>
                <w:szCs w:val="14"/>
                <w:color w:val="auto"/>
              </w:rPr>
              <w:t>80%</w:t>
            </w:r>
          </w:p>
        </w:tc>
        <w:tc>
          <w:tcPr>
            <w:tcW w:w="1760" w:type="dxa"/>
            <w:vAlign w:val="bottom"/>
          </w:tcPr>
          <w:p>
            <w:pPr>
              <w:ind w:left="20"/>
              <w:spacing w:after="0"/>
              <w:rPr>
                <w:sz w:val="20"/>
                <w:szCs w:val="20"/>
                <w:color w:val="auto"/>
              </w:rPr>
            </w:pPr>
            <w:r>
              <w:rPr>
                <w:rFonts w:ascii="Arial" w:cs="Arial" w:eastAsia="Arial" w:hAnsi="Arial"/>
                <w:sz w:val="14"/>
                <w:szCs w:val="14"/>
                <w:color w:val="auto"/>
              </w:rPr>
              <w:t>- 90%</w:t>
            </w:r>
          </w:p>
        </w:tc>
        <w:tc>
          <w:tcPr>
            <w:tcW w:w="3440" w:type="dxa"/>
            <w:vAlign w:val="bottom"/>
          </w:tcPr>
          <w:p>
            <w:pPr>
              <w:jc w:val="center"/>
              <w:spacing w:after="0"/>
              <w:rPr>
                <w:sz w:val="20"/>
                <w:szCs w:val="20"/>
                <w:color w:val="auto"/>
              </w:rPr>
            </w:pPr>
            <w:r>
              <w:rPr>
                <w:rFonts w:ascii="Arial" w:cs="Arial" w:eastAsia="Arial" w:hAnsi="Arial"/>
                <w:sz w:val="14"/>
                <w:szCs w:val="14"/>
                <w:color w:val="auto"/>
              </w:rPr>
              <w:t>0% to 70% linear</w:t>
            </w:r>
          </w:p>
        </w:tc>
        <w:tc>
          <w:tcPr>
            <w:tcW w:w="4360" w:type="dxa"/>
            <w:vAlign w:val="bottom"/>
          </w:tcPr>
          <w:p>
            <w:pPr>
              <w:jc w:val="center"/>
              <w:spacing w:after="0"/>
              <w:rPr>
                <w:sz w:val="20"/>
                <w:szCs w:val="20"/>
                <w:color w:val="auto"/>
              </w:rPr>
            </w:pPr>
            <w:r>
              <w:rPr>
                <w:rFonts w:ascii="Arial" w:cs="Arial" w:eastAsia="Arial" w:hAnsi="Arial"/>
                <w:sz w:val="14"/>
                <w:szCs w:val="14"/>
                <w:color w:val="auto"/>
              </w:rPr>
              <w:t>80% attainment pays 0% and 90% pays 70%</w:t>
            </w:r>
          </w:p>
        </w:tc>
      </w:tr>
      <w:tr>
        <w:trPr>
          <w:trHeight w:val="26"/>
        </w:trPr>
        <w:tc>
          <w:tcPr>
            <w:tcW w:w="16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r>
      <w:tr>
        <w:trPr>
          <w:trHeight w:val="198"/>
        </w:trPr>
        <w:tc>
          <w:tcPr>
            <w:tcW w:w="1680" w:type="dxa"/>
            <w:vAlign w:val="bottom"/>
          </w:tcPr>
          <w:p>
            <w:pPr>
              <w:jc w:val="right"/>
              <w:spacing w:after="0"/>
              <w:rPr>
                <w:sz w:val="20"/>
                <w:szCs w:val="20"/>
                <w:color w:val="auto"/>
              </w:rPr>
            </w:pPr>
            <w:r>
              <w:rPr>
                <w:rFonts w:ascii="Arial" w:cs="Arial" w:eastAsia="Arial" w:hAnsi="Arial"/>
                <w:sz w:val="14"/>
                <w:szCs w:val="14"/>
                <w:color w:val="auto"/>
              </w:rPr>
              <w:t>90%</w:t>
            </w:r>
          </w:p>
        </w:tc>
        <w:tc>
          <w:tcPr>
            <w:tcW w:w="1760" w:type="dxa"/>
            <w:vAlign w:val="bottom"/>
          </w:tcPr>
          <w:p>
            <w:pPr>
              <w:ind w:left="20"/>
              <w:spacing w:after="0"/>
              <w:rPr>
                <w:sz w:val="20"/>
                <w:szCs w:val="20"/>
                <w:color w:val="auto"/>
              </w:rPr>
            </w:pPr>
            <w:r>
              <w:rPr>
                <w:rFonts w:ascii="Arial" w:cs="Arial" w:eastAsia="Arial" w:hAnsi="Arial"/>
                <w:sz w:val="14"/>
                <w:szCs w:val="14"/>
                <w:color w:val="auto"/>
              </w:rPr>
              <w:t>- 95%</w:t>
            </w:r>
          </w:p>
        </w:tc>
        <w:tc>
          <w:tcPr>
            <w:tcW w:w="3440" w:type="dxa"/>
            <w:vAlign w:val="bottom"/>
          </w:tcPr>
          <w:p>
            <w:pPr>
              <w:jc w:val="center"/>
              <w:spacing w:after="0"/>
              <w:rPr>
                <w:sz w:val="20"/>
                <w:szCs w:val="20"/>
                <w:color w:val="auto"/>
              </w:rPr>
            </w:pPr>
            <w:r>
              <w:rPr>
                <w:rFonts w:ascii="Arial" w:cs="Arial" w:eastAsia="Arial" w:hAnsi="Arial"/>
                <w:sz w:val="14"/>
                <w:szCs w:val="14"/>
                <w:color w:val="auto"/>
              </w:rPr>
              <w:t>70% to 90% linear</w:t>
            </w:r>
          </w:p>
        </w:tc>
        <w:tc>
          <w:tcPr>
            <w:tcW w:w="4360" w:type="dxa"/>
            <w:vAlign w:val="bottom"/>
          </w:tcPr>
          <w:p>
            <w:pPr>
              <w:jc w:val="center"/>
              <w:spacing w:after="0"/>
              <w:rPr>
                <w:sz w:val="20"/>
                <w:szCs w:val="20"/>
                <w:color w:val="auto"/>
              </w:rPr>
            </w:pPr>
            <w:r>
              <w:rPr>
                <w:rFonts w:ascii="Arial" w:cs="Arial" w:eastAsia="Arial" w:hAnsi="Arial"/>
                <w:sz w:val="14"/>
                <w:szCs w:val="14"/>
                <w:color w:val="auto"/>
              </w:rPr>
              <w:t>90% attainment pays 70%, and 95% pays 90%</w:t>
            </w:r>
          </w:p>
        </w:tc>
      </w:tr>
      <w:tr>
        <w:trPr>
          <w:trHeight w:val="26"/>
        </w:trPr>
        <w:tc>
          <w:tcPr>
            <w:tcW w:w="3440" w:type="dxa"/>
            <w:vAlign w:val="bottom"/>
            <w:tcBorders>
              <w:bottom w:val="single" w:sz="8" w:color="auto"/>
            </w:tcBorders>
            <w:gridSpan w:val="2"/>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r>
      <w:tr>
        <w:trPr>
          <w:trHeight w:val="198"/>
        </w:trPr>
        <w:tc>
          <w:tcPr>
            <w:tcW w:w="3440" w:type="dxa"/>
            <w:vAlign w:val="bottom"/>
            <w:gridSpan w:val="2"/>
          </w:tcPr>
          <w:p>
            <w:pPr>
              <w:jc w:val="center"/>
              <w:spacing w:after="0"/>
              <w:rPr>
                <w:sz w:val="20"/>
                <w:szCs w:val="20"/>
                <w:color w:val="auto"/>
              </w:rPr>
            </w:pPr>
            <w:r>
              <w:rPr>
                <w:rFonts w:ascii="Arial" w:cs="Arial" w:eastAsia="Arial" w:hAnsi="Arial"/>
                <w:sz w:val="14"/>
                <w:szCs w:val="14"/>
                <w:color w:val="auto"/>
              </w:rPr>
              <w:t>95% - 100%</w:t>
            </w:r>
          </w:p>
        </w:tc>
        <w:tc>
          <w:tcPr>
            <w:tcW w:w="3440" w:type="dxa"/>
            <w:vAlign w:val="bottom"/>
          </w:tcPr>
          <w:p>
            <w:pPr>
              <w:jc w:val="center"/>
              <w:spacing w:after="0"/>
              <w:rPr>
                <w:sz w:val="20"/>
                <w:szCs w:val="20"/>
                <w:color w:val="auto"/>
              </w:rPr>
            </w:pPr>
            <w:r>
              <w:rPr>
                <w:rFonts w:ascii="Arial" w:cs="Arial" w:eastAsia="Arial" w:hAnsi="Arial"/>
                <w:sz w:val="14"/>
                <w:szCs w:val="14"/>
                <w:color w:val="auto"/>
              </w:rPr>
              <w:t>90% to 100% linear</w:t>
            </w:r>
          </w:p>
        </w:tc>
        <w:tc>
          <w:tcPr>
            <w:tcW w:w="4360" w:type="dxa"/>
            <w:vAlign w:val="bottom"/>
          </w:tcPr>
          <w:p>
            <w:pPr>
              <w:jc w:val="center"/>
              <w:spacing w:after="0"/>
              <w:rPr>
                <w:sz w:val="20"/>
                <w:szCs w:val="20"/>
                <w:color w:val="auto"/>
              </w:rPr>
            </w:pPr>
            <w:r>
              <w:rPr>
                <w:rFonts w:ascii="Arial" w:cs="Arial" w:eastAsia="Arial" w:hAnsi="Arial"/>
                <w:sz w:val="14"/>
                <w:szCs w:val="14"/>
                <w:color w:val="auto"/>
              </w:rPr>
              <w:t>95% attainment pays 90% and 100% pays 100%</w:t>
            </w:r>
          </w:p>
        </w:tc>
      </w:tr>
      <w:tr>
        <w:trPr>
          <w:trHeight w:val="26"/>
        </w:trPr>
        <w:tc>
          <w:tcPr>
            <w:tcW w:w="16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r>
      <w:tr>
        <w:trPr>
          <w:trHeight w:val="197"/>
        </w:trPr>
        <w:tc>
          <w:tcPr>
            <w:tcW w:w="1680" w:type="dxa"/>
            <w:vAlign w:val="bottom"/>
          </w:tcPr>
          <w:p>
            <w:pPr>
              <w:jc w:val="right"/>
              <w:spacing w:after="0"/>
              <w:rPr>
                <w:sz w:val="20"/>
                <w:szCs w:val="20"/>
                <w:color w:val="auto"/>
              </w:rPr>
            </w:pPr>
            <w:r>
              <w:rPr>
                <w:rFonts w:ascii="Arial" w:cs="Arial" w:eastAsia="Arial" w:hAnsi="Arial"/>
                <w:sz w:val="14"/>
                <w:szCs w:val="14"/>
                <w:color w:val="auto"/>
              </w:rPr>
              <w:t>100%</w:t>
            </w:r>
          </w:p>
        </w:tc>
        <w:tc>
          <w:tcPr>
            <w:tcW w:w="1760" w:type="dxa"/>
            <w:vAlign w:val="bottom"/>
          </w:tcPr>
          <w:p>
            <w:pPr>
              <w:ind w:left="20"/>
              <w:spacing w:after="0"/>
              <w:rPr>
                <w:sz w:val="20"/>
                <w:szCs w:val="20"/>
                <w:color w:val="auto"/>
              </w:rPr>
            </w:pPr>
            <w:r>
              <w:rPr>
                <w:rFonts w:ascii="Arial" w:cs="Arial" w:eastAsia="Arial" w:hAnsi="Arial"/>
                <w:sz w:val="14"/>
                <w:szCs w:val="14"/>
                <w:color w:val="auto"/>
              </w:rPr>
              <w:t>- 105%</w:t>
            </w:r>
          </w:p>
        </w:tc>
        <w:tc>
          <w:tcPr>
            <w:tcW w:w="3440" w:type="dxa"/>
            <w:vAlign w:val="bottom"/>
          </w:tcPr>
          <w:p>
            <w:pPr>
              <w:jc w:val="center"/>
              <w:spacing w:after="0"/>
              <w:rPr>
                <w:sz w:val="20"/>
                <w:szCs w:val="20"/>
                <w:color w:val="auto"/>
              </w:rPr>
            </w:pPr>
            <w:r>
              <w:rPr>
                <w:rFonts w:ascii="Arial" w:cs="Arial" w:eastAsia="Arial" w:hAnsi="Arial"/>
                <w:sz w:val="14"/>
                <w:szCs w:val="14"/>
                <w:color w:val="auto"/>
              </w:rPr>
              <w:t>100% to 125% linear</w:t>
            </w:r>
          </w:p>
        </w:tc>
        <w:tc>
          <w:tcPr>
            <w:tcW w:w="4360" w:type="dxa"/>
            <w:vAlign w:val="bottom"/>
          </w:tcPr>
          <w:p>
            <w:pPr>
              <w:jc w:val="center"/>
              <w:spacing w:after="0"/>
              <w:rPr>
                <w:sz w:val="20"/>
                <w:szCs w:val="20"/>
                <w:color w:val="auto"/>
              </w:rPr>
            </w:pPr>
            <w:r>
              <w:rPr>
                <w:rFonts w:ascii="Arial" w:cs="Arial" w:eastAsia="Arial" w:hAnsi="Arial"/>
                <w:sz w:val="14"/>
                <w:szCs w:val="14"/>
                <w:color w:val="auto"/>
              </w:rPr>
              <w:t>100% attainment pays 100%, and 105% pays 125%</w:t>
            </w:r>
          </w:p>
        </w:tc>
      </w:tr>
      <w:tr>
        <w:trPr>
          <w:trHeight w:val="26"/>
        </w:trPr>
        <w:tc>
          <w:tcPr>
            <w:tcW w:w="16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r>
      <w:tr>
        <w:trPr>
          <w:trHeight w:val="198"/>
        </w:trPr>
        <w:tc>
          <w:tcPr>
            <w:tcW w:w="1680" w:type="dxa"/>
            <w:vAlign w:val="bottom"/>
          </w:tcPr>
          <w:p>
            <w:pPr>
              <w:jc w:val="right"/>
              <w:spacing w:after="0"/>
              <w:rPr>
                <w:sz w:val="20"/>
                <w:szCs w:val="20"/>
                <w:color w:val="auto"/>
              </w:rPr>
            </w:pPr>
            <w:r>
              <w:rPr>
                <w:rFonts w:ascii="Arial" w:cs="Arial" w:eastAsia="Arial" w:hAnsi="Arial"/>
                <w:sz w:val="14"/>
                <w:szCs w:val="14"/>
                <w:color w:val="auto"/>
              </w:rPr>
              <w:t>105%</w:t>
            </w:r>
          </w:p>
        </w:tc>
        <w:tc>
          <w:tcPr>
            <w:tcW w:w="1760" w:type="dxa"/>
            <w:vAlign w:val="bottom"/>
          </w:tcPr>
          <w:p>
            <w:pPr>
              <w:ind w:left="20"/>
              <w:spacing w:after="0"/>
              <w:rPr>
                <w:sz w:val="20"/>
                <w:szCs w:val="20"/>
                <w:color w:val="auto"/>
              </w:rPr>
            </w:pPr>
            <w:r>
              <w:rPr>
                <w:rFonts w:ascii="Arial" w:cs="Arial" w:eastAsia="Arial" w:hAnsi="Arial"/>
                <w:sz w:val="14"/>
                <w:szCs w:val="14"/>
                <w:color w:val="auto"/>
              </w:rPr>
              <w:t>- 110%</w:t>
            </w:r>
          </w:p>
        </w:tc>
        <w:tc>
          <w:tcPr>
            <w:tcW w:w="3440" w:type="dxa"/>
            <w:vAlign w:val="bottom"/>
          </w:tcPr>
          <w:p>
            <w:pPr>
              <w:jc w:val="center"/>
              <w:spacing w:after="0"/>
              <w:rPr>
                <w:sz w:val="20"/>
                <w:szCs w:val="20"/>
                <w:color w:val="auto"/>
              </w:rPr>
            </w:pPr>
            <w:r>
              <w:rPr>
                <w:rFonts w:ascii="Arial" w:cs="Arial" w:eastAsia="Arial" w:hAnsi="Arial"/>
                <w:sz w:val="14"/>
                <w:szCs w:val="14"/>
                <w:color w:val="auto"/>
              </w:rPr>
              <w:t>125% to 150% linear</w:t>
            </w:r>
          </w:p>
        </w:tc>
        <w:tc>
          <w:tcPr>
            <w:tcW w:w="4360" w:type="dxa"/>
            <w:vAlign w:val="bottom"/>
          </w:tcPr>
          <w:p>
            <w:pPr>
              <w:jc w:val="center"/>
              <w:spacing w:after="0"/>
              <w:rPr>
                <w:sz w:val="20"/>
                <w:szCs w:val="20"/>
                <w:color w:val="auto"/>
              </w:rPr>
            </w:pPr>
            <w:r>
              <w:rPr>
                <w:rFonts w:ascii="Arial" w:cs="Arial" w:eastAsia="Arial" w:hAnsi="Arial"/>
                <w:sz w:val="14"/>
                <w:szCs w:val="14"/>
                <w:color w:val="auto"/>
              </w:rPr>
              <w:t>105% attainment pays 125%, and 110% pays 150%</w:t>
            </w:r>
          </w:p>
        </w:tc>
      </w:tr>
      <w:tr>
        <w:trPr>
          <w:trHeight w:val="26"/>
        </w:trPr>
        <w:tc>
          <w:tcPr>
            <w:tcW w:w="16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r>
    </w:tbl>
    <w:p>
      <w:pPr>
        <w:spacing w:after="0" w:line="231" w:lineRule="exact"/>
        <w:rPr>
          <w:sz w:val="20"/>
          <w:szCs w:val="20"/>
          <w:color w:val="auto"/>
        </w:rPr>
      </w:pPr>
    </w:p>
    <w:p>
      <w:pPr>
        <w:ind w:right="20"/>
        <w:spacing w:after="0" w:line="339" w:lineRule="auto"/>
        <w:rPr>
          <w:sz w:val="20"/>
          <w:szCs w:val="20"/>
          <w:color w:val="auto"/>
        </w:rPr>
      </w:pPr>
      <w:r>
        <w:rPr>
          <w:rFonts w:ascii="Arial" w:cs="Arial" w:eastAsia="Arial" w:hAnsi="Arial"/>
          <w:sz w:val="16"/>
          <w:szCs w:val="16"/>
          <w:color w:val="auto"/>
        </w:rPr>
        <w:t>In September 2021, our revenue and calculated billings results for fiscal 2021 were presented to the compensation committee for review. After reviewing and analyzing these results, the compensation committee certified that, for the annual performance period ended July 31, 2021, our calculated billings were achieved at 116.0% of the target performance level and our revenue was achieved at 101.7% of the target performance level, resulting in 150% of the calculated billings attainment and 108.5% of the revenue attainment and corresponding to the following attainment: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93345</wp:posOffset>
            </wp:positionV>
            <wp:extent cx="8255" cy="51435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8255" cy="51435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93345</wp:posOffset>
            </wp:positionV>
            <wp:extent cx="8890" cy="51435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8890" cy="514350"/>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93345</wp:posOffset>
            </wp:positionV>
            <wp:extent cx="8890" cy="51435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8890" cy="514350"/>
                    </a:xfrm>
                    <a:prstGeom prst="rect">
                      <a:avLst/>
                    </a:prstGeom>
                    <a:noFill/>
                  </pic:spPr>
                </pic:pic>
              </a:graphicData>
            </a:graphic>
          </wp:anchor>
        </w:drawing>
        <w:drawing>
          <wp:anchor simplePos="0" relativeHeight="251657728" behindDoc="1" locked="0" layoutInCell="0" allowOverlap="1">
            <wp:simplePos x="0" y="0"/>
            <wp:positionH relativeFrom="column">
              <wp:posOffset>1685290</wp:posOffset>
            </wp:positionH>
            <wp:positionV relativeFrom="paragraph">
              <wp:posOffset>93345</wp:posOffset>
            </wp:positionV>
            <wp:extent cx="8890" cy="51435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8890" cy="514350"/>
                    </a:xfrm>
                    <a:prstGeom prst="rect">
                      <a:avLst/>
                    </a:prstGeom>
                    <a:noFill/>
                  </pic:spPr>
                </pic:pic>
              </a:graphicData>
            </a:graphic>
          </wp:anchor>
        </w:drawing>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660" w:type="dxa"/>
            <w:vAlign w:val="bottom"/>
            <w:shd w:val="clear" w:color="auto" w:fill="000000"/>
          </w:tcPr>
          <w:p>
            <w:pPr>
              <w:spacing w:after="0"/>
              <w:rPr>
                <w:sz w:val="20"/>
                <w:szCs w:val="20"/>
                <w:color w:val="auto"/>
              </w:rPr>
            </w:pPr>
          </w:p>
        </w:tc>
        <w:tc>
          <w:tcPr>
            <w:tcW w:w="2140" w:type="dxa"/>
            <w:vAlign w:val="bottom"/>
            <w:shd w:val="clear" w:color="auto" w:fill="2B338D"/>
          </w:tcPr>
          <w:p>
            <w:pPr>
              <w:jc w:val="center"/>
              <w:spacing w:after="0"/>
              <w:rPr>
                <w:sz w:val="20"/>
                <w:szCs w:val="20"/>
                <w:color w:val="auto"/>
              </w:rPr>
            </w:pPr>
            <w:r>
              <w:rPr>
                <w:rFonts w:ascii="Arial" w:cs="Arial" w:eastAsia="Arial" w:hAnsi="Arial"/>
                <w:sz w:val="16"/>
                <w:szCs w:val="16"/>
                <w:b w:val="1"/>
                <w:bCs w:val="1"/>
                <w:color w:val="FFFFFF"/>
              </w:rPr>
              <w:t>Performance Stock</w:t>
            </w:r>
          </w:p>
        </w:tc>
        <w:tc>
          <w:tcPr>
            <w:tcW w:w="2160" w:type="dxa"/>
            <w:vAlign w:val="bottom"/>
            <w:shd w:val="clear" w:color="auto" w:fill="2B338D"/>
          </w:tcPr>
          <w:p>
            <w:pPr>
              <w:jc w:val="center"/>
              <w:spacing w:after="0"/>
              <w:rPr>
                <w:sz w:val="20"/>
                <w:szCs w:val="20"/>
                <w:color w:val="auto"/>
              </w:rPr>
            </w:pPr>
            <w:r>
              <w:rPr>
                <w:rFonts w:ascii="Arial" w:cs="Arial" w:eastAsia="Arial" w:hAnsi="Arial"/>
                <w:sz w:val="16"/>
                <w:szCs w:val="16"/>
                <w:b w:val="1"/>
                <w:bCs w:val="1"/>
                <w:color w:val="FFFFFF"/>
              </w:rPr>
              <w:t>Calculated Billings</w:t>
            </w:r>
          </w:p>
        </w:tc>
        <w:tc>
          <w:tcPr>
            <w:tcW w:w="2140" w:type="dxa"/>
            <w:vAlign w:val="bottom"/>
            <w:shd w:val="clear" w:color="auto" w:fill="2B338D"/>
          </w:tcPr>
          <w:p>
            <w:pPr>
              <w:jc w:val="center"/>
              <w:spacing w:after="0"/>
              <w:rPr>
                <w:sz w:val="20"/>
                <w:szCs w:val="20"/>
                <w:color w:val="auto"/>
              </w:rPr>
            </w:pPr>
            <w:r>
              <w:rPr>
                <w:rFonts w:ascii="Arial" w:cs="Arial" w:eastAsia="Arial" w:hAnsi="Arial"/>
                <w:sz w:val="16"/>
                <w:szCs w:val="16"/>
                <w:b w:val="1"/>
                <w:bCs w:val="1"/>
                <w:color w:val="FFFFFF"/>
              </w:rPr>
              <w:t>Revenue</w:t>
            </w:r>
          </w:p>
        </w:tc>
        <w:tc>
          <w:tcPr>
            <w:tcW w:w="2140" w:type="dxa"/>
            <w:vAlign w:val="bottom"/>
            <w:shd w:val="clear" w:color="auto" w:fill="009ADA"/>
          </w:tcPr>
          <w:p>
            <w:pPr>
              <w:jc w:val="center"/>
              <w:spacing w:after="0"/>
              <w:rPr>
                <w:sz w:val="20"/>
                <w:szCs w:val="20"/>
                <w:color w:val="auto"/>
              </w:rPr>
            </w:pPr>
            <w:r>
              <w:rPr>
                <w:rFonts w:ascii="Arial" w:cs="Arial" w:eastAsia="Arial" w:hAnsi="Arial"/>
                <w:sz w:val="16"/>
                <w:szCs w:val="16"/>
                <w:b w:val="1"/>
                <w:bCs w:val="1"/>
                <w:color w:val="FFFFFF"/>
              </w:rPr>
              <w:t>Performance Stock</w:t>
            </w:r>
          </w:p>
        </w:tc>
      </w:tr>
      <w:tr>
        <w:trPr>
          <w:trHeight w:val="232"/>
        </w:trPr>
        <w:tc>
          <w:tcPr>
            <w:tcW w:w="2660" w:type="dxa"/>
            <w:vAlign w:val="bottom"/>
            <w:shd w:val="clear" w:color="auto" w:fill="000000"/>
          </w:tcPr>
          <w:p>
            <w:pPr>
              <w:spacing w:after="0"/>
              <w:rPr>
                <w:sz w:val="20"/>
                <w:szCs w:val="20"/>
                <w:color w:val="auto"/>
              </w:rPr>
            </w:pPr>
          </w:p>
        </w:tc>
        <w:tc>
          <w:tcPr>
            <w:tcW w:w="2140" w:type="dxa"/>
            <w:vAlign w:val="bottom"/>
            <w:shd w:val="clear" w:color="auto" w:fill="2B338D"/>
          </w:tcPr>
          <w:p>
            <w:pPr>
              <w:jc w:val="center"/>
              <w:spacing w:after="0"/>
              <w:rPr>
                <w:sz w:val="20"/>
                <w:szCs w:val="20"/>
                <w:color w:val="auto"/>
              </w:rPr>
            </w:pPr>
            <w:r>
              <w:rPr>
                <w:rFonts w:ascii="Arial" w:cs="Arial" w:eastAsia="Arial" w:hAnsi="Arial"/>
                <w:sz w:val="16"/>
                <w:szCs w:val="16"/>
                <w:b w:val="1"/>
                <w:bCs w:val="1"/>
                <w:color w:val="FFFFFF"/>
              </w:rPr>
              <w:t>Unit Award</w:t>
            </w:r>
          </w:p>
        </w:tc>
        <w:tc>
          <w:tcPr>
            <w:tcW w:w="2160" w:type="dxa"/>
            <w:vAlign w:val="bottom"/>
            <w:shd w:val="clear" w:color="auto" w:fill="2B338D"/>
          </w:tcPr>
          <w:p>
            <w:pPr>
              <w:jc w:val="center"/>
              <w:spacing w:after="0"/>
              <w:rPr>
                <w:sz w:val="20"/>
                <w:szCs w:val="20"/>
                <w:color w:val="auto"/>
              </w:rPr>
            </w:pPr>
            <w:r>
              <w:rPr>
                <w:rFonts w:ascii="Arial" w:cs="Arial" w:eastAsia="Arial" w:hAnsi="Arial"/>
                <w:sz w:val="16"/>
                <w:szCs w:val="16"/>
                <w:b w:val="1"/>
                <w:bCs w:val="1"/>
                <w:color w:val="FFFFFF"/>
              </w:rPr>
              <w:t>Performance Measure</w:t>
            </w:r>
          </w:p>
        </w:tc>
        <w:tc>
          <w:tcPr>
            <w:tcW w:w="2140" w:type="dxa"/>
            <w:vAlign w:val="bottom"/>
            <w:shd w:val="clear" w:color="auto" w:fill="2B338D"/>
          </w:tcPr>
          <w:p>
            <w:pPr>
              <w:jc w:val="center"/>
              <w:spacing w:after="0"/>
              <w:rPr>
                <w:sz w:val="20"/>
                <w:szCs w:val="20"/>
                <w:color w:val="auto"/>
              </w:rPr>
            </w:pPr>
            <w:r>
              <w:rPr>
                <w:rFonts w:ascii="Arial" w:cs="Arial" w:eastAsia="Arial" w:hAnsi="Arial"/>
                <w:sz w:val="16"/>
                <w:szCs w:val="16"/>
                <w:b w:val="1"/>
                <w:bCs w:val="1"/>
                <w:color w:val="FFFFFF"/>
              </w:rPr>
              <w:t>Performance Measure</w:t>
            </w:r>
          </w:p>
        </w:tc>
        <w:tc>
          <w:tcPr>
            <w:tcW w:w="2140" w:type="dxa"/>
            <w:vAlign w:val="bottom"/>
            <w:shd w:val="clear" w:color="auto" w:fill="009ADA"/>
          </w:tcPr>
          <w:p>
            <w:pPr>
              <w:jc w:val="center"/>
              <w:spacing w:after="0"/>
              <w:rPr>
                <w:sz w:val="20"/>
                <w:szCs w:val="20"/>
                <w:color w:val="auto"/>
              </w:rPr>
            </w:pPr>
            <w:r>
              <w:rPr>
                <w:rFonts w:ascii="Arial" w:cs="Arial" w:eastAsia="Arial" w:hAnsi="Arial"/>
                <w:sz w:val="16"/>
                <w:szCs w:val="16"/>
                <w:b w:val="1"/>
                <w:bCs w:val="1"/>
                <w:color w:val="FFFFFF"/>
              </w:rPr>
              <w:t>Unit Award</w:t>
            </w:r>
          </w:p>
        </w:tc>
      </w:tr>
      <w:tr>
        <w:trPr>
          <w:trHeight w:val="270"/>
        </w:trPr>
        <w:tc>
          <w:tcPr>
            <w:tcW w:w="2660" w:type="dxa"/>
            <w:vAlign w:val="bottom"/>
            <w:shd w:val="clear" w:color="auto" w:fill="000000"/>
          </w:tcPr>
          <w:p>
            <w:pPr>
              <w:ind w:left="100"/>
              <w:spacing w:after="0"/>
              <w:rPr>
                <w:sz w:val="20"/>
                <w:szCs w:val="20"/>
                <w:color w:val="auto"/>
              </w:rPr>
            </w:pPr>
            <w:r>
              <w:rPr>
                <w:rFonts w:ascii="Arial" w:cs="Arial" w:eastAsia="Arial" w:hAnsi="Arial"/>
                <w:sz w:val="16"/>
                <w:szCs w:val="16"/>
                <w:b w:val="1"/>
                <w:bCs w:val="1"/>
                <w:color w:val="FFFFFF"/>
              </w:rPr>
              <w:t>Named Executive Officer</w:t>
            </w:r>
          </w:p>
        </w:tc>
        <w:tc>
          <w:tcPr>
            <w:tcW w:w="2140" w:type="dxa"/>
            <w:vAlign w:val="bottom"/>
            <w:shd w:val="clear" w:color="auto" w:fill="2B338D"/>
          </w:tcPr>
          <w:p>
            <w:pPr>
              <w:jc w:val="center"/>
              <w:spacing w:after="0"/>
              <w:rPr>
                <w:sz w:val="20"/>
                <w:szCs w:val="20"/>
                <w:color w:val="auto"/>
              </w:rPr>
            </w:pPr>
            <w:r>
              <w:rPr>
                <w:rFonts w:ascii="Arial" w:cs="Arial" w:eastAsia="Arial" w:hAnsi="Arial"/>
                <w:sz w:val="14"/>
                <w:szCs w:val="14"/>
                <w:b w:val="1"/>
                <w:bCs w:val="1"/>
                <w:color w:val="FFFFFF"/>
              </w:rPr>
              <w:t>(Target number of units)</w:t>
            </w:r>
          </w:p>
        </w:tc>
        <w:tc>
          <w:tcPr>
            <w:tcW w:w="2160" w:type="dxa"/>
            <w:vAlign w:val="bottom"/>
            <w:shd w:val="clear" w:color="auto" w:fill="2B338D"/>
          </w:tcPr>
          <w:p>
            <w:pPr>
              <w:jc w:val="center"/>
              <w:spacing w:after="0"/>
              <w:rPr>
                <w:sz w:val="20"/>
                <w:szCs w:val="20"/>
                <w:color w:val="auto"/>
              </w:rPr>
            </w:pPr>
            <w:r>
              <w:rPr>
                <w:rFonts w:ascii="Arial" w:cs="Arial" w:eastAsia="Arial" w:hAnsi="Arial"/>
                <w:sz w:val="14"/>
                <w:szCs w:val="14"/>
                <w:b w:val="1"/>
                <w:bCs w:val="1"/>
                <w:color w:val="FFFFFF"/>
              </w:rPr>
              <w:t>(Units Earned)</w:t>
            </w:r>
          </w:p>
        </w:tc>
        <w:tc>
          <w:tcPr>
            <w:tcW w:w="2140" w:type="dxa"/>
            <w:vAlign w:val="bottom"/>
            <w:shd w:val="clear" w:color="auto" w:fill="2B338D"/>
          </w:tcPr>
          <w:p>
            <w:pPr>
              <w:jc w:val="center"/>
              <w:spacing w:after="0"/>
              <w:rPr>
                <w:sz w:val="20"/>
                <w:szCs w:val="20"/>
                <w:color w:val="auto"/>
              </w:rPr>
            </w:pPr>
            <w:r>
              <w:rPr>
                <w:rFonts w:ascii="Arial" w:cs="Arial" w:eastAsia="Arial" w:hAnsi="Arial"/>
                <w:sz w:val="14"/>
                <w:szCs w:val="14"/>
                <w:b w:val="1"/>
                <w:bCs w:val="1"/>
                <w:color w:val="FFFFFF"/>
              </w:rPr>
              <w:t>(Units Earned)</w:t>
            </w:r>
          </w:p>
        </w:tc>
        <w:tc>
          <w:tcPr>
            <w:tcW w:w="2140" w:type="dxa"/>
            <w:vAlign w:val="bottom"/>
            <w:shd w:val="clear" w:color="auto" w:fill="009ADA"/>
          </w:tcPr>
          <w:p>
            <w:pPr>
              <w:jc w:val="center"/>
              <w:spacing w:after="0"/>
              <w:rPr>
                <w:sz w:val="20"/>
                <w:szCs w:val="20"/>
                <w:color w:val="auto"/>
              </w:rPr>
            </w:pPr>
            <w:r>
              <w:rPr>
                <w:rFonts w:ascii="Arial" w:cs="Arial" w:eastAsia="Arial" w:hAnsi="Arial"/>
                <w:sz w:val="14"/>
                <w:szCs w:val="14"/>
                <w:b w:val="1"/>
                <w:bCs w:val="1"/>
                <w:color w:val="FFFFFF"/>
              </w:rPr>
              <w:t>(Total Units awarded)</w:t>
            </w:r>
          </w:p>
        </w:tc>
      </w:tr>
      <w:tr>
        <w:trPr>
          <w:trHeight w:val="73"/>
        </w:trPr>
        <w:tc>
          <w:tcPr>
            <w:tcW w:w="2660" w:type="dxa"/>
            <w:vAlign w:val="bottom"/>
            <w:shd w:val="clear" w:color="auto" w:fill="000000"/>
          </w:tcPr>
          <w:p>
            <w:pPr>
              <w:spacing w:after="0"/>
              <w:rPr>
                <w:sz w:val="6"/>
                <w:szCs w:val="6"/>
                <w:color w:val="auto"/>
              </w:rPr>
            </w:pPr>
          </w:p>
        </w:tc>
        <w:tc>
          <w:tcPr>
            <w:tcW w:w="2140" w:type="dxa"/>
            <w:vAlign w:val="bottom"/>
            <w:shd w:val="clear" w:color="auto" w:fill="2B338D"/>
          </w:tcPr>
          <w:p>
            <w:pPr>
              <w:spacing w:after="0"/>
              <w:rPr>
                <w:sz w:val="6"/>
                <w:szCs w:val="6"/>
                <w:color w:val="auto"/>
              </w:rPr>
            </w:pPr>
          </w:p>
        </w:tc>
        <w:tc>
          <w:tcPr>
            <w:tcW w:w="2160" w:type="dxa"/>
            <w:vAlign w:val="bottom"/>
            <w:shd w:val="clear" w:color="auto" w:fill="2B338D"/>
          </w:tcPr>
          <w:p>
            <w:pPr>
              <w:spacing w:after="0"/>
              <w:rPr>
                <w:sz w:val="6"/>
                <w:szCs w:val="6"/>
                <w:color w:val="auto"/>
              </w:rPr>
            </w:pPr>
          </w:p>
        </w:tc>
        <w:tc>
          <w:tcPr>
            <w:tcW w:w="2140" w:type="dxa"/>
            <w:vAlign w:val="bottom"/>
            <w:shd w:val="clear" w:color="auto" w:fill="2B338D"/>
          </w:tcPr>
          <w:p>
            <w:pPr>
              <w:spacing w:after="0"/>
              <w:rPr>
                <w:sz w:val="6"/>
                <w:szCs w:val="6"/>
                <w:color w:val="auto"/>
              </w:rPr>
            </w:pPr>
          </w:p>
        </w:tc>
        <w:tc>
          <w:tcPr>
            <w:tcW w:w="2140" w:type="dxa"/>
            <w:vAlign w:val="bottom"/>
            <w:shd w:val="clear" w:color="auto" w:fill="009ADA"/>
          </w:tcPr>
          <w:p>
            <w:pPr>
              <w:spacing w:after="0"/>
              <w:rPr>
                <w:sz w:val="6"/>
                <w:szCs w:val="6"/>
                <w:color w:val="auto"/>
              </w:rPr>
            </w:pPr>
          </w:p>
        </w:tc>
      </w:tr>
      <w:tr>
        <w:trPr>
          <w:trHeight w:val="231"/>
        </w:trPr>
        <w:tc>
          <w:tcPr>
            <w:tcW w:w="2660" w:type="dxa"/>
            <w:vAlign w:val="bottom"/>
          </w:tcPr>
          <w:p>
            <w:pPr>
              <w:ind w:left="100"/>
              <w:spacing w:after="0"/>
              <w:rPr>
                <w:sz w:val="20"/>
                <w:szCs w:val="20"/>
                <w:color w:val="auto"/>
              </w:rPr>
            </w:pPr>
            <w:r>
              <w:rPr>
                <w:rFonts w:ascii="Arial" w:cs="Arial" w:eastAsia="Arial" w:hAnsi="Arial"/>
                <w:sz w:val="14"/>
                <w:szCs w:val="14"/>
                <w:b w:val="1"/>
                <w:bCs w:val="1"/>
                <w:color w:val="auto"/>
              </w:rPr>
              <w:t>Mr. Chaudhry</w:t>
            </w:r>
          </w:p>
        </w:tc>
        <w:tc>
          <w:tcPr>
            <w:tcW w:w="2140" w:type="dxa"/>
            <w:vAlign w:val="bottom"/>
          </w:tcPr>
          <w:p>
            <w:pPr>
              <w:jc w:val="right"/>
              <w:ind w:right="744"/>
              <w:spacing w:after="0"/>
              <w:rPr>
                <w:sz w:val="20"/>
                <w:szCs w:val="20"/>
                <w:color w:val="auto"/>
              </w:rPr>
            </w:pPr>
            <w:r>
              <w:rPr>
                <w:rFonts w:ascii="Arial" w:cs="Arial" w:eastAsia="Arial" w:hAnsi="Arial"/>
                <w:sz w:val="14"/>
                <w:szCs w:val="14"/>
                <w:color w:val="auto"/>
              </w:rPr>
              <w:t>150,000</w:t>
            </w:r>
          </w:p>
        </w:tc>
        <w:tc>
          <w:tcPr>
            <w:tcW w:w="2160" w:type="dxa"/>
            <w:vAlign w:val="bottom"/>
          </w:tcPr>
          <w:p>
            <w:pPr>
              <w:jc w:val="right"/>
              <w:ind w:right="744"/>
              <w:spacing w:after="0"/>
              <w:rPr>
                <w:sz w:val="20"/>
                <w:szCs w:val="20"/>
                <w:color w:val="auto"/>
              </w:rPr>
            </w:pPr>
            <w:r>
              <w:rPr>
                <w:rFonts w:ascii="Arial" w:cs="Arial" w:eastAsia="Arial" w:hAnsi="Arial"/>
                <w:sz w:val="14"/>
                <w:szCs w:val="14"/>
                <w:color w:val="auto"/>
              </w:rPr>
              <w:t>112,500</w:t>
            </w:r>
          </w:p>
        </w:tc>
        <w:tc>
          <w:tcPr>
            <w:tcW w:w="2140" w:type="dxa"/>
            <w:vAlign w:val="bottom"/>
          </w:tcPr>
          <w:p>
            <w:pPr>
              <w:jc w:val="center"/>
              <w:spacing w:after="0"/>
              <w:rPr>
                <w:sz w:val="20"/>
                <w:szCs w:val="20"/>
                <w:color w:val="auto"/>
              </w:rPr>
            </w:pPr>
            <w:r>
              <w:rPr>
                <w:rFonts w:ascii="Arial" w:cs="Arial" w:eastAsia="Arial" w:hAnsi="Arial"/>
                <w:sz w:val="14"/>
                <w:szCs w:val="14"/>
                <w:color w:val="auto"/>
              </w:rPr>
              <w:t>81,375</w:t>
            </w:r>
          </w:p>
        </w:tc>
        <w:tc>
          <w:tcPr>
            <w:tcW w:w="2140" w:type="dxa"/>
            <w:vAlign w:val="bottom"/>
          </w:tcPr>
          <w:p>
            <w:pPr>
              <w:jc w:val="right"/>
              <w:ind w:right="744"/>
              <w:spacing w:after="0"/>
              <w:rPr>
                <w:sz w:val="20"/>
                <w:szCs w:val="20"/>
                <w:color w:val="auto"/>
              </w:rPr>
            </w:pPr>
            <w:r>
              <w:rPr>
                <w:rFonts w:ascii="Arial" w:cs="Arial" w:eastAsia="Arial" w:hAnsi="Arial"/>
                <w:sz w:val="14"/>
                <w:szCs w:val="14"/>
                <w:color w:val="auto"/>
              </w:rPr>
              <w:t>193,875</w:t>
            </w:r>
          </w:p>
        </w:tc>
      </w:tr>
      <w:tr>
        <w:trPr>
          <w:trHeight w:val="53"/>
        </w:trPr>
        <w:tc>
          <w:tcPr>
            <w:tcW w:w="2660" w:type="dxa"/>
            <w:vAlign w:val="bottom"/>
            <w:tcBorders>
              <w:bottom w:val="single" w:sz="8" w:color="auto"/>
            </w:tcBorders>
          </w:tcPr>
          <w:p>
            <w:pPr>
              <w:spacing w:after="0"/>
              <w:rPr>
                <w:sz w:val="4"/>
                <w:szCs w:val="4"/>
                <w:color w:val="auto"/>
              </w:rPr>
            </w:pPr>
          </w:p>
        </w:tc>
        <w:tc>
          <w:tcPr>
            <w:tcW w:w="2140" w:type="dxa"/>
            <w:vAlign w:val="bottom"/>
            <w:tcBorders>
              <w:bottom w:val="single" w:sz="8" w:color="auto"/>
            </w:tcBorders>
          </w:tcPr>
          <w:p>
            <w:pPr>
              <w:spacing w:after="0"/>
              <w:rPr>
                <w:sz w:val="4"/>
                <w:szCs w:val="4"/>
                <w:color w:val="auto"/>
              </w:rPr>
            </w:pPr>
          </w:p>
        </w:tc>
        <w:tc>
          <w:tcPr>
            <w:tcW w:w="2160" w:type="dxa"/>
            <w:vAlign w:val="bottom"/>
            <w:tcBorders>
              <w:bottom w:val="single" w:sz="8" w:color="auto"/>
            </w:tcBorders>
          </w:tcPr>
          <w:p>
            <w:pPr>
              <w:spacing w:after="0"/>
              <w:rPr>
                <w:sz w:val="4"/>
                <w:szCs w:val="4"/>
                <w:color w:val="auto"/>
              </w:rPr>
            </w:pPr>
          </w:p>
        </w:tc>
        <w:tc>
          <w:tcPr>
            <w:tcW w:w="2140" w:type="dxa"/>
            <w:vAlign w:val="bottom"/>
            <w:tcBorders>
              <w:bottom w:val="single" w:sz="8" w:color="auto"/>
            </w:tcBorders>
          </w:tcPr>
          <w:p>
            <w:pPr>
              <w:spacing w:after="0"/>
              <w:rPr>
                <w:sz w:val="4"/>
                <w:szCs w:val="4"/>
                <w:color w:val="auto"/>
              </w:rPr>
            </w:pPr>
          </w:p>
        </w:tc>
        <w:tc>
          <w:tcPr>
            <w:tcW w:w="2140" w:type="dxa"/>
            <w:vAlign w:val="bottom"/>
            <w:tcBorders>
              <w:bottom w:val="single" w:sz="8" w:color="auto"/>
            </w:tcBorders>
          </w:tcPr>
          <w:p>
            <w:pPr>
              <w:spacing w:after="0"/>
              <w:rPr>
                <w:sz w:val="4"/>
                <w:szCs w:val="4"/>
                <w:color w:val="auto"/>
              </w:rPr>
            </w:pPr>
          </w:p>
        </w:tc>
      </w:tr>
      <w:tr>
        <w:trPr>
          <w:trHeight w:val="225"/>
        </w:trPr>
        <w:tc>
          <w:tcPr>
            <w:tcW w:w="2660" w:type="dxa"/>
            <w:vAlign w:val="bottom"/>
          </w:tcPr>
          <w:p>
            <w:pPr>
              <w:ind w:left="100"/>
              <w:spacing w:after="0"/>
              <w:rPr>
                <w:sz w:val="20"/>
                <w:szCs w:val="20"/>
                <w:color w:val="auto"/>
              </w:rPr>
            </w:pPr>
            <w:r>
              <w:rPr>
                <w:rFonts w:ascii="Arial" w:cs="Arial" w:eastAsia="Arial" w:hAnsi="Arial"/>
                <w:sz w:val="14"/>
                <w:szCs w:val="14"/>
                <w:b w:val="1"/>
                <w:bCs w:val="1"/>
                <w:color w:val="auto"/>
              </w:rPr>
              <w:t>Mr. Rajic</w:t>
            </w:r>
          </w:p>
        </w:tc>
        <w:tc>
          <w:tcPr>
            <w:tcW w:w="2140" w:type="dxa"/>
            <w:vAlign w:val="bottom"/>
          </w:tcPr>
          <w:p>
            <w:pPr>
              <w:jc w:val="right"/>
              <w:ind w:right="784"/>
              <w:spacing w:after="0"/>
              <w:rPr>
                <w:sz w:val="20"/>
                <w:szCs w:val="20"/>
                <w:color w:val="auto"/>
              </w:rPr>
            </w:pPr>
            <w:r>
              <w:rPr>
                <w:rFonts w:ascii="Arial" w:cs="Arial" w:eastAsia="Arial" w:hAnsi="Arial"/>
                <w:sz w:val="14"/>
                <w:szCs w:val="14"/>
                <w:color w:val="auto"/>
              </w:rPr>
              <w:t>23,182</w:t>
            </w:r>
          </w:p>
        </w:tc>
        <w:tc>
          <w:tcPr>
            <w:tcW w:w="2160" w:type="dxa"/>
            <w:vAlign w:val="bottom"/>
          </w:tcPr>
          <w:p>
            <w:pPr>
              <w:jc w:val="right"/>
              <w:ind w:right="784"/>
              <w:spacing w:after="0"/>
              <w:rPr>
                <w:sz w:val="20"/>
                <w:szCs w:val="20"/>
                <w:color w:val="auto"/>
              </w:rPr>
            </w:pPr>
            <w:r>
              <w:rPr>
                <w:rFonts w:ascii="Arial" w:cs="Arial" w:eastAsia="Arial" w:hAnsi="Arial"/>
                <w:sz w:val="14"/>
                <w:szCs w:val="14"/>
                <w:color w:val="auto"/>
              </w:rPr>
              <w:t>17,386</w:t>
            </w:r>
          </w:p>
        </w:tc>
        <w:tc>
          <w:tcPr>
            <w:tcW w:w="2140" w:type="dxa"/>
            <w:vAlign w:val="bottom"/>
          </w:tcPr>
          <w:p>
            <w:pPr>
              <w:jc w:val="center"/>
              <w:spacing w:after="0"/>
              <w:rPr>
                <w:sz w:val="20"/>
                <w:szCs w:val="20"/>
                <w:color w:val="auto"/>
              </w:rPr>
            </w:pPr>
            <w:r>
              <w:rPr>
                <w:rFonts w:ascii="Arial" w:cs="Arial" w:eastAsia="Arial" w:hAnsi="Arial"/>
                <w:sz w:val="14"/>
                <w:szCs w:val="14"/>
                <w:color w:val="auto"/>
              </w:rPr>
              <w:t>12,576</w:t>
            </w:r>
          </w:p>
        </w:tc>
        <w:tc>
          <w:tcPr>
            <w:tcW w:w="2140" w:type="dxa"/>
            <w:vAlign w:val="bottom"/>
          </w:tcPr>
          <w:p>
            <w:pPr>
              <w:jc w:val="right"/>
              <w:ind w:right="784"/>
              <w:spacing w:after="0"/>
              <w:rPr>
                <w:sz w:val="20"/>
                <w:szCs w:val="20"/>
                <w:color w:val="auto"/>
              </w:rPr>
            </w:pPr>
            <w:r>
              <w:rPr>
                <w:rFonts w:ascii="Arial" w:cs="Arial" w:eastAsia="Arial" w:hAnsi="Arial"/>
                <w:sz w:val="14"/>
                <w:szCs w:val="14"/>
                <w:color w:val="auto"/>
              </w:rPr>
              <w:t>29,962</w:t>
            </w:r>
          </w:p>
        </w:tc>
      </w:tr>
      <w:tr>
        <w:trPr>
          <w:trHeight w:val="53"/>
        </w:trPr>
        <w:tc>
          <w:tcPr>
            <w:tcW w:w="2660" w:type="dxa"/>
            <w:vAlign w:val="bottom"/>
            <w:tcBorders>
              <w:bottom w:val="single" w:sz="8" w:color="auto"/>
            </w:tcBorders>
          </w:tcPr>
          <w:p>
            <w:pPr>
              <w:spacing w:after="0"/>
              <w:rPr>
                <w:sz w:val="4"/>
                <w:szCs w:val="4"/>
                <w:color w:val="auto"/>
              </w:rPr>
            </w:pPr>
          </w:p>
        </w:tc>
        <w:tc>
          <w:tcPr>
            <w:tcW w:w="2140" w:type="dxa"/>
            <w:vAlign w:val="bottom"/>
            <w:tcBorders>
              <w:bottom w:val="single" w:sz="8" w:color="auto"/>
            </w:tcBorders>
          </w:tcPr>
          <w:p>
            <w:pPr>
              <w:spacing w:after="0"/>
              <w:rPr>
                <w:sz w:val="4"/>
                <w:szCs w:val="4"/>
                <w:color w:val="auto"/>
              </w:rPr>
            </w:pPr>
          </w:p>
        </w:tc>
        <w:tc>
          <w:tcPr>
            <w:tcW w:w="2160" w:type="dxa"/>
            <w:vAlign w:val="bottom"/>
            <w:tcBorders>
              <w:bottom w:val="single" w:sz="8" w:color="auto"/>
            </w:tcBorders>
          </w:tcPr>
          <w:p>
            <w:pPr>
              <w:spacing w:after="0"/>
              <w:rPr>
                <w:sz w:val="4"/>
                <w:szCs w:val="4"/>
                <w:color w:val="auto"/>
              </w:rPr>
            </w:pPr>
          </w:p>
        </w:tc>
        <w:tc>
          <w:tcPr>
            <w:tcW w:w="2140" w:type="dxa"/>
            <w:vAlign w:val="bottom"/>
            <w:tcBorders>
              <w:bottom w:val="single" w:sz="8" w:color="auto"/>
            </w:tcBorders>
          </w:tcPr>
          <w:p>
            <w:pPr>
              <w:spacing w:after="0"/>
              <w:rPr>
                <w:sz w:val="4"/>
                <w:szCs w:val="4"/>
                <w:color w:val="auto"/>
              </w:rPr>
            </w:pPr>
          </w:p>
        </w:tc>
        <w:tc>
          <w:tcPr>
            <w:tcW w:w="2140" w:type="dxa"/>
            <w:vAlign w:val="bottom"/>
            <w:tcBorders>
              <w:bottom w:val="single" w:sz="8" w:color="auto"/>
            </w:tcBorders>
          </w:tcPr>
          <w:p>
            <w:pPr>
              <w:spacing w:after="0"/>
              <w:rPr>
                <w:sz w:val="4"/>
                <w:szCs w:val="4"/>
                <w:color w:val="auto"/>
              </w:rPr>
            </w:pPr>
          </w:p>
        </w:tc>
      </w:tr>
    </w:tbl>
    <w:p>
      <w:pPr>
        <w:spacing w:after="0" w:line="326" w:lineRule="exact"/>
        <w:rPr>
          <w:sz w:val="20"/>
          <w:szCs w:val="20"/>
          <w:color w:val="auto"/>
        </w:rPr>
      </w:pPr>
    </w:p>
    <w:p>
      <w:pPr>
        <w:ind w:right="200"/>
        <w:spacing w:after="0" w:line="348" w:lineRule="auto"/>
        <w:rPr>
          <w:sz w:val="20"/>
          <w:szCs w:val="20"/>
          <w:color w:val="auto"/>
        </w:rPr>
      </w:pPr>
      <w:r>
        <w:rPr>
          <w:rFonts w:ascii="Arial" w:cs="Arial" w:eastAsia="Arial" w:hAnsi="Arial"/>
          <w:sz w:val="16"/>
          <w:szCs w:val="16"/>
          <w:color w:val="auto"/>
        </w:rPr>
        <w:t>Following certification of our achievement against the applicable performance metrics, 100% of the units earned by Messrs. Chaudhry and Rajic vested on September 15, 2021. Each unit earned pursuant to a Fiscal 2021 PSU Award was to be settled for one share of our common stock.</w:t>
      </w:r>
    </w:p>
    <w:p>
      <w:pPr>
        <w:spacing w:after="0" w:line="125" w:lineRule="exact"/>
        <w:rPr>
          <w:sz w:val="20"/>
          <w:szCs w:val="20"/>
          <w:color w:val="auto"/>
        </w:rPr>
      </w:pPr>
    </w:p>
    <w:p>
      <w:pPr>
        <w:ind w:right="260"/>
        <w:spacing w:after="0" w:line="369" w:lineRule="auto"/>
        <w:rPr>
          <w:sz w:val="20"/>
          <w:szCs w:val="20"/>
          <w:color w:val="auto"/>
        </w:rPr>
      </w:pPr>
      <w:r>
        <w:rPr>
          <w:rFonts w:ascii="Arial" w:cs="Arial" w:eastAsia="Arial" w:hAnsi="Arial"/>
          <w:sz w:val="16"/>
          <w:szCs w:val="16"/>
          <w:color w:val="auto"/>
        </w:rPr>
        <w:t xml:space="preserve">The equity awards granted to our Named Executive Officers in fiscal 2021 are set forth in the </w:t>
      </w:r>
      <w:r>
        <w:rPr>
          <w:rFonts w:ascii="Arial" w:cs="Arial" w:eastAsia="Arial" w:hAnsi="Arial"/>
          <w:sz w:val="16"/>
          <w:szCs w:val="16"/>
          <w:i w:val="1"/>
          <w:iCs w:val="1"/>
          <w:color w:val="auto"/>
        </w:rPr>
        <w:t>“</w:t>
      </w:r>
      <w:r>
        <w:rPr>
          <w:rFonts w:ascii="Arial" w:cs="Arial" w:eastAsia="Arial" w:hAnsi="Arial"/>
          <w:sz w:val="16"/>
          <w:szCs w:val="16"/>
          <w:color w:val="auto"/>
        </w:rPr>
        <w:t>Fiscal 2021 Summary Compensation Table</w:t>
      </w:r>
      <w:r>
        <w:rPr>
          <w:rFonts w:ascii="Arial" w:cs="Arial" w:eastAsia="Arial" w:hAnsi="Arial"/>
          <w:sz w:val="16"/>
          <w:szCs w:val="16"/>
          <w:i w:val="1"/>
          <w:iCs w:val="1"/>
          <w:color w:val="auto"/>
        </w:rPr>
        <w:t>”</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w:t>
      </w:r>
      <w:r>
        <w:rPr>
          <w:rFonts w:ascii="Arial" w:cs="Arial" w:eastAsia="Arial" w:hAnsi="Arial"/>
          <w:sz w:val="16"/>
          <w:szCs w:val="16"/>
          <w:color w:val="auto"/>
        </w:rPr>
        <w:t>Fiscal 2021 Grants of Plan-Based Awards Table</w:t>
      </w:r>
      <w:r>
        <w:rPr>
          <w:rFonts w:ascii="Arial" w:cs="Arial" w:eastAsia="Arial" w:hAnsi="Arial"/>
          <w:sz w:val="16"/>
          <w:szCs w:val="16"/>
          <w:i w:val="1"/>
          <w:iCs w:val="1"/>
          <w:color w:val="auto"/>
        </w:rPr>
        <w:t>”</w:t>
      </w:r>
      <w:r>
        <w:rPr>
          <w:rFonts w:ascii="Arial" w:cs="Arial" w:eastAsia="Arial" w:hAnsi="Arial"/>
          <w:sz w:val="16"/>
          <w:szCs w:val="16"/>
          <w:color w:val="auto"/>
        </w:rPr>
        <w:t xml:space="preserve"> below.</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Health and Welfare Benefits</w:t>
      </w:r>
    </w:p>
    <w:p>
      <w:pPr>
        <w:spacing w:after="0" w:line="147" w:lineRule="exact"/>
        <w:rPr>
          <w:sz w:val="20"/>
          <w:szCs w:val="20"/>
          <w:color w:val="auto"/>
        </w:rPr>
      </w:pPr>
    </w:p>
    <w:p>
      <w:pPr>
        <w:ind w:right="120"/>
        <w:spacing w:after="0" w:line="339" w:lineRule="auto"/>
        <w:rPr>
          <w:sz w:val="20"/>
          <w:szCs w:val="20"/>
          <w:color w:val="auto"/>
        </w:rPr>
      </w:pPr>
      <w:r>
        <w:rPr>
          <w:rFonts w:ascii="Arial" w:cs="Arial" w:eastAsia="Arial" w:hAnsi="Arial"/>
          <w:sz w:val="16"/>
          <w:szCs w:val="16"/>
          <w:color w:val="auto"/>
        </w:rPr>
        <w:t>Our Named Executive Officers are eligible to receive the same employee benefits that are generally available to all employees, subject to the satisfaction of certain eligibility requirements. These benefits include medical, dental, and vision insurance, business travel insurance, an employee assistance program, health and dependent care flexible spending accounts, basic life insurance, accidental death and dismemberment insurance, short-term and long-term disability insurance and reimbursement for mobile phone coverage.</w:t>
      </w:r>
    </w:p>
    <w:p>
      <w:pPr>
        <w:spacing w:after="0" w:line="148" w:lineRule="exact"/>
        <w:rPr>
          <w:sz w:val="20"/>
          <w:szCs w:val="20"/>
          <w:color w:val="auto"/>
        </w:rPr>
      </w:pPr>
    </w:p>
    <w:p>
      <w:pPr>
        <w:ind w:right="20"/>
        <w:spacing w:after="0" w:line="338" w:lineRule="auto"/>
        <w:rPr>
          <w:sz w:val="20"/>
          <w:szCs w:val="20"/>
          <w:color w:val="auto"/>
        </w:rPr>
      </w:pPr>
      <w:r>
        <w:rPr>
          <w:rFonts w:ascii="Arial" w:cs="Arial" w:eastAsia="Arial" w:hAnsi="Arial"/>
          <w:sz w:val="16"/>
          <w:szCs w:val="16"/>
          <w:color w:val="auto"/>
        </w:rPr>
        <w:t>We maintain a tax-qualified retirement plan, or the 401(k) plan, that provides eligible employees, including our Named Executive Officers, with an opportunity to save for retirement on a tax-advantaged basis. Eligible employees are able to participate in the 401(k) Plan as of the first day of the month following the date they meet the plan’s eligibility requirements, and participants are able to defer up to 100% of their eligible compensation subject to applicable annual limits as set under the Internal Revenue Code. All participants’ interests in their deferrals are 100% vested when contributed. During fiscal 2020, we began making employer matching contributions to the 401(k) plan in an amount of up to $2,000 annually on a dollar for dollar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264795</wp:posOffset>
            </wp:positionV>
            <wp:extent cx="342900" cy="21463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42900" cy="214630"/>
                    </a:xfrm>
                    <a:prstGeom prst="rect">
                      <a:avLst/>
                    </a:prstGeom>
                    <a:noFill/>
                  </pic:spPr>
                </pic:pic>
              </a:graphicData>
            </a:graphic>
          </wp:anchor>
        </w:drawing>
      </w:r>
    </w:p>
    <w:p>
      <w:pPr>
        <w:spacing w:after="0" w:line="335" w:lineRule="exact"/>
        <w:rPr>
          <w:sz w:val="20"/>
          <w:szCs w:val="20"/>
          <w:color w:val="auto"/>
        </w:rPr>
      </w:pPr>
    </w:p>
    <w:p>
      <w:pPr>
        <w:jc w:val="both"/>
        <w:ind w:left="5540"/>
        <w:spacing w:after="0"/>
        <w:tabs>
          <w:tab w:leader="none" w:pos="9780" w:val="left"/>
        </w:tabs>
        <w:rPr>
          <w:sz w:val="20"/>
          <w:szCs w:val="20"/>
          <w:color w:val="auto"/>
        </w:rPr>
      </w:pPr>
      <w:r>
        <w:rPr>
          <w:rFonts w:ascii="Arial" w:cs="Arial" w:eastAsia="Arial" w:hAnsi="Arial"/>
          <w:sz w:val="29"/>
          <w:szCs w:val="29"/>
          <w:color w:val="auto"/>
          <w:vertAlign w:val="superscript"/>
        </w:rPr>
        <w:t>52</w:t>
      </w:r>
      <w:r>
        <w:rPr>
          <w:sz w:val="20"/>
          <w:szCs w:val="20"/>
          <w:color w:val="auto"/>
        </w:rPr>
        <w:tab/>
      </w:r>
      <w:r>
        <w:rPr>
          <w:rFonts w:ascii="Arial" w:cs="Arial" w:eastAsia="Arial" w:hAnsi="Arial"/>
          <w:sz w:val="14"/>
          <w:szCs w:val="14"/>
          <w:color w:val="auto"/>
        </w:rPr>
        <w:t>2021 Proxy Statement</w:t>
      </w:r>
    </w:p>
    <w:p>
      <w:pPr>
        <w:sectPr>
          <w:pgSz w:w="11900" w:h="16838" w:orient="portrait"/>
          <w:cols w:equalWidth="0" w:num="1">
            <w:col w:w="11240"/>
          </w:cols>
          <w:pgMar w:left="320" w:top="172" w:right="339" w:bottom="1440" w:gutter="0" w:footer="0" w:header="0"/>
        </w:sectPr>
      </w:pPr>
    </w:p>
    <w:bookmarkStart w:id="56" w:name="page57"/>
    <w:bookmarkEnd w:id="56"/>
    <w:p>
      <w:pPr>
        <w:ind w:left="280"/>
        <w:spacing w:after="0"/>
        <w:rPr>
          <w:sz w:val="20"/>
          <w:szCs w:val="20"/>
          <w:color w:val="auto"/>
        </w:rPr>
      </w:pPr>
      <w:r>
        <w:rPr>
          <w:rFonts w:ascii="Arial" w:cs="Arial" w:eastAsia="Arial" w:hAnsi="Arial"/>
          <w:sz w:val="13"/>
          <w:szCs w:val="13"/>
          <w:b w:val="1"/>
          <w:bCs w:val="1"/>
          <w:color w:val="929292"/>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7470" cy="596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7470" cy="59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both"/>
        <w:ind w:right="60"/>
        <w:spacing w:after="0" w:line="341" w:lineRule="auto"/>
        <w:rPr>
          <w:sz w:val="20"/>
          <w:szCs w:val="20"/>
          <w:color w:val="auto"/>
        </w:rPr>
      </w:pPr>
      <w:r>
        <w:rPr>
          <w:rFonts w:ascii="Arial" w:cs="Arial" w:eastAsia="Arial" w:hAnsi="Arial"/>
          <w:sz w:val="16"/>
          <w:szCs w:val="16"/>
          <w:color w:val="auto"/>
        </w:rPr>
        <w:t>The 401(k) Plan is intended to be qualified under Section 401(a) of the Internal Revenue Code with the plan’s related trust intended to be tax-exempt under Section 501(a) of the Internal Revenue Code. As a tax-qualified retirement plan, contributions to our 401(k) Plan and earnings on those contributions are not taxable to our employees until distributed from the plan.</w:t>
      </w:r>
    </w:p>
    <w:p>
      <w:pPr>
        <w:spacing w:after="0" w:line="147" w:lineRule="exact"/>
        <w:rPr>
          <w:sz w:val="20"/>
          <w:szCs w:val="20"/>
          <w:color w:val="auto"/>
        </w:rPr>
      </w:pPr>
    </w:p>
    <w:p>
      <w:pPr>
        <w:ind w:right="580"/>
        <w:spacing w:after="0" w:line="341" w:lineRule="auto"/>
        <w:rPr>
          <w:sz w:val="20"/>
          <w:szCs w:val="20"/>
          <w:color w:val="auto"/>
        </w:rPr>
      </w:pPr>
      <w:r>
        <w:rPr>
          <w:rFonts w:ascii="Arial" w:cs="Arial" w:eastAsia="Arial" w:hAnsi="Arial"/>
          <w:sz w:val="16"/>
          <w:szCs w:val="16"/>
          <w:color w:val="auto"/>
        </w:rPr>
        <w:t>We design our employee benefits programs to be affordable and competitive in relation to the market as well as compliant with applicable laws and practices. We adjust our employee benefits programs as needed based upon regular monitoring of applicable laws and practices and the competitive market.</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Perquisites and Other Personal Benefits</w:t>
      </w:r>
    </w:p>
    <w:p>
      <w:pPr>
        <w:spacing w:after="0" w:line="147" w:lineRule="exact"/>
        <w:rPr>
          <w:sz w:val="20"/>
          <w:szCs w:val="20"/>
          <w:color w:val="auto"/>
        </w:rPr>
      </w:pPr>
    </w:p>
    <w:p>
      <w:pPr>
        <w:ind w:right="160"/>
        <w:spacing w:after="0" w:line="338" w:lineRule="auto"/>
        <w:rPr>
          <w:sz w:val="20"/>
          <w:szCs w:val="20"/>
          <w:color w:val="auto"/>
        </w:rPr>
      </w:pPr>
      <w:r>
        <w:rPr>
          <w:rFonts w:ascii="Arial" w:cs="Arial" w:eastAsia="Arial" w:hAnsi="Arial"/>
          <w:sz w:val="16"/>
          <w:szCs w:val="16"/>
          <w:color w:val="auto"/>
        </w:rPr>
        <w:t>Currently, we do not view perquisites or other personal benefits as a significant component of our executive compensation program. Accordingly, we do not provide significant perquisites or other personal benefits to our Named Executive Officers, except as generally made available to our employees or in situations where we believe it is appropriate to assist an individual in the performance of his or her duties, to make him or her more efficient and effective, and for recruitment and retention purposes. During fiscal 2021, none of our Named Executive Officers received perquisites or other personal benefits that were, in the aggregate, $10,000 or more for any individual.</w:t>
      </w:r>
    </w:p>
    <w:p>
      <w:pPr>
        <w:spacing w:after="0" w:line="149" w:lineRule="exact"/>
        <w:rPr>
          <w:sz w:val="20"/>
          <w:szCs w:val="20"/>
          <w:color w:val="auto"/>
        </w:rPr>
      </w:pPr>
    </w:p>
    <w:p>
      <w:pPr>
        <w:ind w:right="260"/>
        <w:spacing w:after="0" w:line="341" w:lineRule="auto"/>
        <w:rPr>
          <w:sz w:val="20"/>
          <w:szCs w:val="20"/>
          <w:color w:val="auto"/>
        </w:rPr>
      </w:pPr>
      <w:r>
        <w:rPr>
          <w:rFonts w:ascii="Arial" w:cs="Arial" w:eastAsia="Arial" w:hAnsi="Arial"/>
          <w:sz w:val="16"/>
          <w:szCs w:val="16"/>
          <w:color w:val="auto"/>
        </w:rPr>
        <w:t>We have in the past and may in the future, we may provide perquisites or other personal benefits in limited circumstances, such as those described in the preceding paragraph. All future practices with respect to perquisites or other personal benefits will be approved and subject to periodic review by the compensation committee.</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2B338D"/>
        </w:rPr>
        <w:t>EMPLOYMENT ARRANGEMENTS</w:t>
      </w:r>
    </w:p>
    <w:p>
      <w:pPr>
        <w:spacing w:after="0" w:line="147" w:lineRule="exact"/>
        <w:rPr>
          <w:sz w:val="20"/>
          <w:szCs w:val="20"/>
          <w:color w:val="auto"/>
        </w:rPr>
      </w:pPr>
    </w:p>
    <w:p>
      <w:pPr>
        <w:jc w:val="both"/>
        <w:spacing w:after="0" w:line="341" w:lineRule="auto"/>
        <w:rPr>
          <w:sz w:val="20"/>
          <w:szCs w:val="20"/>
          <w:color w:val="auto"/>
        </w:rPr>
      </w:pPr>
      <w:r>
        <w:rPr>
          <w:rFonts w:ascii="Arial" w:cs="Arial" w:eastAsia="Arial" w:hAnsi="Arial"/>
          <w:sz w:val="16"/>
          <w:szCs w:val="16"/>
          <w:color w:val="auto"/>
        </w:rPr>
        <w:t>We entered into written employment agreement with our CEO and employment offer letters with our other Named Executive Officers in connection with their employment with us. We believe that these arrangements were necessary to induce these individuals to forego other employment opportunities or leave their then-current employer for the uncertainty of a demanding position in a new and unfamiliar organization.</w:t>
      </w:r>
    </w:p>
    <w:p>
      <w:pPr>
        <w:spacing w:after="0" w:line="147" w:lineRule="exact"/>
        <w:rPr>
          <w:sz w:val="20"/>
          <w:szCs w:val="20"/>
          <w:color w:val="auto"/>
        </w:rPr>
      </w:pPr>
    </w:p>
    <w:p>
      <w:pPr>
        <w:ind w:right="240"/>
        <w:spacing w:after="0" w:line="339" w:lineRule="auto"/>
        <w:rPr>
          <w:sz w:val="20"/>
          <w:szCs w:val="20"/>
          <w:color w:val="auto"/>
        </w:rPr>
      </w:pPr>
      <w:r>
        <w:rPr>
          <w:rFonts w:ascii="Arial" w:cs="Arial" w:eastAsia="Arial" w:hAnsi="Arial"/>
          <w:sz w:val="16"/>
          <w:szCs w:val="16"/>
          <w:color w:val="auto"/>
        </w:rPr>
        <w:t>In filling each of our executive positions, our board of directors or the compensation committee, as applicable, recognized that it would need to develop competitive compensation packages to attract qualified candidates in a dynamic labor market. At the same time, our board of directors and the compensation committee were sensitive to the need to integrate new executive officers into the executive compensation structure that we were seeking to develop, balancing both competitive and internal equity considerations.</w:t>
      </w:r>
    </w:p>
    <w:p>
      <w:pPr>
        <w:spacing w:after="0" w:line="148" w:lineRule="exact"/>
        <w:rPr>
          <w:sz w:val="20"/>
          <w:szCs w:val="20"/>
          <w:color w:val="auto"/>
        </w:rPr>
      </w:pPr>
    </w:p>
    <w:p>
      <w:pPr>
        <w:ind w:right="80"/>
        <w:spacing w:after="0" w:line="339" w:lineRule="auto"/>
        <w:rPr>
          <w:sz w:val="20"/>
          <w:szCs w:val="20"/>
          <w:color w:val="auto"/>
        </w:rPr>
      </w:pPr>
      <w:r>
        <w:rPr>
          <w:rFonts w:ascii="Arial" w:cs="Arial" w:eastAsia="Arial" w:hAnsi="Arial"/>
          <w:sz w:val="16"/>
          <w:szCs w:val="16"/>
          <w:color w:val="auto"/>
        </w:rPr>
        <w:t>Each of these arrangements provides for “at will” employment (meaning that either we or the executive officer may terminate the employment relationship at any time without cause) and sets forth the initial compensation arrangements for the executive officer, including their base salary, target annual cash bonus opportunity (expressed as fixed amount or as a percentage of his or her base salary), participation in our employee benefit programs, eligibility for future equity awards, and reimbursement for all reasonable and necessary business expenses.</w:t>
      </w:r>
    </w:p>
    <w:p>
      <w:pPr>
        <w:spacing w:after="0" w:line="148" w:lineRule="exact"/>
        <w:rPr>
          <w:sz w:val="20"/>
          <w:szCs w:val="20"/>
          <w:color w:val="auto"/>
        </w:rPr>
      </w:pPr>
    </w:p>
    <w:p>
      <w:pPr>
        <w:spacing w:after="0" w:line="341" w:lineRule="auto"/>
        <w:rPr>
          <w:sz w:val="20"/>
          <w:szCs w:val="20"/>
          <w:color w:val="auto"/>
        </w:rPr>
      </w:pPr>
      <w:r>
        <w:rPr>
          <w:rFonts w:ascii="Arial" w:cs="Arial" w:eastAsia="Arial" w:hAnsi="Arial"/>
          <w:sz w:val="16"/>
          <w:szCs w:val="16"/>
          <w:color w:val="auto"/>
        </w:rPr>
        <w:t xml:space="preserve">In addition, in the case of our Named Executive Officers, their employment offer letters and other agreements provide that the executive officer will be eligible to receive certain severance payments and benefits in connection with certain terminations of employment. These post-employment compensation arrangements are discussed in </w:t>
      </w:r>
      <w:r>
        <w:rPr>
          <w:rFonts w:ascii="Arial" w:cs="Arial" w:eastAsia="Arial" w:hAnsi="Arial"/>
          <w:sz w:val="16"/>
          <w:szCs w:val="16"/>
          <w:i w:val="1"/>
          <w:iCs w:val="1"/>
          <w:color w:val="auto"/>
        </w:rPr>
        <w:t>“</w:t>
      </w:r>
      <w:r>
        <w:rPr>
          <w:rFonts w:ascii="Arial" w:cs="Arial" w:eastAsia="Arial" w:hAnsi="Arial"/>
          <w:sz w:val="16"/>
          <w:szCs w:val="16"/>
          <w:color w:val="auto"/>
        </w:rPr>
        <w:t>Post-Employment Compensation</w:t>
      </w:r>
      <w:r>
        <w:rPr>
          <w:rFonts w:ascii="Arial" w:cs="Arial" w:eastAsia="Arial" w:hAnsi="Arial"/>
          <w:sz w:val="16"/>
          <w:szCs w:val="16"/>
          <w:i w:val="1"/>
          <w:iCs w:val="1"/>
          <w:color w:val="auto"/>
        </w:rPr>
        <w:t>”</w:t>
      </w:r>
      <w:r>
        <w:rPr>
          <w:rFonts w:ascii="Arial" w:cs="Arial" w:eastAsia="Arial" w:hAnsi="Arial"/>
          <w:sz w:val="16"/>
          <w:szCs w:val="16"/>
          <w:color w:val="auto"/>
        </w:rPr>
        <w:t xml:space="preserve"> below.</w:t>
      </w:r>
    </w:p>
    <w:p>
      <w:pPr>
        <w:spacing w:after="0" w:line="131" w:lineRule="exact"/>
        <w:rPr>
          <w:sz w:val="20"/>
          <w:szCs w:val="20"/>
          <w:color w:val="auto"/>
        </w:rPr>
      </w:pPr>
    </w:p>
    <w:p>
      <w:pPr>
        <w:ind w:right="400"/>
        <w:spacing w:after="0" w:line="369" w:lineRule="auto"/>
        <w:rPr>
          <w:sz w:val="20"/>
          <w:szCs w:val="20"/>
          <w:color w:val="auto"/>
        </w:rPr>
      </w:pPr>
      <w:r>
        <w:rPr>
          <w:rFonts w:ascii="Arial" w:cs="Arial" w:eastAsia="Arial" w:hAnsi="Arial"/>
          <w:sz w:val="16"/>
          <w:szCs w:val="16"/>
          <w:color w:val="auto"/>
        </w:rPr>
        <w:t xml:space="preserve">For detailed descriptions of the employment arrangements with our Named Executive Officers, see </w:t>
      </w:r>
      <w:r>
        <w:rPr>
          <w:rFonts w:ascii="Arial" w:cs="Arial" w:eastAsia="Arial" w:hAnsi="Arial"/>
          <w:sz w:val="16"/>
          <w:szCs w:val="16"/>
          <w:i w:val="1"/>
          <w:iCs w:val="1"/>
          <w:color w:val="auto"/>
        </w:rPr>
        <w:t>“Potential Payments upon Termination or Change in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Control” </w:t>
      </w:r>
      <w:r>
        <w:rPr>
          <w:rFonts w:ascii="Arial" w:cs="Arial" w:eastAsia="Arial" w:hAnsi="Arial"/>
          <w:sz w:val="16"/>
          <w:szCs w:val="16"/>
          <w:color w:val="auto"/>
        </w:rPr>
        <w:t>below.</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b w:val="1"/>
          <w:bCs w:val="1"/>
          <w:color w:val="2B338D"/>
        </w:rPr>
        <w:t>POST-EMPLOYMENT COMPENSATION</w:t>
      </w:r>
    </w:p>
    <w:p>
      <w:pPr>
        <w:spacing w:after="0" w:line="147" w:lineRule="exact"/>
        <w:rPr>
          <w:sz w:val="20"/>
          <w:szCs w:val="20"/>
          <w:color w:val="auto"/>
        </w:rPr>
      </w:pPr>
    </w:p>
    <w:p>
      <w:pPr>
        <w:ind w:right="100"/>
        <w:spacing w:after="0" w:line="339" w:lineRule="auto"/>
        <w:rPr>
          <w:sz w:val="20"/>
          <w:szCs w:val="20"/>
          <w:color w:val="auto"/>
        </w:rPr>
      </w:pPr>
      <w:r>
        <w:rPr>
          <w:rFonts w:ascii="Arial" w:cs="Arial" w:eastAsia="Arial" w:hAnsi="Arial"/>
          <w:sz w:val="16"/>
          <w:szCs w:val="16"/>
          <w:color w:val="auto"/>
        </w:rPr>
        <w:t>The employment offer letters with certain of our Named Executive Officers provide them with certain protection in the event of their termination of employment other than for “cause,” death, or “disability” (as such terms are defined in the employment offer letters). In addition, our Named Executive Officers, are participants in our Change of Control and Severance Policy, or the Change in Control Policy, which provides for certain protections in the event of a termination of employment in connection with a change in control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255905</wp:posOffset>
            </wp:positionV>
            <wp:extent cx="342900" cy="21463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42900" cy="214630"/>
                    </a:xfrm>
                    <a:prstGeom prst="rect">
                      <a:avLst/>
                    </a:prstGeom>
                    <a:noFill/>
                  </pic:spPr>
                </pic:pic>
              </a:graphicData>
            </a:graphic>
          </wp:anchor>
        </w:drawing>
      </w:r>
    </w:p>
    <w:p>
      <w:pPr>
        <w:spacing w:after="0" w:line="321" w:lineRule="exact"/>
        <w:rPr>
          <w:sz w:val="20"/>
          <w:szCs w:val="20"/>
          <w:color w:val="auto"/>
        </w:rPr>
      </w:pPr>
    </w:p>
    <w:p>
      <w:pPr>
        <w:ind w:left="5540"/>
        <w:spacing w:after="0"/>
        <w:tabs>
          <w:tab w:leader="none" w:pos="9780" w:val="left"/>
        </w:tabs>
        <w:rPr>
          <w:sz w:val="20"/>
          <w:szCs w:val="20"/>
          <w:color w:val="auto"/>
        </w:rPr>
      </w:pPr>
      <w:r>
        <w:rPr>
          <w:rFonts w:ascii="Arial" w:cs="Arial" w:eastAsia="Arial" w:hAnsi="Arial"/>
          <w:sz w:val="29"/>
          <w:szCs w:val="29"/>
          <w:color w:val="auto"/>
          <w:vertAlign w:val="superscript"/>
        </w:rPr>
        <w:t>53</w:t>
      </w:r>
      <w:r>
        <w:rPr>
          <w:sz w:val="20"/>
          <w:szCs w:val="20"/>
          <w:color w:val="auto"/>
        </w:rPr>
        <w:tab/>
      </w:r>
      <w:r>
        <w:rPr>
          <w:rFonts w:ascii="Arial" w:cs="Arial" w:eastAsia="Arial" w:hAnsi="Arial"/>
          <w:sz w:val="14"/>
          <w:szCs w:val="14"/>
          <w:color w:val="auto"/>
        </w:rPr>
        <w:t>2021 Proxy Statement</w:t>
      </w:r>
    </w:p>
    <w:p>
      <w:pPr>
        <w:sectPr>
          <w:pgSz w:w="11900" w:h="16838" w:orient="portrait"/>
          <w:cols w:equalWidth="0" w:num="1">
            <w:col w:w="11240"/>
          </w:cols>
          <w:pgMar w:left="320" w:top="172" w:right="339" w:bottom="1440" w:gutter="0" w:footer="0" w:header="0"/>
        </w:sectPr>
      </w:pPr>
    </w:p>
    <w:bookmarkStart w:id="57" w:name="page58"/>
    <w:bookmarkEnd w:id="57"/>
    <w:p>
      <w:pPr>
        <w:ind w:left="280"/>
        <w:spacing w:after="0"/>
        <w:rPr>
          <w:sz w:val="20"/>
          <w:szCs w:val="20"/>
          <w:color w:val="auto"/>
        </w:rPr>
      </w:pPr>
      <w:r>
        <w:rPr>
          <w:rFonts w:ascii="Arial" w:cs="Arial" w:eastAsia="Arial" w:hAnsi="Arial"/>
          <w:sz w:val="13"/>
          <w:szCs w:val="13"/>
          <w:b w:val="1"/>
          <w:bCs w:val="1"/>
          <w:color w:val="929292"/>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7470" cy="596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7470" cy="59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line="339" w:lineRule="auto"/>
        <w:rPr>
          <w:sz w:val="20"/>
          <w:szCs w:val="20"/>
          <w:color w:val="auto"/>
        </w:rPr>
      </w:pPr>
      <w:r>
        <w:rPr>
          <w:rFonts w:ascii="Arial" w:cs="Arial" w:eastAsia="Arial" w:hAnsi="Arial"/>
          <w:sz w:val="16"/>
          <w:szCs w:val="16"/>
          <w:color w:val="auto"/>
        </w:rPr>
        <w:t>We believe that these protections were necessary to induce these individuals to leave their former employment for the uncertainty of a demanding position in a new and unfamiliar organization and help from a retention standpoint and to retain their services on an ongoing basis. We also believe that these arrangements provided by the Change in Control Policy help maintain the continued focus and dedication of our Named Executive Officers to their assigned duties to maximize stockholder value if there is a potential transaction that could involve a change in control of the Company.</w:t>
      </w:r>
    </w:p>
    <w:p>
      <w:pPr>
        <w:spacing w:after="0" w:line="148" w:lineRule="exact"/>
        <w:rPr>
          <w:sz w:val="20"/>
          <w:szCs w:val="20"/>
          <w:color w:val="auto"/>
        </w:rPr>
      </w:pPr>
    </w:p>
    <w:p>
      <w:pPr>
        <w:spacing w:after="0" w:line="339" w:lineRule="auto"/>
        <w:rPr>
          <w:sz w:val="20"/>
          <w:szCs w:val="20"/>
          <w:color w:val="auto"/>
        </w:rPr>
      </w:pPr>
      <w:r>
        <w:rPr>
          <w:rFonts w:ascii="Arial" w:cs="Arial" w:eastAsia="Arial" w:hAnsi="Arial"/>
          <w:sz w:val="16"/>
          <w:szCs w:val="16"/>
          <w:color w:val="auto"/>
        </w:rPr>
        <w:t>These arrangements provide reasonable compensation to a Named Executive Officer if he or she leaves our employ under certain circumstances to facilitate his or her transition to new employment. Further, in some instances we seek to mitigate any potential employer liability and avoid future disputes or litigation by conditioning post-employment compensation and benefits on a departing Named Executive Officer signing a separation and release agreement acceptable to us.</w:t>
      </w:r>
    </w:p>
    <w:p>
      <w:pPr>
        <w:spacing w:after="0" w:line="148" w:lineRule="exact"/>
        <w:rPr>
          <w:sz w:val="20"/>
          <w:szCs w:val="20"/>
          <w:color w:val="auto"/>
        </w:rPr>
      </w:pPr>
    </w:p>
    <w:p>
      <w:pPr>
        <w:ind w:right="40"/>
        <w:spacing w:after="0" w:line="339" w:lineRule="auto"/>
        <w:rPr>
          <w:sz w:val="20"/>
          <w:szCs w:val="20"/>
          <w:color w:val="auto"/>
        </w:rPr>
      </w:pPr>
      <w:r>
        <w:rPr>
          <w:rFonts w:ascii="Arial" w:cs="Arial" w:eastAsia="Arial" w:hAnsi="Arial"/>
          <w:sz w:val="16"/>
          <w:szCs w:val="16"/>
          <w:color w:val="auto"/>
        </w:rPr>
        <w:t>Under the Change in Control Policy, all payments and benefits in the event of a change in control of the Company are payable only if there is a subsequent loss of employment by a Named Executive Officer (a so-called “double-trigger” arrangement). In the case of the acceleration of vesting of outstanding equity awards, we use this double-trigger arrangement to protect against the loss of retention value following a change in control of the Company and to avoid windfalls, both of which could occur if vesting of either equity or cash-based awards accelerated automatically as a result of the transaction.</w:t>
      </w:r>
    </w:p>
    <w:p>
      <w:pPr>
        <w:spacing w:after="0" w:line="148" w:lineRule="exact"/>
        <w:rPr>
          <w:sz w:val="20"/>
          <w:szCs w:val="20"/>
          <w:color w:val="auto"/>
        </w:rPr>
      </w:pPr>
    </w:p>
    <w:p>
      <w:pPr>
        <w:ind w:right="260"/>
        <w:spacing w:after="0" w:line="348" w:lineRule="auto"/>
        <w:rPr>
          <w:sz w:val="20"/>
          <w:szCs w:val="20"/>
          <w:color w:val="auto"/>
        </w:rPr>
      </w:pPr>
      <w:r>
        <w:rPr>
          <w:rFonts w:ascii="Arial" w:cs="Arial" w:eastAsia="Arial" w:hAnsi="Arial"/>
          <w:sz w:val="16"/>
          <w:szCs w:val="16"/>
          <w:color w:val="auto"/>
        </w:rPr>
        <w:t>In the event of a change in control of the Company, to the extent Section 280G or 4999 of the Internal Revenue Code is applicable to a Named Executive Officer, such individual is entitled to receive either:</w:t>
      </w:r>
    </w:p>
    <w:p>
      <w:pPr>
        <w:spacing w:after="0" w:line="141" w:lineRule="exact"/>
        <w:rPr>
          <w:sz w:val="20"/>
          <w:szCs w:val="20"/>
          <w:color w:val="auto"/>
        </w:rPr>
      </w:pPr>
    </w:p>
    <w:p>
      <w:pPr>
        <w:ind w:left="460" w:hanging="128"/>
        <w:spacing w:after="0"/>
        <w:tabs>
          <w:tab w:leader="none" w:pos="4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payment of the full amounts specified in the policy to which he or she is entitled; or</w:t>
      </w:r>
    </w:p>
    <w:p>
      <w:pPr>
        <w:spacing w:after="0" w:line="234" w:lineRule="exact"/>
        <w:rPr>
          <w:rFonts w:ascii="Arial" w:cs="Arial" w:eastAsia="Arial" w:hAnsi="Arial"/>
          <w:sz w:val="16"/>
          <w:szCs w:val="16"/>
          <w:color w:val="auto"/>
        </w:rPr>
      </w:pPr>
    </w:p>
    <w:p>
      <w:pPr>
        <w:ind w:left="500" w:right="520" w:hanging="168"/>
        <w:spacing w:after="0" w:line="348" w:lineRule="auto"/>
        <w:tabs>
          <w:tab w:leader="none" w:pos="462" w:val="left"/>
        </w:tabs>
        <w:numPr>
          <w:ilvl w:val="0"/>
          <w:numId w:val="45"/>
        </w:numPr>
        <w:rPr>
          <w:rFonts w:ascii="Arial" w:cs="Arial" w:eastAsia="Arial" w:hAnsi="Arial"/>
          <w:sz w:val="16"/>
          <w:szCs w:val="16"/>
          <w:color w:val="auto"/>
        </w:rPr>
      </w:pPr>
      <w:r>
        <w:rPr>
          <w:rFonts w:ascii="Arial" w:cs="Arial" w:eastAsia="Arial" w:hAnsi="Arial"/>
          <w:sz w:val="16"/>
          <w:szCs w:val="16"/>
          <w:color w:val="auto"/>
        </w:rPr>
        <w:t>payment of such lesser amount that does not trigger the excise tax imposed by Section 4999, whichever results in him or her receiving a higher amount after taking into account all federal, state, and local income, excise and employment taxes.</w:t>
      </w:r>
    </w:p>
    <w:p>
      <w:pPr>
        <w:spacing w:after="0" w:line="141" w:lineRule="exact"/>
        <w:rPr>
          <w:sz w:val="20"/>
          <w:szCs w:val="20"/>
          <w:color w:val="auto"/>
        </w:rPr>
      </w:pPr>
    </w:p>
    <w:p>
      <w:pPr>
        <w:spacing w:after="0" w:line="348" w:lineRule="auto"/>
        <w:rPr>
          <w:sz w:val="20"/>
          <w:szCs w:val="20"/>
          <w:color w:val="auto"/>
        </w:rPr>
      </w:pPr>
      <w:r>
        <w:rPr>
          <w:rFonts w:ascii="Arial" w:cs="Arial" w:eastAsia="Arial" w:hAnsi="Arial"/>
          <w:sz w:val="16"/>
          <w:szCs w:val="16"/>
          <w:color w:val="auto"/>
        </w:rPr>
        <w:t>We do not use excise tax payments (or “gross-ups”) relating to a change in control of the Company and have no such obligations in place with respect to any of our Named Executive Officers.</w:t>
      </w:r>
    </w:p>
    <w:p>
      <w:pPr>
        <w:spacing w:after="0" w:line="141" w:lineRule="exact"/>
        <w:rPr>
          <w:sz w:val="20"/>
          <w:szCs w:val="20"/>
          <w:color w:val="auto"/>
        </w:rPr>
      </w:pPr>
    </w:p>
    <w:p>
      <w:pPr>
        <w:ind w:right="180"/>
        <w:spacing w:after="0" w:line="339" w:lineRule="auto"/>
        <w:rPr>
          <w:sz w:val="20"/>
          <w:szCs w:val="20"/>
          <w:color w:val="auto"/>
        </w:rPr>
      </w:pPr>
      <w:r>
        <w:rPr>
          <w:rFonts w:ascii="Arial" w:cs="Arial" w:eastAsia="Arial" w:hAnsi="Arial"/>
          <w:sz w:val="16"/>
          <w:szCs w:val="16"/>
          <w:color w:val="auto"/>
        </w:rPr>
        <w:t>We believe that having in place reasonable and competitive post-employment compensation arrangements, including in the event of a change in control of the Company, are essential to attracting and retaining highly-qualified executive officers. The compensation committee does not consider the specific amounts payable under the post-employment compensation arrangements when determining the annual compensation for our Named Executive Officers. We do believe, however, that these arrangements are necessary to offer compensation packages that are competitive.</w:t>
      </w:r>
    </w:p>
    <w:p>
      <w:pPr>
        <w:spacing w:after="0" w:line="148" w:lineRule="exact"/>
        <w:rPr>
          <w:sz w:val="20"/>
          <w:szCs w:val="20"/>
          <w:color w:val="auto"/>
        </w:rPr>
      </w:pPr>
    </w:p>
    <w:p>
      <w:pPr>
        <w:ind w:right="300"/>
        <w:spacing w:after="0" w:line="348" w:lineRule="auto"/>
        <w:rPr>
          <w:sz w:val="20"/>
          <w:szCs w:val="20"/>
          <w:color w:val="auto"/>
        </w:rPr>
      </w:pPr>
      <w:r>
        <w:rPr>
          <w:rFonts w:ascii="Arial" w:cs="Arial" w:eastAsia="Arial" w:hAnsi="Arial"/>
          <w:sz w:val="16"/>
          <w:szCs w:val="16"/>
          <w:color w:val="auto"/>
        </w:rPr>
        <w:t xml:space="preserve">For detailed descriptions of the post-employment compensation arrangements with our Named Executive Officers, as well as an estimate of the potential payments and benefits payable under these arrangements, see </w:t>
      </w:r>
      <w:r>
        <w:rPr>
          <w:rFonts w:ascii="Arial" w:cs="Arial" w:eastAsia="Arial" w:hAnsi="Arial"/>
          <w:sz w:val="16"/>
          <w:szCs w:val="16"/>
          <w:i w:val="1"/>
          <w:iCs w:val="1"/>
          <w:color w:val="auto"/>
        </w:rPr>
        <w:t>“Potential Payments upon Termination or Change in Control”</w:t>
      </w:r>
      <w:r>
        <w:rPr>
          <w:rFonts w:ascii="Arial" w:cs="Arial" w:eastAsia="Arial" w:hAnsi="Arial"/>
          <w:sz w:val="16"/>
          <w:szCs w:val="16"/>
          <w:color w:val="auto"/>
        </w:rPr>
        <w:t xml:space="preserve"> below.</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color w:val="2B338D"/>
        </w:rPr>
        <w:t>OTHER COMPENSATION POLICIES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Hedging and Pledging Prohibitions</w:t>
      </w:r>
    </w:p>
    <w:p>
      <w:pPr>
        <w:spacing w:after="0" w:line="147" w:lineRule="exact"/>
        <w:rPr>
          <w:sz w:val="20"/>
          <w:szCs w:val="20"/>
          <w:color w:val="auto"/>
        </w:rPr>
      </w:pPr>
    </w:p>
    <w:p>
      <w:pPr>
        <w:spacing w:after="0" w:line="338" w:lineRule="auto"/>
        <w:rPr>
          <w:sz w:val="20"/>
          <w:szCs w:val="20"/>
          <w:color w:val="auto"/>
        </w:rPr>
      </w:pPr>
      <w:r>
        <w:rPr>
          <w:rFonts w:ascii="Arial" w:cs="Arial" w:eastAsia="Arial" w:hAnsi="Arial"/>
          <w:sz w:val="16"/>
          <w:szCs w:val="16"/>
          <w:color w:val="auto"/>
        </w:rPr>
        <w:t>Under our Insider Trading Policy, our employees (including officers) and members of our board of directors are prohibited from making short-sales and engaging in transactions in publicly-traded options, such as puts and calls, and other derivative securities with respect to our securities. This latter prohibition extends to any hedging or similar transaction designed to decrease the risks associated with holding our securities. In addition, under our Insider Trading Policy, our employees and members of our board of directors are prohibited from using our securities as collateral for a loan or holding our securities in a margin account.</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2B338D"/>
        </w:rPr>
        <w:t>TAX AND ACCOUNTING CONSIDERATIONS</w:t>
      </w:r>
    </w:p>
    <w:p>
      <w:pPr>
        <w:spacing w:after="0" w:line="147" w:lineRule="exact"/>
        <w:rPr>
          <w:sz w:val="20"/>
          <w:szCs w:val="20"/>
          <w:color w:val="auto"/>
        </w:rPr>
      </w:pPr>
    </w:p>
    <w:p>
      <w:pPr>
        <w:ind w:right="820"/>
        <w:spacing w:after="0" w:line="348" w:lineRule="auto"/>
        <w:rPr>
          <w:sz w:val="20"/>
          <w:szCs w:val="20"/>
          <w:color w:val="auto"/>
        </w:rPr>
      </w:pPr>
      <w:r>
        <w:rPr>
          <w:rFonts w:ascii="Arial" w:cs="Arial" w:eastAsia="Arial" w:hAnsi="Arial"/>
          <w:sz w:val="16"/>
          <w:szCs w:val="16"/>
          <w:color w:val="auto"/>
        </w:rPr>
        <w:t>The compensation committee takes the applicable tax and accounting requirements into consideration in designing and overseeing our executive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251460</wp:posOffset>
            </wp:positionV>
            <wp:extent cx="342900" cy="21463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342900" cy="214630"/>
                    </a:xfrm>
                    <a:prstGeom prst="rect">
                      <a:avLst/>
                    </a:prstGeom>
                    <a:noFill/>
                  </pic:spPr>
                </pic:pic>
              </a:graphicData>
            </a:graphic>
          </wp:anchor>
        </w:drawing>
      </w:r>
    </w:p>
    <w:p>
      <w:pPr>
        <w:spacing w:after="0" w:line="314" w:lineRule="exact"/>
        <w:rPr>
          <w:sz w:val="20"/>
          <w:szCs w:val="20"/>
          <w:color w:val="auto"/>
        </w:rPr>
      </w:pPr>
    </w:p>
    <w:p>
      <w:pPr>
        <w:ind w:left="5540"/>
        <w:spacing w:after="0"/>
        <w:tabs>
          <w:tab w:leader="none" w:pos="9780" w:val="left"/>
        </w:tabs>
        <w:rPr>
          <w:sz w:val="20"/>
          <w:szCs w:val="20"/>
          <w:color w:val="auto"/>
        </w:rPr>
      </w:pPr>
      <w:r>
        <w:rPr>
          <w:rFonts w:ascii="Arial" w:cs="Arial" w:eastAsia="Arial" w:hAnsi="Arial"/>
          <w:sz w:val="29"/>
          <w:szCs w:val="29"/>
          <w:color w:val="auto"/>
          <w:vertAlign w:val="superscript"/>
        </w:rPr>
        <w:t>54</w:t>
      </w:r>
      <w:r>
        <w:rPr>
          <w:sz w:val="20"/>
          <w:szCs w:val="20"/>
          <w:color w:val="auto"/>
        </w:rPr>
        <w:tab/>
      </w:r>
      <w:r>
        <w:rPr>
          <w:rFonts w:ascii="Arial" w:cs="Arial" w:eastAsia="Arial" w:hAnsi="Arial"/>
          <w:sz w:val="14"/>
          <w:szCs w:val="14"/>
          <w:color w:val="auto"/>
        </w:rPr>
        <w:t>2021 Proxy Statement</w:t>
      </w:r>
    </w:p>
    <w:p>
      <w:pPr>
        <w:sectPr>
          <w:pgSz w:w="11900" w:h="16838" w:orient="portrait"/>
          <w:cols w:equalWidth="0" w:num="1">
            <w:col w:w="11220"/>
          </w:cols>
          <w:pgMar w:left="320" w:top="172" w:right="359" w:bottom="1440" w:gutter="0" w:footer="0" w:header="0"/>
        </w:sectPr>
      </w:pPr>
    </w:p>
    <w:bookmarkStart w:id="58" w:name="page59"/>
    <w:bookmarkEnd w:id="58"/>
    <w:p>
      <w:pPr>
        <w:ind w:left="280"/>
        <w:spacing w:after="0"/>
        <w:rPr>
          <w:sz w:val="20"/>
          <w:szCs w:val="20"/>
          <w:color w:val="auto"/>
        </w:rPr>
      </w:pPr>
      <w:r>
        <w:rPr>
          <w:rFonts w:ascii="Arial" w:cs="Arial" w:eastAsia="Arial" w:hAnsi="Arial"/>
          <w:sz w:val="13"/>
          <w:szCs w:val="13"/>
          <w:b w:val="1"/>
          <w:bCs w:val="1"/>
          <w:color w:val="929292"/>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7470" cy="596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7470" cy="59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Deductibility of Executive Compensation</w:t>
      </w:r>
    </w:p>
    <w:p>
      <w:pPr>
        <w:spacing w:after="0" w:line="147" w:lineRule="exact"/>
        <w:rPr>
          <w:sz w:val="20"/>
          <w:szCs w:val="20"/>
          <w:color w:val="auto"/>
        </w:rPr>
      </w:pPr>
    </w:p>
    <w:p>
      <w:pPr>
        <w:ind w:right="180"/>
        <w:spacing w:after="0" w:line="339" w:lineRule="auto"/>
        <w:rPr>
          <w:sz w:val="20"/>
          <w:szCs w:val="20"/>
          <w:color w:val="auto"/>
        </w:rPr>
      </w:pPr>
      <w:r>
        <w:rPr>
          <w:rFonts w:ascii="Arial" w:cs="Arial" w:eastAsia="Arial" w:hAnsi="Arial"/>
          <w:sz w:val="16"/>
          <w:szCs w:val="16"/>
          <w:color w:val="auto"/>
        </w:rPr>
        <w:t>Section 162(m) of the Internal Revenue Code generally places a $1 million limit on the amount of compensation a public company can deduct in any one year for certain executive officers. While our compensation committee considers tax deductibility as one factor in determining executive compensation, our compensation committee also looks at other factors in making its decisions, as noted above, and retains the flexibility to award compensation that it determines to be consistent with the goals of our executive compensation program even if the awards are not deductible by us for tax purposes.</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Taxation of “Parachute” Payments</w:t>
      </w:r>
    </w:p>
    <w:p>
      <w:pPr>
        <w:spacing w:after="0" w:line="147" w:lineRule="exact"/>
        <w:rPr>
          <w:sz w:val="20"/>
          <w:szCs w:val="20"/>
          <w:color w:val="auto"/>
        </w:rPr>
      </w:pPr>
    </w:p>
    <w:p>
      <w:pPr>
        <w:ind w:right="80"/>
        <w:spacing w:after="0" w:line="338" w:lineRule="auto"/>
        <w:rPr>
          <w:sz w:val="20"/>
          <w:szCs w:val="20"/>
          <w:color w:val="auto"/>
        </w:rPr>
      </w:pPr>
      <w:r>
        <w:rPr>
          <w:rFonts w:ascii="Arial" w:cs="Arial" w:eastAsia="Arial" w:hAnsi="Arial"/>
          <w:sz w:val="16"/>
          <w:szCs w:val="16"/>
          <w:color w:val="auto"/>
        </w:rPr>
        <w:t>Sections 280G and 4999 of the Internal Revenue Code provide that executive officers and directors who hold significant equity interests and certain other service providers may be subject to significant additional taxes if they receive payments or benefits in connection with a change in control of the company that exceeds certain prescribed limits, and that the company (or a successor) may forfeit a deduction on the amounts subject to this additional tax. We have not agreed to provide any executive officer, including any Named Executive Officer, with a “gross-up” or other reimbursement payment for any tax liability that the executive officer might owe as a result of the application of Sections 280G or 4999 of the Internal Revenue Code.</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Section 409A of the Internal Revenue Code</w:t>
      </w:r>
    </w:p>
    <w:p>
      <w:pPr>
        <w:spacing w:after="0" w:line="147" w:lineRule="exact"/>
        <w:rPr>
          <w:sz w:val="20"/>
          <w:szCs w:val="20"/>
          <w:color w:val="auto"/>
        </w:rPr>
      </w:pPr>
    </w:p>
    <w:p>
      <w:pPr>
        <w:ind w:right="220"/>
        <w:spacing w:after="0" w:line="338" w:lineRule="auto"/>
        <w:rPr>
          <w:sz w:val="20"/>
          <w:szCs w:val="20"/>
          <w:color w:val="auto"/>
        </w:rPr>
      </w:pPr>
      <w:r>
        <w:rPr>
          <w:rFonts w:ascii="Arial" w:cs="Arial" w:eastAsia="Arial" w:hAnsi="Arial"/>
          <w:sz w:val="16"/>
          <w:szCs w:val="16"/>
          <w:color w:val="auto"/>
        </w:rPr>
        <w:t>Section 409A of the Internal Revenue Code imposes additional significant taxes in the event that an executive officer, director or service provider receives “deferred compensation” that does not satisfy the requirements of Section 409A of the Internal Revenue Code. Although we do not maintain a traditional nonqualified deferred compensation plan for our executive officers, Section 409A of the Internal Revenue Code does apply to certain severance arrangements, bonus arrangements and equity awards, and we have structured all such arrangements and awards in a manner to either avoid or comply with the applicable requirements of Section 409A of the Internal Revenue Code.</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Accounting for Stock-Based Compensation</w:t>
      </w:r>
    </w:p>
    <w:p>
      <w:pPr>
        <w:spacing w:after="0" w:line="147" w:lineRule="exact"/>
        <w:rPr>
          <w:sz w:val="20"/>
          <w:szCs w:val="20"/>
          <w:color w:val="auto"/>
        </w:rPr>
      </w:pPr>
    </w:p>
    <w:p>
      <w:pPr>
        <w:ind w:right="120"/>
        <w:spacing w:after="0" w:line="336" w:lineRule="auto"/>
        <w:rPr>
          <w:sz w:val="20"/>
          <w:szCs w:val="20"/>
          <w:color w:val="auto"/>
        </w:rPr>
      </w:pPr>
      <w:r>
        <w:rPr>
          <w:rFonts w:ascii="Arial" w:cs="Arial" w:eastAsia="Arial" w:hAnsi="Arial"/>
          <w:sz w:val="16"/>
          <w:szCs w:val="16"/>
          <w:color w:val="auto"/>
        </w:rPr>
        <w:t>The compensation committee takes accounting considerations into account in designing compensation plans and arrangements for our executive officers and other employees. Chief among these is Financial Accounting Standards Board Accounting Standards Codification Topic 718 (“ASC Topic 718”), the standard which governs the accounting treatment of certain stock-based compensation. Among other things, ASC Topic 718 requires us to record a compensation expense in our income statement for all equity awards granted to our executive officers and other employees. This compensation expense is based on the grant date “fair value” of the equity award and, in most cases, will be recognized ratably over the award’s requisite service period (which, generally, will correspond to the award’s vesting schedule). This compensation expense is also reported in the compensation tables below, even though recipients may never realize any value from their equity awards.</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color w:val="2B338D"/>
        </w:rPr>
        <w:t>EMPLOYMENT OFFER LETTER WITH REMO CANESSA</w:t>
      </w:r>
    </w:p>
    <w:p>
      <w:pPr>
        <w:spacing w:after="0" w:line="147" w:lineRule="exact"/>
        <w:rPr>
          <w:sz w:val="20"/>
          <w:szCs w:val="20"/>
          <w:color w:val="auto"/>
        </w:rPr>
      </w:pPr>
    </w:p>
    <w:p>
      <w:pPr>
        <w:spacing w:after="0" w:line="336" w:lineRule="auto"/>
        <w:rPr>
          <w:sz w:val="20"/>
          <w:szCs w:val="20"/>
          <w:color w:val="auto"/>
        </w:rPr>
      </w:pPr>
      <w:r>
        <w:rPr>
          <w:rFonts w:ascii="Arial" w:cs="Arial" w:eastAsia="Arial" w:hAnsi="Arial"/>
          <w:sz w:val="16"/>
          <w:szCs w:val="16"/>
          <w:color w:val="auto"/>
        </w:rPr>
        <w:t>Under Mr. Canessa’s employment offer letter, if we terminate Mr. Canessa’s employment with us other than for “cause,” death or “disability” outside of the period beginning on a “change of control” (as such terms are defined in the Severance Policy) and ending 12 months following the change of control, he will be entitled to receive (i) accelerated vesting as to the number of unvested shares subject to equity awards that otherwise would have vested during the 6 months following the date his employment with us terminates had he remained employed with us through such time; (2) extension of the period of time in which he has to exercise his vested options until the date that is 12 months following his termination date, subject to earlier termination on a change in control (or similar transaction) pursuant to the terms of the equity plan under which the options are granted; and (3) severance pay at a rate equal to 100% of his base salary, as then in effect, for a period of 6 months following the date of such termination, payable in accordance with our normal payroll practices.</w:t>
      </w:r>
    </w:p>
    <w:p>
      <w:pPr>
        <w:spacing w:after="0" w:line="154" w:lineRule="exact"/>
        <w:rPr>
          <w:sz w:val="20"/>
          <w:szCs w:val="20"/>
          <w:color w:val="auto"/>
        </w:rPr>
      </w:pPr>
    </w:p>
    <w:p>
      <w:pPr>
        <w:ind w:right="240"/>
        <w:spacing w:after="0" w:line="348" w:lineRule="auto"/>
        <w:rPr>
          <w:sz w:val="20"/>
          <w:szCs w:val="20"/>
          <w:color w:val="auto"/>
        </w:rPr>
      </w:pPr>
      <w:r>
        <w:rPr>
          <w:rFonts w:ascii="Arial" w:cs="Arial" w:eastAsia="Arial" w:hAnsi="Arial"/>
          <w:sz w:val="16"/>
          <w:szCs w:val="16"/>
          <w:color w:val="auto"/>
        </w:rPr>
        <w:t>To receive the severance benefits upon a qualifying termination, Mr. Canessa must sign and not revoke a release of claims within the time specified in his employment offer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251460</wp:posOffset>
            </wp:positionV>
            <wp:extent cx="342900" cy="21463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42900" cy="214630"/>
                    </a:xfrm>
                    <a:prstGeom prst="rect">
                      <a:avLst/>
                    </a:prstGeom>
                    <a:noFill/>
                  </pic:spPr>
                </pic:pic>
              </a:graphicData>
            </a:graphic>
          </wp:anchor>
        </w:drawing>
      </w:r>
    </w:p>
    <w:p>
      <w:pPr>
        <w:spacing w:after="0" w:line="314" w:lineRule="exact"/>
        <w:rPr>
          <w:sz w:val="20"/>
          <w:szCs w:val="20"/>
          <w:color w:val="auto"/>
        </w:rPr>
      </w:pPr>
    </w:p>
    <w:p>
      <w:pPr>
        <w:ind w:left="5540"/>
        <w:spacing w:after="0"/>
        <w:tabs>
          <w:tab w:leader="none" w:pos="9780" w:val="left"/>
        </w:tabs>
        <w:rPr>
          <w:sz w:val="20"/>
          <w:szCs w:val="20"/>
          <w:color w:val="auto"/>
        </w:rPr>
      </w:pPr>
      <w:r>
        <w:rPr>
          <w:rFonts w:ascii="Arial" w:cs="Arial" w:eastAsia="Arial" w:hAnsi="Arial"/>
          <w:sz w:val="29"/>
          <w:szCs w:val="29"/>
          <w:color w:val="auto"/>
          <w:vertAlign w:val="superscript"/>
        </w:rPr>
        <w:t>55</w:t>
      </w:r>
      <w:r>
        <w:rPr>
          <w:sz w:val="20"/>
          <w:szCs w:val="20"/>
          <w:color w:val="auto"/>
        </w:rPr>
        <w:tab/>
      </w:r>
      <w:r>
        <w:rPr>
          <w:rFonts w:ascii="Arial" w:cs="Arial" w:eastAsia="Arial" w:hAnsi="Arial"/>
          <w:sz w:val="14"/>
          <w:szCs w:val="14"/>
          <w:color w:val="auto"/>
        </w:rPr>
        <w:t>2021 Proxy Statement</w:t>
      </w:r>
    </w:p>
    <w:p>
      <w:pPr>
        <w:sectPr>
          <w:pgSz w:w="11900" w:h="16838" w:orient="portrait"/>
          <w:cols w:equalWidth="0" w:num="1">
            <w:col w:w="11220"/>
          </w:cols>
          <w:pgMar w:left="320" w:top="172" w:right="359" w:bottom="1440" w:gutter="0" w:footer="0" w:header="0"/>
        </w:sectPr>
      </w:pPr>
    </w:p>
    <w:bookmarkStart w:id="59" w:name="page60"/>
    <w:bookmarkEnd w:id="59"/>
    <w:p>
      <w:pPr>
        <w:ind w:left="280"/>
        <w:spacing w:after="0"/>
        <w:rPr>
          <w:sz w:val="20"/>
          <w:szCs w:val="20"/>
          <w:color w:val="auto"/>
        </w:rPr>
      </w:pPr>
      <w:r>
        <w:rPr>
          <w:rFonts w:ascii="Arial" w:cs="Arial" w:eastAsia="Arial" w:hAnsi="Arial"/>
          <w:sz w:val="13"/>
          <w:szCs w:val="13"/>
          <w:b w:val="1"/>
          <w:bCs w:val="1"/>
          <w:color w:val="929292"/>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7470" cy="596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7470" cy="59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6"/>
          <w:szCs w:val="16"/>
          <w:b w:val="1"/>
          <w:bCs w:val="1"/>
          <w:color w:val="2B338D"/>
        </w:rPr>
        <w:t>EMPLOYMENT OFFER LETTER WITH DALI RAJIC</w:t>
      </w:r>
    </w:p>
    <w:p>
      <w:pPr>
        <w:spacing w:after="0" w:line="147" w:lineRule="exact"/>
        <w:rPr>
          <w:sz w:val="20"/>
          <w:szCs w:val="20"/>
          <w:color w:val="auto"/>
        </w:rPr>
      </w:pPr>
    </w:p>
    <w:p>
      <w:pPr>
        <w:spacing w:after="0" w:line="335" w:lineRule="auto"/>
        <w:rPr>
          <w:sz w:val="20"/>
          <w:szCs w:val="20"/>
          <w:color w:val="auto"/>
        </w:rPr>
      </w:pPr>
      <w:r>
        <w:rPr>
          <w:rFonts w:ascii="Arial" w:cs="Arial" w:eastAsia="Arial" w:hAnsi="Arial"/>
          <w:sz w:val="16"/>
          <w:szCs w:val="16"/>
          <w:color w:val="auto"/>
        </w:rPr>
        <w:t>Under Mr. Rajic's employment offer letter, if we terminate Mr. Rajic's employment with us other than for “cause” or he resigns for “good reason”, outside of the “change of control period" (as such terms are defined in the employment offer letter), he will be entitled to receive (i) severance pay at a rate equal to 100% of his base salary, as then in effect (less applicable withholding) for a period of six months following the date of such termination; (ii) extension of the period of time in which he will have to exercise his vested options to purchase our common stock subject to the Option until the date that is 12 months following his termination date, subject to earlier termination on a change in control (or similar transaction) pursuant to the terms of the equity plan under which the options were granted; (iii) any unvested Buyout RSU Grant 1 shares will vest; and (iv) if such termination occurs prior to the two year anniversary of his employment hire date, the Buyout RSU Grant 2, the New Hire RSU Grant and the Option will vest as to shares that would have vested had Mr. Rajic remained employed for six months after his termination date. Further, If Mr. Rajic is subject to a "qualifying termination" (as defined in the employment offer letter), he will be entitled to an extension of the period of time in which he will have to exercise his vested options to purchase our common stock subject to the Option until the date that is 12 months following his termination date, subject to earlier termination on a change in control (or similar transaction) pursuant to the terms of the equity plan under which the options were granted.</w:t>
      </w:r>
    </w:p>
    <w:p>
      <w:pPr>
        <w:spacing w:after="0" w:line="159" w:lineRule="exact"/>
        <w:rPr>
          <w:sz w:val="20"/>
          <w:szCs w:val="20"/>
          <w:color w:val="auto"/>
        </w:rPr>
      </w:pPr>
    </w:p>
    <w:p>
      <w:pPr>
        <w:ind w:right="520"/>
        <w:spacing w:after="0" w:line="348" w:lineRule="auto"/>
        <w:rPr>
          <w:sz w:val="20"/>
          <w:szCs w:val="20"/>
          <w:color w:val="auto"/>
        </w:rPr>
      </w:pPr>
      <w:r>
        <w:rPr>
          <w:rFonts w:ascii="Arial" w:cs="Arial" w:eastAsia="Arial" w:hAnsi="Arial"/>
          <w:sz w:val="16"/>
          <w:szCs w:val="16"/>
          <w:color w:val="auto"/>
        </w:rPr>
        <w:t>To receive the severance benefits upon a qualifying termination, Mr. Rajic must sign and not revoke a release of claims within the time specified in his employment offer letter</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color w:val="2B338D"/>
        </w:rPr>
        <w:t>EMPLOYMENT OFFER LETTER WITH ROBERT SCHLOSSMAN</w:t>
      </w:r>
    </w:p>
    <w:p>
      <w:pPr>
        <w:spacing w:after="0" w:line="147" w:lineRule="exact"/>
        <w:rPr>
          <w:sz w:val="20"/>
          <w:szCs w:val="20"/>
          <w:color w:val="auto"/>
        </w:rPr>
      </w:pPr>
    </w:p>
    <w:p>
      <w:pPr>
        <w:ind w:right="60"/>
        <w:spacing w:after="0" w:line="339" w:lineRule="auto"/>
        <w:rPr>
          <w:sz w:val="20"/>
          <w:szCs w:val="20"/>
          <w:color w:val="auto"/>
        </w:rPr>
      </w:pPr>
      <w:r>
        <w:rPr>
          <w:rFonts w:ascii="Arial" w:cs="Arial" w:eastAsia="Arial" w:hAnsi="Arial"/>
          <w:sz w:val="16"/>
          <w:szCs w:val="16"/>
          <w:color w:val="auto"/>
        </w:rPr>
        <w:t>Under Mr. Schlossman’s employment offer letter, if we terminate Mr. Schlossman’s employment with us other than for “cause” or he resigns for “good reason”, without a “change of control” (as such terms are defined in the employment offer letter), he will be entitled to receive continuing severance pay at a rate equal to 100% of his base salary, as then in effect, for a period of 3 months from the date of such termination, to be paid periodically in accordance with the Company’s normal payroll practices.</w:t>
      </w:r>
    </w:p>
    <w:p>
      <w:pPr>
        <w:spacing w:after="0" w:line="148" w:lineRule="exact"/>
        <w:rPr>
          <w:sz w:val="20"/>
          <w:szCs w:val="20"/>
          <w:color w:val="auto"/>
        </w:rPr>
      </w:pPr>
    </w:p>
    <w:p>
      <w:pPr>
        <w:spacing w:after="0" w:line="348" w:lineRule="auto"/>
        <w:rPr>
          <w:sz w:val="20"/>
          <w:szCs w:val="20"/>
          <w:color w:val="auto"/>
        </w:rPr>
      </w:pPr>
      <w:r>
        <w:rPr>
          <w:rFonts w:ascii="Arial" w:cs="Arial" w:eastAsia="Arial" w:hAnsi="Arial"/>
          <w:sz w:val="16"/>
          <w:szCs w:val="16"/>
          <w:color w:val="auto"/>
        </w:rPr>
        <w:t>To receive the severance benefits upon a qualifying termination, Mr. Schlossman must sign and not revoke a release of claims within the time specified in his employment offer letter.</w:t>
      </w:r>
    </w:p>
    <w:p>
      <w:pPr>
        <w:spacing w:after="0" w:line="94" w:lineRule="exact"/>
        <w:rPr>
          <w:sz w:val="20"/>
          <w:szCs w:val="20"/>
          <w:color w:val="auto"/>
        </w:rPr>
      </w:pPr>
    </w:p>
    <w:p>
      <w:pPr>
        <w:spacing w:after="0"/>
        <w:rPr>
          <w:sz w:val="20"/>
          <w:szCs w:val="20"/>
          <w:color w:val="auto"/>
        </w:rPr>
      </w:pPr>
      <w:r>
        <w:rPr>
          <w:rFonts w:ascii="Arial" w:cs="Arial" w:eastAsia="Arial" w:hAnsi="Arial"/>
          <w:sz w:val="22"/>
          <w:szCs w:val="22"/>
          <w:b w:val="1"/>
          <w:bCs w:val="1"/>
          <w:color w:val="009ADA"/>
        </w:rPr>
        <w:t>Change of Control and Severance Policy</w:t>
      </w:r>
    </w:p>
    <w:p>
      <w:pPr>
        <w:spacing w:after="0" w:line="213" w:lineRule="exact"/>
        <w:rPr>
          <w:sz w:val="20"/>
          <w:szCs w:val="20"/>
          <w:color w:val="auto"/>
        </w:rPr>
      </w:pPr>
    </w:p>
    <w:p>
      <w:pPr>
        <w:ind w:right="100"/>
        <w:spacing w:after="0" w:line="338" w:lineRule="auto"/>
        <w:rPr>
          <w:sz w:val="20"/>
          <w:szCs w:val="20"/>
          <w:color w:val="auto"/>
        </w:rPr>
      </w:pPr>
      <w:r>
        <w:rPr>
          <w:rFonts w:ascii="Arial" w:cs="Arial" w:eastAsia="Arial" w:hAnsi="Arial"/>
          <w:sz w:val="16"/>
          <w:szCs w:val="16"/>
          <w:color w:val="auto"/>
        </w:rPr>
        <w:t>Our board of directors adopted a Change of Control and Severance Policy, or the Severance Policy. Each of our current executive officers is a participant in the Severance Policy. Under the Severance Policy, if we terminate a participant other than for “cause,” death or “disability” or the Named Executive Officer resigns for “good reason” during the period beginning on a “change of control” (as such terms are defined in the Severance Policy) and ending 12 months following the change of control (which we refer to as the change of control period), such Named Executive Officer will be eligible to receive the following severance benefits:</w:t>
      </w:r>
    </w:p>
    <w:p>
      <w:pPr>
        <w:spacing w:after="0" w:line="149" w:lineRule="exact"/>
        <w:rPr>
          <w:sz w:val="20"/>
          <w:szCs w:val="20"/>
          <w:color w:val="auto"/>
        </w:rPr>
      </w:pPr>
    </w:p>
    <w:p>
      <w:pPr>
        <w:jc w:val="both"/>
        <w:ind w:left="500" w:hanging="168"/>
        <w:spacing w:after="0" w:line="348" w:lineRule="auto"/>
        <w:tabs>
          <w:tab w:leader="none" w:pos="462" w:val="left"/>
        </w:tabs>
        <w:numPr>
          <w:ilvl w:val="0"/>
          <w:numId w:val="46"/>
        </w:numPr>
        <w:rPr>
          <w:rFonts w:ascii="Arial" w:cs="Arial" w:eastAsia="Arial" w:hAnsi="Arial"/>
          <w:sz w:val="16"/>
          <w:szCs w:val="16"/>
          <w:color w:val="auto"/>
        </w:rPr>
      </w:pPr>
      <w:r>
        <w:rPr>
          <w:rFonts w:ascii="Arial" w:cs="Arial" w:eastAsia="Arial" w:hAnsi="Arial"/>
          <w:sz w:val="16"/>
          <w:szCs w:val="16"/>
          <w:color w:val="auto"/>
        </w:rPr>
        <w:t>100% of the then-unvested shares subject to his then-outstanding equity awards will become vested and exercisable, and in the case of equity awards with performance-based vesting, all performance goals and other vesting criteria will be deemed achieved at the specified percentage of target levels;</w:t>
      </w:r>
    </w:p>
    <w:p>
      <w:pPr>
        <w:spacing w:after="0" w:line="141" w:lineRule="exact"/>
        <w:rPr>
          <w:rFonts w:ascii="Arial" w:cs="Arial" w:eastAsia="Arial" w:hAnsi="Arial"/>
          <w:sz w:val="16"/>
          <w:szCs w:val="16"/>
          <w:color w:val="auto"/>
        </w:rPr>
      </w:pPr>
    </w:p>
    <w:p>
      <w:pPr>
        <w:jc w:val="both"/>
        <w:ind w:left="500" w:right="180" w:hanging="168"/>
        <w:spacing w:after="0" w:line="341" w:lineRule="auto"/>
        <w:tabs>
          <w:tab w:leader="none" w:pos="462" w:val="left"/>
        </w:tabs>
        <w:numPr>
          <w:ilvl w:val="0"/>
          <w:numId w:val="46"/>
        </w:numPr>
        <w:rPr>
          <w:rFonts w:ascii="Arial" w:cs="Arial" w:eastAsia="Arial" w:hAnsi="Arial"/>
          <w:sz w:val="16"/>
          <w:szCs w:val="16"/>
          <w:color w:val="auto"/>
        </w:rPr>
      </w:pPr>
      <w:r>
        <w:rPr>
          <w:rFonts w:ascii="Arial" w:cs="Arial" w:eastAsia="Arial" w:hAnsi="Arial"/>
          <w:sz w:val="16"/>
          <w:szCs w:val="16"/>
          <w:color w:val="auto"/>
        </w:rPr>
        <w:t>a lump-sum payment equal to 100% of the greatest of (i) a participant's annual base salary as in effect immediately prior to his termination, (ii) if the termination is a resignation for good reason based on a material reduction in base salary, a participant's annual base salary as in effect immediately prior to such reduction, or (iii) a participant's annual base salary as in effect immediately prior to the change of control;</w:t>
      </w:r>
    </w:p>
    <w:p>
      <w:pPr>
        <w:spacing w:after="0" w:line="147" w:lineRule="exact"/>
        <w:rPr>
          <w:rFonts w:ascii="Arial" w:cs="Arial" w:eastAsia="Arial" w:hAnsi="Arial"/>
          <w:sz w:val="16"/>
          <w:szCs w:val="16"/>
          <w:color w:val="auto"/>
        </w:rPr>
      </w:pPr>
    </w:p>
    <w:p>
      <w:pPr>
        <w:ind w:left="500" w:right="340" w:hanging="168"/>
        <w:spacing w:after="0" w:line="348" w:lineRule="auto"/>
        <w:tabs>
          <w:tab w:leader="none" w:pos="462" w:val="left"/>
        </w:tabs>
        <w:numPr>
          <w:ilvl w:val="0"/>
          <w:numId w:val="46"/>
        </w:numPr>
        <w:rPr>
          <w:rFonts w:ascii="Arial" w:cs="Arial" w:eastAsia="Arial" w:hAnsi="Arial"/>
          <w:sz w:val="16"/>
          <w:szCs w:val="16"/>
          <w:color w:val="auto"/>
        </w:rPr>
      </w:pPr>
      <w:r>
        <w:rPr>
          <w:rFonts w:ascii="Arial" w:cs="Arial" w:eastAsia="Arial" w:hAnsi="Arial"/>
          <w:sz w:val="16"/>
          <w:szCs w:val="16"/>
          <w:color w:val="auto"/>
        </w:rPr>
        <w:t>a lump-sum payment equal to (i) 100% of a participant's target annual bonus for the fiscal year in which the termination occurs plus (ii) a pro-rated portion of such target annual bonus reduced by any bonus payments made during such fiscal year; and</w:t>
      </w:r>
    </w:p>
    <w:p>
      <w:pPr>
        <w:spacing w:after="0" w:line="141" w:lineRule="exact"/>
        <w:rPr>
          <w:rFonts w:ascii="Arial" w:cs="Arial" w:eastAsia="Arial" w:hAnsi="Arial"/>
          <w:sz w:val="16"/>
          <w:szCs w:val="16"/>
          <w:color w:val="auto"/>
        </w:rPr>
      </w:pPr>
    </w:p>
    <w:p>
      <w:pPr>
        <w:ind w:left="460" w:hanging="128"/>
        <w:spacing w:after="0"/>
        <w:tabs>
          <w:tab w:leader="none" w:pos="4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a lump-sum health benefit severance payment of $36,000.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310515</wp:posOffset>
            </wp:positionV>
            <wp:extent cx="342900" cy="21463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342900" cy="21463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5540"/>
        <w:spacing w:after="0"/>
        <w:tabs>
          <w:tab w:leader="none" w:pos="9780" w:val="left"/>
        </w:tabs>
        <w:rPr>
          <w:sz w:val="20"/>
          <w:szCs w:val="20"/>
          <w:color w:val="auto"/>
        </w:rPr>
      </w:pPr>
      <w:r>
        <w:rPr>
          <w:rFonts w:ascii="Arial" w:cs="Arial" w:eastAsia="Arial" w:hAnsi="Arial"/>
          <w:sz w:val="29"/>
          <w:szCs w:val="29"/>
          <w:color w:val="auto"/>
          <w:vertAlign w:val="superscript"/>
        </w:rPr>
        <w:t>56</w:t>
      </w:r>
      <w:r>
        <w:rPr>
          <w:sz w:val="20"/>
          <w:szCs w:val="20"/>
          <w:color w:val="auto"/>
        </w:rPr>
        <w:tab/>
      </w:r>
      <w:r>
        <w:rPr>
          <w:rFonts w:ascii="Arial" w:cs="Arial" w:eastAsia="Arial" w:hAnsi="Arial"/>
          <w:sz w:val="14"/>
          <w:szCs w:val="14"/>
          <w:color w:val="auto"/>
        </w:rPr>
        <w:t>2021 Proxy Statement</w:t>
      </w:r>
    </w:p>
    <w:p>
      <w:pPr>
        <w:sectPr>
          <w:pgSz w:w="11900" w:h="16838" w:orient="portrait"/>
          <w:cols w:equalWidth="0" w:num="1">
            <w:col w:w="11220"/>
          </w:cols>
          <w:pgMar w:left="320" w:top="172" w:right="359" w:bottom="1440" w:gutter="0" w:footer="0" w:header="0"/>
        </w:sectPr>
      </w:pPr>
    </w:p>
    <w:bookmarkStart w:id="60" w:name="page61"/>
    <w:bookmarkEnd w:id="60"/>
    <w:p>
      <w:pPr>
        <w:ind w:left="280"/>
        <w:spacing w:after="0"/>
        <w:rPr>
          <w:sz w:val="20"/>
          <w:szCs w:val="20"/>
          <w:color w:val="auto"/>
        </w:rPr>
      </w:pPr>
      <w:r>
        <w:rPr>
          <w:rFonts w:ascii="Arial" w:cs="Arial" w:eastAsia="Arial" w:hAnsi="Arial"/>
          <w:sz w:val="13"/>
          <w:szCs w:val="13"/>
          <w:b w:val="1"/>
          <w:bCs w:val="1"/>
          <w:color w:val="929292"/>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7470" cy="596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7470" cy="59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260"/>
        <w:spacing w:after="0" w:line="338" w:lineRule="auto"/>
        <w:rPr>
          <w:sz w:val="20"/>
          <w:szCs w:val="20"/>
          <w:color w:val="auto"/>
        </w:rPr>
      </w:pPr>
      <w:r>
        <w:rPr>
          <w:rFonts w:ascii="Arial" w:cs="Arial" w:eastAsia="Arial" w:hAnsi="Arial"/>
          <w:sz w:val="16"/>
          <w:szCs w:val="16"/>
          <w:color w:val="auto"/>
        </w:rPr>
        <w:t>To receive the severance benefits upon a qualifying termination, a Named Executive Officer must sign and not revoke a release of claims within the time specified in the Severance Policy. If we discover after a Named Executive Officer receives severance benefits that grounds for terminating him for cause existed, such Named Executive Officer will not receive any further severance benefits under the Severance Policy, and to the extent permitted by law, the Named Executive Officer will be required to repay to us any severance payments and benefits (or gain derived from such payments and benefits) he received under the Severance Policy.</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009ADA"/>
        </w:rPr>
        <w:t>Fiscal Year 2018 Equity Incentive Plan and 2007 Stock Plan</w:t>
      </w:r>
    </w:p>
    <w:p>
      <w:pPr>
        <w:spacing w:after="0" w:line="213" w:lineRule="exact"/>
        <w:rPr>
          <w:sz w:val="20"/>
          <w:szCs w:val="20"/>
          <w:color w:val="auto"/>
        </w:rPr>
      </w:pPr>
    </w:p>
    <w:p>
      <w:pPr>
        <w:ind w:right="140"/>
        <w:spacing w:after="0" w:line="341" w:lineRule="auto"/>
        <w:rPr>
          <w:sz w:val="20"/>
          <w:szCs w:val="20"/>
          <w:color w:val="auto"/>
        </w:rPr>
      </w:pPr>
      <w:r>
        <w:rPr>
          <w:rFonts w:ascii="Arial" w:cs="Arial" w:eastAsia="Arial" w:hAnsi="Arial"/>
          <w:sz w:val="16"/>
          <w:szCs w:val="16"/>
          <w:color w:val="auto"/>
        </w:rPr>
        <w:t>Our Fiscal Year 2018 Equity Incentive Plan (the “2018 Plan”) provides that in the event of a merger or change in control, as defined under our 2018 Plan, each outstanding award will be treated as the administrator determines, without a participant’s consent. The administrator is not required to treat all awards or participants similarly.</w:t>
      </w:r>
    </w:p>
    <w:p>
      <w:pPr>
        <w:spacing w:after="0" w:line="147" w:lineRule="exact"/>
        <w:rPr>
          <w:sz w:val="20"/>
          <w:szCs w:val="20"/>
          <w:color w:val="auto"/>
        </w:rPr>
      </w:pPr>
    </w:p>
    <w:p>
      <w:pPr>
        <w:spacing w:after="0" w:line="337" w:lineRule="auto"/>
        <w:rPr>
          <w:sz w:val="20"/>
          <w:szCs w:val="20"/>
          <w:color w:val="auto"/>
        </w:rPr>
      </w:pPr>
      <w:r>
        <w:rPr>
          <w:rFonts w:ascii="Arial" w:cs="Arial" w:eastAsia="Arial" w:hAnsi="Arial"/>
          <w:sz w:val="16"/>
          <w:szCs w:val="16"/>
          <w:color w:val="auto"/>
        </w:rPr>
        <w:t>In the event that a successor corporation or its parent or subsidiary does not assume or substitute an equivalent award for any outstanding award, then such award will fully vest, all restrictions on such award will lapse, all performance goals or other vesting criteria applicable to such award will be deemed achieved at 100% of target levels and all other terms and conditions met and such award will become fully exercisable, if applicable. If an option or stock appreciation right is not assumed or substituted, the administrator will notify the participant in writing or electronically that such option or stock appreciation right will be exercisable for a period of time determined by the administrator in its sole discretion and the option or stock appreciation right will terminate upon the expiration of such period.</w:t>
      </w:r>
    </w:p>
    <w:p>
      <w:pPr>
        <w:spacing w:after="0" w:line="151" w:lineRule="exact"/>
        <w:rPr>
          <w:sz w:val="20"/>
          <w:szCs w:val="20"/>
          <w:color w:val="auto"/>
        </w:rPr>
      </w:pPr>
    </w:p>
    <w:p>
      <w:pPr>
        <w:ind w:right="40"/>
        <w:spacing w:after="0" w:line="341" w:lineRule="auto"/>
        <w:rPr>
          <w:sz w:val="20"/>
          <w:szCs w:val="20"/>
          <w:color w:val="auto"/>
        </w:rPr>
      </w:pPr>
      <w:r>
        <w:rPr>
          <w:rFonts w:ascii="Arial" w:cs="Arial" w:eastAsia="Arial" w:hAnsi="Arial"/>
          <w:sz w:val="16"/>
          <w:szCs w:val="16"/>
          <w:color w:val="auto"/>
        </w:rPr>
        <w:t>In the event of a change in control, with respect to awards granted to an outside director, his or her options and stock appreciation rights, if any, will vest fully and become immediately exercisable, all restrictions on his or her restricted stock and restricted stock units will lapse and all performance goals or other vesting requirements for his or her performance shares and units will be deemed achieved at 100% of target levels, and all other terms and conditions met.</w:t>
      </w:r>
    </w:p>
    <w:p>
      <w:pPr>
        <w:spacing w:after="0" w:line="147" w:lineRule="exact"/>
        <w:rPr>
          <w:sz w:val="20"/>
          <w:szCs w:val="20"/>
          <w:color w:val="auto"/>
        </w:rPr>
      </w:pPr>
    </w:p>
    <w:p>
      <w:pPr>
        <w:ind w:right="100"/>
        <w:spacing w:after="0" w:line="338" w:lineRule="auto"/>
        <w:rPr>
          <w:sz w:val="20"/>
          <w:szCs w:val="20"/>
          <w:color w:val="auto"/>
        </w:rPr>
      </w:pPr>
      <w:r>
        <w:rPr>
          <w:rFonts w:ascii="Arial" w:cs="Arial" w:eastAsia="Arial" w:hAnsi="Arial"/>
          <w:sz w:val="16"/>
          <w:szCs w:val="16"/>
          <w:color w:val="auto"/>
        </w:rPr>
        <w:t>Our 2007 Plan provides that, in the event of a merger or change in control, as defined under our 2007 Plan, each outstanding award may be assumed or substituted for an equivalent award. In the event that awards are not assumed or substituted for, then the vesting of outstanding awards will be accelerated, and stock options will become exercisable in full prior to such transaction. In addition, if an option is not assumed or substituted in the event of a merger or change in control, the administrator will notify the participant that such award will be fully vested and exercisable for a specified period prior to the transaction, and such award will terminate upon the expiration of such period for no consideration, unless otherwise determined by the administrator.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256540</wp:posOffset>
            </wp:positionV>
            <wp:extent cx="342900" cy="21463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42900" cy="214630"/>
                    </a:xfrm>
                    <a:prstGeom prst="rect">
                      <a:avLst/>
                    </a:prstGeom>
                    <a:noFill/>
                  </pic:spPr>
                </pic:pic>
              </a:graphicData>
            </a:graphic>
          </wp:anchor>
        </w:drawing>
      </w:r>
    </w:p>
    <w:p>
      <w:pPr>
        <w:spacing w:after="0" w:line="322" w:lineRule="exact"/>
        <w:rPr>
          <w:sz w:val="20"/>
          <w:szCs w:val="20"/>
          <w:color w:val="auto"/>
        </w:rPr>
      </w:pPr>
    </w:p>
    <w:p>
      <w:pPr>
        <w:ind w:left="5540"/>
        <w:spacing w:after="0"/>
        <w:tabs>
          <w:tab w:leader="none" w:pos="9780" w:val="left"/>
        </w:tabs>
        <w:rPr>
          <w:sz w:val="20"/>
          <w:szCs w:val="20"/>
          <w:color w:val="auto"/>
        </w:rPr>
      </w:pPr>
      <w:r>
        <w:rPr>
          <w:rFonts w:ascii="Arial" w:cs="Arial" w:eastAsia="Arial" w:hAnsi="Arial"/>
          <w:sz w:val="29"/>
          <w:szCs w:val="29"/>
          <w:color w:val="auto"/>
          <w:vertAlign w:val="superscript"/>
        </w:rPr>
        <w:t>57</w:t>
      </w:r>
      <w:r>
        <w:rPr>
          <w:sz w:val="20"/>
          <w:szCs w:val="20"/>
          <w:color w:val="auto"/>
        </w:rPr>
        <w:tab/>
      </w:r>
      <w:r>
        <w:rPr>
          <w:rFonts w:ascii="Arial" w:cs="Arial" w:eastAsia="Arial" w:hAnsi="Arial"/>
          <w:sz w:val="14"/>
          <w:szCs w:val="14"/>
          <w:color w:val="auto"/>
        </w:rPr>
        <w:t>2021 Proxy Statement</w:t>
      </w:r>
    </w:p>
    <w:p>
      <w:pPr>
        <w:sectPr>
          <w:pgSz w:w="11900" w:h="16838" w:orient="portrait"/>
          <w:cols w:equalWidth="0" w:num="1">
            <w:col w:w="11220"/>
          </w:cols>
          <w:pgMar w:left="320" w:top="172" w:right="359" w:bottom="1440" w:gutter="0" w:footer="0" w:header="0"/>
        </w:sectPr>
      </w:pPr>
    </w:p>
    <w:bookmarkStart w:id="61" w:name="page62"/>
    <w:bookmarkEnd w:id="61"/>
    <w:p>
      <w:pPr>
        <w:ind w:left="280"/>
        <w:spacing w:after="0"/>
        <w:rPr>
          <w:sz w:val="20"/>
          <w:szCs w:val="20"/>
          <w:color w:val="auto"/>
        </w:rPr>
      </w:pPr>
      <w:r>
        <w:rPr>
          <w:rFonts w:ascii="Arial" w:cs="Arial" w:eastAsia="Arial" w:hAnsi="Arial"/>
          <w:sz w:val="13"/>
          <w:szCs w:val="13"/>
          <w:b w:val="1"/>
          <w:bCs w:val="1"/>
          <w:color w:val="929292"/>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7470" cy="596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7470" cy="59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b w:val="1"/>
          <w:bCs w:val="1"/>
          <w:color w:val="009ADA"/>
        </w:rPr>
        <w:t>Fiscal 2021 Summary Compensation Table</w:t>
      </w:r>
    </w:p>
    <w:p>
      <w:pPr>
        <w:spacing w:after="0" w:line="213" w:lineRule="exact"/>
        <w:rPr>
          <w:sz w:val="20"/>
          <w:szCs w:val="20"/>
          <w:color w:val="auto"/>
        </w:rPr>
      </w:pPr>
    </w:p>
    <w:p>
      <w:pPr>
        <w:ind w:right="260"/>
        <w:spacing w:after="0" w:line="348" w:lineRule="auto"/>
        <w:rPr>
          <w:sz w:val="20"/>
          <w:szCs w:val="20"/>
          <w:color w:val="auto"/>
        </w:rPr>
      </w:pPr>
      <w:r>
        <w:rPr>
          <w:rFonts w:ascii="Arial" w:cs="Arial" w:eastAsia="Arial" w:hAnsi="Arial"/>
          <w:sz w:val="16"/>
          <w:szCs w:val="16"/>
          <w:color w:val="auto"/>
        </w:rPr>
        <w:t>The following table presents information regarding the compensation awarded to, earned by and paid to each individual who served as one of our Named Executive Officers during fiscal 2021, fiscal 2020 and fiscal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6417310</wp:posOffset>
            </wp:positionH>
            <wp:positionV relativeFrom="paragraph">
              <wp:posOffset>88900</wp:posOffset>
            </wp:positionV>
            <wp:extent cx="8255" cy="54864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8255" cy="54864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88900</wp:posOffset>
            </wp:positionV>
            <wp:extent cx="8255" cy="54864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8255" cy="54864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88900</wp:posOffset>
            </wp:positionV>
            <wp:extent cx="8890" cy="54864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8890" cy="54864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88900</wp:posOffset>
            </wp:positionV>
            <wp:extent cx="8890" cy="54864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8890" cy="548640"/>
                    </a:xfrm>
                    <a:prstGeom prst="rect">
                      <a:avLst/>
                    </a:prstGeom>
                    <a:noFill/>
                  </pic:spPr>
                </pic:pic>
              </a:graphicData>
            </a:graphic>
          </wp:anchor>
        </w:drawing>
        <w:drawing>
          <wp:anchor simplePos="0" relativeHeight="251657728" behindDoc="1" locked="0" layoutInCell="0" allowOverlap="1">
            <wp:simplePos x="0" y="0"/>
            <wp:positionH relativeFrom="column">
              <wp:posOffset>3013710</wp:posOffset>
            </wp:positionH>
            <wp:positionV relativeFrom="paragraph">
              <wp:posOffset>88900</wp:posOffset>
            </wp:positionV>
            <wp:extent cx="8890" cy="54864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8890" cy="548640"/>
                    </a:xfrm>
                    <a:prstGeom prst="rect">
                      <a:avLst/>
                    </a:prstGeom>
                    <a:noFill/>
                  </pic:spPr>
                </pic:pic>
              </a:graphicData>
            </a:graphic>
          </wp:anchor>
        </w:drawing>
        <w:drawing>
          <wp:anchor simplePos="0" relativeHeight="251657728" behindDoc="1" locked="0" layoutInCell="0" allowOverlap="1">
            <wp:simplePos x="0" y="0"/>
            <wp:positionH relativeFrom="column">
              <wp:posOffset>2405380</wp:posOffset>
            </wp:positionH>
            <wp:positionV relativeFrom="paragraph">
              <wp:posOffset>88900</wp:posOffset>
            </wp:positionV>
            <wp:extent cx="8890" cy="54864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8890" cy="548640"/>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88900</wp:posOffset>
            </wp:positionV>
            <wp:extent cx="8890" cy="54864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8890" cy="548640"/>
                    </a:xfrm>
                    <a:prstGeom prst="rect">
                      <a:avLst/>
                    </a:prstGeom>
                    <a:noFill/>
                  </pic:spPr>
                </pic:pic>
              </a:graphicData>
            </a:graphic>
          </wp:anchor>
        </w:drawing>
        <w:drawing>
          <wp:anchor simplePos="0" relativeHeight="251657728" behindDoc="1" locked="0" layoutInCell="0" allowOverlap="1">
            <wp:simplePos x="0" y="0"/>
            <wp:positionH relativeFrom="column">
              <wp:posOffset>1290955</wp:posOffset>
            </wp:positionH>
            <wp:positionV relativeFrom="paragraph">
              <wp:posOffset>88900</wp:posOffset>
            </wp:positionV>
            <wp:extent cx="8890" cy="54864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8890" cy="548640"/>
                    </a:xfrm>
                    <a:prstGeom prst="rect">
                      <a:avLst/>
                    </a:prstGeom>
                    <a:noFill/>
                  </pic:spPr>
                </pic:pic>
              </a:graphicData>
            </a:graphic>
          </wp:anchor>
        </w:drawing>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040" w:type="dxa"/>
            <w:vAlign w:val="bottom"/>
            <w:shd w:val="clear" w:color="auto" w:fill="000000"/>
          </w:tcPr>
          <w:p>
            <w:pPr>
              <w:spacing w:after="0"/>
              <w:rPr>
                <w:sz w:val="17"/>
                <w:szCs w:val="17"/>
                <w:color w:val="auto"/>
              </w:rPr>
            </w:pPr>
          </w:p>
        </w:tc>
        <w:tc>
          <w:tcPr>
            <w:tcW w:w="760" w:type="dxa"/>
            <w:vAlign w:val="bottom"/>
            <w:shd w:val="clear" w:color="auto" w:fill="2B338D"/>
          </w:tcPr>
          <w:p>
            <w:pPr>
              <w:spacing w:after="0"/>
              <w:rPr>
                <w:sz w:val="17"/>
                <w:szCs w:val="17"/>
                <w:color w:val="auto"/>
              </w:rPr>
            </w:pPr>
          </w:p>
        </w:tc>
        <w:tc>
          <w:tcPr>
            <w:tcW w:w="1060" w:type="dxa"/>
            <w:vAlign w:val="bottom"/>
            <w:shd w:val="clear" w:color="auto" w:fill="2B338D"/>
          </w:tcPr>
          <w:p>
            <w:pPr>
              <w:spacing w:after="0"/>
              <w:rPr>
                <w:sz w:val="17"/>
                <w:szCs w:val="17"/>
                <w:color w:val="auto"/>
              </w:rPr>
            </w:pPr>
          </w:p>
        </w:tc>
        <w:tc>
          <w:tcPr>
            <w:tcW w:w="960" w:type="dxa"/>
            <w:vAlign w:val="bottom"/>
            <w:shd w:val="clear" w:color="auto" w:fill="2B338D"/>
          </w:tcPr>
          <w:p>
            <w:pPr>
              <w:spacing w:after="0"/>
              <w:rPr>
                <w:sz w:val="17"/>
                <w:szCs w:val="17"/>
                <w:color w:val="auto"/>
              </w:rPr>
            </w:pPr>
          </w:p>
        </w:tc>
        <w:tc>
          <w:tcPr>
            <w:tcW w:w="1240" w:type="dxa"/>
            <w:vAlign w:val="bottom"/>
            <w:vMerge w:val="restart"/>
            <w:shd w:val="clear" w:color="auto" w:fill="2B338D"/>
          </w:tcPr>
          <w:p>
            <w:pPr>
              <w:jc w:val="right"/>
              <w:ind w:right="148"/>
              <w:spacing w:after="0"/>
              <w:rPr>
                <w:sz w:val="20"/>
                <w:szCs w:val="20"/>
                <w:color w:val="auto"/>
              </w:rPr>
            </w:pPr>
            <w:r>
              <w:rPr>
                <w:rFonts w:ascii="Arial" w:cs="Arial" w:eastAsia="Arial" w:hAnsi="Arial"/>
                <w:sz w:val="16"/>
                <w:szCs w:val="16"/>
                <w:b w:val="1"/>
                <w:bCs w:val="1"/>
                <w:color w:val="FFFFFF"/>
              </w:rPr>
              <w:t>Stock</w:t>
            </w:r>
          </w:p>
        </w:tc>
        <w:tc>
          <w:tcPr>
            <w:tcW w:w="1060" w:type="dxa"/>
            <w:vAlign w:val="bottom"/>
            <w:vMerge w:val="restart"/>
            <w:shd w:val="clear" w:color="auto" w:fill="2B338D"/>
          </w:tcPr>
          <w:p>
            <w:pPr>
              <w:jc w:val="right"/>
              <w:ind w:right="128"/>
              <w:spacing w:after="0"/>
              <w:rPr>
                <w:sz w:val="20"/>
                <w:szCs w:val="20"/>
                <w:color w:val="auto"/>
              </w:rPr>
            </w:pPr>
            <w:r>
              <w:rPr>
                <w:rFonts w:ascii="Arial" w:cs="Arial" w:eastAsia="Arial" w:hAnsi="Arial"/>
                <w:sz w:val="16"/>
                <w:szCs w:val="16"/>
                <w:b w:val="1"/>
                <w:bCs w:val="1"/>
                <w:color w:val="FFFFFF"/>
              </w:rPr>
              <w:t>Option</w:t>
            </w:r>
          </w:p>
        </w:tc>
        <w:tc>
          <w:tcPr>
            <w:tcW w:w="1500" w:type="dxa"/>
            <w:vAlign w:val="bottom"/>
            <w:shd w:val="clear" w:color="auto" w:fill="2B338D"/>
          </w:tcPr>
          <w:p>
            <w:pPr>
              <w:jc w:val="right"/>
              <w:ind w:right="106"/>
              <w:spacing w:after="0"/>
              <w:rPr>
                <w:sz w:val="20"/>
                <w:szCs w:val="20"/>
                <w:color w:val="auto"/>
              </w:rPr>
            </w:pPr>
            <w:r>
              <w:rPr>
                <w:rFonts w:ascii="Arial" w:cs="Arial" w:eastAsia="Arial" w:hAnsi="Arial"/>
                <w:sz w:val="16"/>
                <w:szCs w:val="16"/>
                <w:b w:val="1"/>
                <w:bCs w:val="1"/>
                <w:color w:val="FFFFFF"/>
              </w:rPr>
              <w:t>Non-Equity</w:t>
            </w:r>
          </w:p>
        </w:tc>
        <w:tc>
          <w:tcPr>
            <w:tcW w:w="1480" w:type="dxa"/>
            <w:vAlign w:val="bottom"/>
            <w:shd w:val="clear" w:color="auto" w:fill="2B338D"/>
          </w:tcPr>
          <w:p>
            <w:pPr>
              <w:spacing w:after="0"/>
              <w:rPr>
                <w:sz w:val="17"/>
                <w:szCs w:val="17"/>
                <w:color w:val="auto"/>
              </w:rPr>
            </w:pPr>
          </w:p>
        </w:tc>
        <w:tc>
          <w:tcPr>
            <w:tcW w:w="1000" w:type="dxa"/>
            <w:vAlign w:val="bottom"/>
            <w:shd w:val="clear" w:color="auto" w:fill="009ADA"/>
          </w:tcPr>
          <w:p>
            <w:pPr>
              <w:spacing w:after="0"/>
              <w:rPr>
                <w:sz w:val="17"/>
                <w:szCs w:val="17"/>
                <w:color w:val="auto"/>
              </w:rPr>
            </w:pPr>
          </w:p>
        </w:tc>
        <w:tc>
          <w:tcPr>
            <w:tcW w:w="140" w:type="dxa"/>
            <w:vAlign w:val="bottom"/>
            <w:shd w:val="clear" w:color="auto" w:fill="009ADA"/>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2040" w:type="dxa"/>
            <w:vAlign w:val="bottom"/>
            <w:shd w:val="clear" w:color="auto" w:fill="000000"/>
          </w:tcPr>
          <w:p>
            <w:pPr>
              <w:spacing w:after="0"/>
              <w:rPr>
                <w:sz w:val="7"/>
                <w:szCs w:val="7"/>
                <w:color w:val="auto"/>
              </w:rPr>
            </w:pPr>
          </w:p>
        </w:tc>
        <w:tc>
          <w:tcPr>
            <w:tcW w:w="760" w:type="dxa"/>
            <w:vAlign w:val="bottom"/>
            <w:shd w:val="clear" w:color="auto" w:fill="2B338D"/>
          </w:tcPr>
          <w:p>
            <w:pPr>
              <w:spacing w:after="0"/>
              <w:rPr>
                <w:sz w:val="7"/>
                <w:szCs w:val="7"/>
                <w:color w:val="auto"/>
              </w:rPr>
            </w:pPr>
          </w:p>
        </w:tc>
        <w:tc>
          <w:tcPr>
            <w:tcW w:w="1060" w:type="dxa"/>
            <w:vAlign w:val="bottom"/>
            <w:shd w:val="clear" w:color="auto" w:fill="2B338D"/>
          </w:tcPr>
          <w:p>
            <w:pPr>
              <w:spacing w:after="0"/>
              <w:rPr>
                <w:sz w:val="7"/>
                <w:szCs w:val="7"/>
                <w:color w:val="auto"/>
              </w:rPr>
            </w:pPr>
          </w:p>
        </w:tc>
        <w:tc>
          <w:tcPr>
            <w:tcW w:w="960" w:type="dxa"/>
            <w:vAlign w:val="bottom"/>
            <w:shd w:val="clear" w:color="auto" w:fill="2B338D"/>
          </w:tcPr>
          <w:p>
            <w:pPr>
              <w:spacing w:after="0"/>
              <w:rPr>
                <w:sz w:val="7"/>
                <w:szCs w:val="7"/>
                <w:color w:val="auto"/>
              </w:rPr>
            </w:pPr>
          </w:p>
        </w:tc>
        <w:tc>
          <w:tcPr>
            <w:tcW w:w="1240" w:type="dxa"/>
            <w:vAlign w:val="bottom"/>
            <w:vMerge w:val="continue"/>
            <w:shd w:val="clear" w:color="auto" w:fill="2B338D"/>
          </w:tcPr>
          <w:p>
            <w:pPr>
              <w:spacing w:after="0"/>
              <w:rPr>
                <w:sz w:val="7"/>
                <w:szCs w:val="7"/>
                <w:color w:val="auto"/>
              </w:rPr>
            </w:pPr>
          </w:p>
        </w:tc>
        <w:tc>
          <w:tcPr>
            <w:tcW w:w="1060" w:type="dxa"/>
            <w:vAlign w:val="bottom"/>
            <w:vMerge w:val="continue"/>
            <w:shd w:val="clear" w:color="auto" w:fill="2B338D"/>
          </w:tcPr>
          <w:p>
            <w:pPr>
              <w:spacing w:after="0"/>
              <w:rPr>
                <w:sz w:val="7"/>
                <w:szCs w:val="7"/>
                <w:color w:val="auto"/>
              </w:rPr>
            </w:pPr>
          </w:p>
        </w:tc>
        <w:tc>
          <w:tcPr>
            <w:tcW w:w="1500" w:type="dxa"/>
            <w:vAlign w:val="bottom"/>
            <w:vMerge w:val="restart"/>
            <w:shd w:val="clear" w:color="auto" w:fill="2B338D"/>
          </w:tcPr>
          <w:p>
            <w:pPr>
              <w:jc w:val="right"/>
              <w:ind w:right="106"/>
              <w:spacing w:after="0"/>
              <w:rPr>
                <w:sz w:val="20"/>
                <w:szCs w:val="20"/>
                <w:color w:val="auto"/>
              </w:rPr>
            </w:pPr>
            <w:r>
              <w:rPr>
                <w:rFonts w:ascii="Arial" w:cs="Arial" w:eastAsia="Arial" w:hAnsi="Arial"/>
                <w:sz w:val="16"/>
                <w:szCs w:val="16"/>
                <w:b w:val="1"/>
                <w:bCs w:val="1"/>
                <w:color w:val="FFFFFF"/>
              </w:rPr>
              <w:t>Incentive Plan</w:t>
            </w:r>
          </w:p>
        </w:tc>
        <w:tc>
          <w:tcPr>
            <w:tcW w:w="1480" w:type="dxa"/>
            <w:vAlign w:val="bottom"/>
            <w:vMerge w:val="restart"/>
            <w:shd w:val="clear" w:color="auto" w:fill="2B338D"/>
          </w:tcPr>
          <w:p>
            <w:pPr>
              <w:jc w:val="right"/>
              <w:ind w:right="66"/>
              <w:spacing w:after="0"/>
              <w:rPr>
                <w:sz w:val="20"/>
                <w:szCs w:val="20"/>
                <w:color w:val="auto"/>
              </w:rPr>
            </w:pPr>
            <w:r>
              <w:rPr>
                <w:rFonts w:ascii="Arial" w:cs="Arial" w:eastAsia="Arial" w:hAnsi="Arial"/>
                <w:sz w:val="16"/>
                <w:szCs w:val="16"/>
                <w:b w:val="1"/>
                <w:bCs w:val="1"/>
                <w:color w:val="FFFFFF"/>
              </w:rPr>
              <w:t>All Other</w:t>
            </w:r>
          </w:p>
        </w:tc>
        <w:tc>
          <w:tcPr>
            <w:tcW w:w="1000" w:type="dxa"/>
            <w:vAlign w:val="bottom"/>
            <w:shd w:val="clear" w:color="auto" w:fill="009ADA"/>
          </w:tcPr>
          <w:p>
            <w:pPr>
              <w:spacing w:after="0"/>
              <w:rPr>
                <w:sz w:val="7"/>
                <w:szCs w:val="7"/>
                <w:color w:val="auto"/>
              </w:rPr>
            </w:pPr>
          </w:p>
        </w:tc>
        <w:tc>
          <w:tcPr>
            <w:tcW w:w="140" w:type="dxa"/>
            <w:vAlign w:val="bottom"/>
            <w:shd w:val="clear" w:color="auto" w:fill="009ADA"/>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040" w:type="dxa"/>
            <w:vAlign w:val="bottom"/>
            <w:shd w:val="clear" w:color="auto" w:fill="000000"/>
          </w:tcPr>
          <w:p>
            <w:pPr>
              <w:spacing w:after="0"/>
              <w:rPr>
                <w:sz w:val="9"/>
                <w:szCs w:val="9"/>
                <w:color w:val="auto"/>
              </w:rPr>
            </w:pPr>
          </w:p>
        </w:tc>
        <w:tc>
          <w:tcPr>
            <w:tcW w:w="760" w:type="dxa"/>
            <w:vAlign w:val="bottom"/>
            <w:shd w:val="clear" w:color="auto" w:fill="2B338D"/>
          </w:tcPr>
          <w:p>
            <w:pPr>
              <w:spacing w:after="0"/>
              <w:rPr>
                <w:sz w:val="9"/>
                <w:szCs w:val="9"/>
                <w:color w:val="auto"/>
              </w:rPr>
            </w:pPr>
          </w:p>
        </w:tc>
        <w:tc>
          <w:tcPr>
            <w:tcW w:w="1060" w:type="dxa"/>
            <w:vAlign w:val="bottom"/>
            <w:shd w:val="clear" w:color="auto" w:fill="2B338D"/>
          </w:tcPr>
          <w:p>
            <w:pPr>
              <w:spacing w:after="0"/>
              <w:rPr>
                <w:sz w:val="9"/>
                <w:szCs w:val="9"/>
                <w:color w:val="auto"/>
              </w:rPr>
            </w:pPr>
          </w:p>
        </w:tc>
        <w:tc>
          <w:tcPr>
            <w:tcW w:w="960" w:type="dxa"/>
            <w:vAlign w:val="bottom"/>
            <w:shd w:val="clear" w:color="auto" w:fill="2B338D"/>
          </w:tcPr>
          <w:p>
            <w:pPr>
              <w:spacing w:after="0"/>
              <w:rPr>
                <w:sz w:val="9"/>
                <w:szCs w:val="9"/>
                <w:color w:val="auto"/>
              </w:rPr>
            </w:pPr>
          </w:p>
        </w:tc>
        <w:tc>
          <w:tcPr>
            <w:tcW w:w="1240" w:type="dxa"/>
            <w:vAlign w:val="bottom"/>
            <w:vMerge w:val="restart"/>
            <w:shd w:val="clear" w:color="auto" w:fill="2B338D"/>
          </w:tcPr>
          <w:p>
            <w:pPr>
              <w:jc w:val="right"/>
              <w:ind w:right="148"/>
              <w:spacing w:after="0"/>
              <w:rPr>
                <w:sz w:val="20"/>
                <w:szCs w:val="20"/>
                <w:color w:val="auto"/>
              </w:rPr>
            </w:pPr>
            <w:r>
              <w:rPr>
                <w:rFonts w:ascii="Arial" w:cs="Arial" w:eastAsia="Arial" w:hAnsi="Arial"/>
                <w:sz w:val="16"/>
                <w:szCs w:val="16"/>
                <w:b w:val="1"/>
                <w:bCs w:val="1"/>
                <w:color w:val="FFFFFF"/>
              </w:rPr>
              <w:t>Awards</w:t>
            </w:r>
          </w:p>
        </w:tc>
        <w:tc>
          <w:tcPr>
            <w:tcW w:w="1060" w:type="dxa"/>
            <w:vAlign w:val="bottom"/>
            <w:vMerge w:val="restart"/>
            <w:shd w:val="clear" w:color="auto" w:fill="2B338D"/>
          </w:tcPr>
          <w:p>
            <w:pPr>
              <w:jc w:val="right"/>
              <w:ind w:right="128"/>
              <w:spacing w:after="0"/>
              <w:rPr>
                <w:sz w:val="20"/>
                <w:szCs w:val="20"/>
                <w:color w:val="auto"/>
              </w:rPr>
            </w:pPr>
            <w:r>
              <w:rPr>
                <w:rFonts w:ascii="Arial" w:cs="Arial" w:eastAsia="Arial" w:hAnsi="Arial"/>
                <w:sz w:val="16"/>
                <w:szCs w:val="16"/>
                <w:b w:val="1"/>
                <w:bCs w:val="1"/>
                <w:color w:val="FFFFFF"/>
              </w:rPr>
              <w:t>Awards</w:t>
            </w:r>
          </w:p>
        </w:tc>
        <w:tc>
          <w:tcPr>
            <w:tcW w:w="1500" w:type="dxa"/>
            <w:vAlign w:val="bottom"/>
            <w:vMerge w:val="continue"/>
            <w:shd w:val="clear" w:color="auto" w:fill="2B338D"/>
          </w:tcPr>
          <w:p>
            <w:pPr>
              <w:spacing w:after="0"/>
              <w:rPr>
                <w:sz w:val="9"/>
                <w:szCs w:val="9"/>
                <w:color w:val="auto"/>
              </w:rPr>
            </w:pPr>
          </w:p>
        </w:tc>
        <w:tc>
          <w:tcPr>
            <w:tcW w:w="1480" w:type="dxa"/>
            <w:vAlign w:val="bottom"/>
            <w:vMerge w:val="continue"/>
            <w:shd w:val="clear" w:color="auto" w:fill="2B338D"/>
          </w:tcPr>
          <w:p>
            <w:pPr>
              <w:spacing w:after="0"/>
              <w:rPr>
                <w:sz w:val="9"/>
                <w:szCs w:val="9"/>
                <w:color w:val="auto"/>
              </w:rPr>
            </w:pPr>
          </w:p>
        </w:tc>
        <w:tc>
          <w:tcPr>
            <w:tcW w:w="1000" w:type="dxa"/>
            <w:vAlign w:val="bottom"/>
            <w:shd w:val="clear" w:color="auto" w:fill="009ADA"/>
          </w:tcPr>
          <w:p>
            <w:pPr>
              <w:spacing w:after="0"/>
              <w:rPr>
                <w:sz w:val="9"/>
                <w:szCs w:val="9"/>
                <w:color w:val="auto"/>
              </w:rPr>
            </w:pPr>
          </w:p>
        </w:tc>
        <w:tc>
          <w:tcPr>
            <w:tcW w:w="140" w:type="dxa"/>
            <w:vAlign w:val="bottom"/>
            <w:shd w:val="clear" w:color="auto" w:fill="009ADA"/>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40" w:type="dxa"/>
            <w:vAlign w:val="bottom"/>
            <w:vMerge w:val="restart"/>
            <w:shd w:val="clear" w:color="auto" w:fill="000000"/>
          </w:tcPr>
          <w:p>
            <w:pPr>
              <w:ind w:left="100"/>
              <w:spacing w:after="0"/>
              <w:rPr>
                <w:sz w:val="20"/>
                <w:szCs w:val="20"/>
                <w:color w:val="auto"/>
              </w:rPr>
            </w:pPr>
            <w:r>
              <w:rPr>
                <w:rFonts w:ascii="Arial" w:cs="Arial" w:eastAsia="Arial" w:hAnsi="Arial"/>
                <w:sz w:val="16"/>
                <w:szCs w:val="16"/>
                <w:b w:val="1"/>
                <w:bCs w:val="1"/>
                <w:color w:val="FFFFFF"/>
              </w:rPr>
              <w:t>Name and Principal</w:t>
            </w:r>
          </w:p>
        </w:tc>
        <w:tc>
          <w:tcPr>
            <w:tcW w:w="760" w:type="dxa"/>
            <w:vAlign w:val="bottom"/>
            <w:shd w:val="clear" w:color="auto" w:fill="2B338D"/>
          </w:tcPr>
          <w:p>
            <w:pPr>
              <w:spacing w:after="0"/>
              <w:rPr>
                <w:sz w:val="9"/>
                <w:szCs w:val="9"/>
                <w:color w:val="auto"/>
              </w:rPr>
            </w:pPr>
          </w:p>
        </w:tc>
        <w:tc>
          <w:tcPr>
            <w:tcW w:w="1060" w:type="dxa"/>
            <w:vAlign w:val="bottom"/>
            <w:vMerge w:val="restart"/>
            <w:shd w:val="clear" w:color="auto" w:fill="2B338D"/>
          </w:tcPr>
          <w:p>
            <w:pPr>
              <w:jc w:val="right"/>
              <w:ind w:right="187"/>
              <w:spacing w:after="0"/>
              <w:rPr>
                <w:sz w:val="20"/>
                <w:szCs w:val="20"/>
                <w:color w:val="auto"/>
              </w:rPr>
            </w:pPr>
            <w:r>
              <w:rPr>
                <w:rFonts w:ascii="Arial" w:cs="Arial" w:eastAsia="Arial" w:hAnsi="Arial"/>
                <w:sz w:val="16"/>
                <w:szCs w:val="16"/>
                <w:b w:val="1"/>
                <w:bCs w:val="1"/>
                <w:color w:val="FFFFFF"/>
              </w:rPr>
              <w:t>Salary</w:t>
            </w:r>
          </w:p>
        </w:tc>
        <w:tc>
          <w:tcPr>
            <w:tcW w:w="960" w:type="dxa"/>
            <w:vAlign w:val="bottom"/>
            <w:vMerge w:val="restart"/>
            <w:shd w:val="clear" w:color="auto" w:fill="2B338D"/>
          </w:tcPr>
          <w:p>
            <w:pPr>
              <w:jc w:val="right"/>
              <w:ind w:right="167"/>
              <w:spacing w:after="0"/>
              <w:rPr>
                <w:sz w:val="20"/>
                <w:szCs w:val="20"/>
                <w:color w:val="auto"/>
              </w:rPr>
            </w:pPr>
            <w:r>
              <w:rPr>
                <w:rFonts w:ascii="Arial" w:cs="Arial" w:eastAsia="Arial" w:hAnsi="Arial"/>
                <w:sz w:val="16"/>
                <w:szCs w:val="16"/>
                <w:b w:val="1"/>
                <w:bCs w:val="1"/>
                <w:color w:val="FFFFFF"/>
              </w:rPr>
              <w:t>Bonus</w:t>
            </w:r>
          </w:p>
        </w:tc>
        <w:tc>
          <w:tcPr>
            <w:tcW w:w="1240" w:type="dxa"/>
            <w:vAlign w:val="bottom"/>
            <w:vMerge w:val="continue"/>
            <w:shd w:val="clear" w:color="auto" w:fill="2B338D"/>
          </w:tcPr>
          <w:p>
            <w:pPr>
              <w:spacing w:after="0"/>
              <w:rPr>
                <w:sz w:val="9"/>
                <w:szCs w:val="9"/>
                <w:color w:val="auto"/>
              </w:rPr>
            </w:pPr>
          </w:p>
        </w:tc>
        <w:tc>
          <w:tcPr>
            <w:tcW w:w="1060" w:type="dxa"/>
            <w:vAlign w:val="bottom"/>
            <w:vMerge w:val="continue"/>
            <w:shd w:val="clear" w:color="auto" w:fill="2B338D"/>
          </w:tcPr>
          <w:p>
            <w:pPr>
              <w:spacing w:after="0"/>
              <w:rPr>
                <w:sz w:val="9"/>
                <w:szCs w:val="9"/>
                <w:color w:val="auto"/>
              </w:rPr>
            </w:pPr>
          </w:p>
        </w:tc>
        <w:tc>
          <w:tcPr>
            <w:tcW w:w="1500" w:type="dxa"/>
            <w:vAlign w:val="bottom"/>
            <w:vMerge w:val="restart"/>
            <w:shd w:val="clear" w:color="auto" w:fill="2B338D"/>
          </w:tcPr>
          <w:p>
            <w:pPr>
              <w:jc w:val="right"/>
              <w:ind w:right="106"/>
              <w:spacing w:after="0"/>
              <w:rPr>
                <w:sz w:val="20"/>
                <w:szCs w:val="20"/>
                <w:color w:val="auto"/>
              </w:rPr>
            </w:pPr>
            <w:r>
              <w:rPr>
                <w:rFonts w:ascii="Arial" w:cs="Arial" w:eastAsia="Arial" w:hAnsi="Arial"/>
                <w:sz w:val="16"/>
                <w:szCs w:val="16"/>
                <w:b w:val="1"/>
                <w:bCs w:val="1"/>
                <w:color w:val="FFFFFF"/>
              </w:rPr>
              <w:t>Compensation</w:t>
            </w:r>
          </w:p>
        </w:tc>
        <w:tc>
          <w:tcPr>
            <w:tcW w:w="1480" w:type="dxa"/>
            <w:vAlign w:val="bottom"/>
            <w:vMerge w:val="restart"/>
            <w:shd w:val="clear" w:color="auto" w:fill="2B338D"/>
          </w:tcPr>
          <w:p>
            <w:pPr>
              <w:jc w:val="right"/>
              <w:ind w:right="126"/>
              <w:spacing w:after="0"/>
              <w:rPr>
                <w:sz w:val="20"/>
                <w:szCs w:val="20"/>
                <w:color w:val="auto"/>
              </w:rPr>
            </w:pPr>
            <w:r>
              <w:rPr>
                <w:rFonts w:ascii="Arial" w:cs="Arial" w:eastAsia="Arial" w:hAnsi="Arial"/>
                <w:sz w:val="16"/>
                <w:szCs w:val="16"/>
                <w:b w:val="1"/>
                <w:bCs w:val="1"/>
                <w:color w:val="FFFFFF"/>
              </w:rPr>
              <w:t>Compensation</w:t>
            </w:r>
          </w:p>
        </w:tc>
        <w:tc>
          <w:tcPr>
            <w:tcW w:w="1000" w:type="dxa"/>
            <w:vAlign w:val="bottom"/>
            <w:vMerge w:val="restart"/>
            <w:shd w:val="clear" w:color="auto" w:fill="009ADA"/>
          </w:tcPr>
          <w:p>
            <w:pPr>
              <w:jc w:val="right"/>
              <w:spacing w:after="0"/>
              <w:rPr>
                <w:sz w:val="20"/>
                <w:szCs w:val="20"/>
                <w:color w:val="auto"/>
              </w:rPr>
            </w:pPr>
            <w:r>
              <w:rPr>
                <w:rFonts w:ascii="Arial" w:cs="Arial" w:eastAsia="Arial" w:hAnsi="Arial"/>
                <w:sz w:val="16"/>
                <w:szCs w:val="16"/>
                <w:b w:val="1"/>
                <w:bCs w:val="1"/>
                <w:color w:val="FFFFFF"/>
              </w:rPr>
              <w:t>Total</w:t>
            </w:r>
          </w:p>
        </w:tc>
        <w:tc>
          <w:tcPr>
            <w:tcW w:w="140" w:type="dxa"/>
            <w:vAlign w:val="bottom"/>
            <w:shd w:val="clear" w:color="auto" w:fill="009ADA"/>
          </w:tcPr>
          <w:p>
            <w:pPr>
              <w:spacing w:after="0"/>
              <w:rPr>
                <w:sz w:val="9"/>
                <w:szCs w:val="9"/>
                <w:color w:val="auto"/>
              </w:rPr>
            </w:pPr>
          </w:p>
        </w:tc>
        <w:tc>
          <w:tcPr>
            <w:tcW w:w="0" w:type="dxa"/>
            <w:vAlign w:val="bottom"/>
          </w:tcPr>
          <w:p>
            <w:pPr>
              <w:spacing w:after="0"/>
              <w:rPr>
                <w:sz w:val="1"/>
                <w:szCs w:val="1"/>
                <w:color w:val="auto"/>
              </w:rPr>
            </w:pPr>
          </w:p>
        </w:tc>
      </w:tr>
      <w:tr>
        <w:trPr>
          <w:trHeight w:val="82"/>
        </w:trPr>
        <w:tc>
          <w:tcPr>
            <w:tcW w:w="2040" w:type="dxa"/>
            <w:vAlign w:val="bottom"/>
            <w:vMerge w:val="continue"/>
            <w:shd w:val="clear" w:color="auto" w:fill="000000"/>
          </w:tcPr>
          <w:p>
            <w:pPr>
              <w:spacing w:after="0"/>
              <w:rPr>
                <w:sz w:val="7"/>
                <w:szCs w:val="7"/>
                <w:color w:val="auto"/>
              </w:rPr>
            </w:pPr>
          </w:p>
        </w:tc>
        <w:tc>
          <w:tcPr>
            <w:tcW w:w="760" w:type="dxa"/>
            <w:vAlign w:val="bottom"/>
            <w:shd w:val="clear" w:color="auto" w:fill="2B338D"/>
          </w:tcPr>
          <w:p>
            <w:pPr>
              <w:spacing w:after="0"/>
              <w:rPr>
                <w:sz w:val="7"/>
                <w:szCs w:val="7"/>
                <w:color w:val="auto"/>
              </w:rPr>
            </w:pPr>
          </w:p>
        </w:tc>
        <w:tc>
          <w:tcPr>
            <w:tcW w:w="1060" w:type="dxa"/>
            <w:vAlign w:val="bottom"/>
            <w:vMerge w:val="continue"/>
            <w:shd w:val="clear" w:color="auto" w:fill="2B338D"/>
          </w:tcPr>
          <w:p>
            <w:pPr>
              <w:spacing w:after="0"/>
              <w:rPr>
                <w:sz w:val="7"/>
                <w:szCs w:val="7"/>
                <w:color w:val="auto"/>
              </w:rPr>
            </w:pPr>
          </w:p>
        </w:tc>
        <w:tc>
          <w:tcPr>
            <w:tcW w:w="960" w:type="dxa"/>
            <w:vAlign w:val="bottom"/>
            <w:vMerge w:val="continue"/>
            <w:shd w:val="clear" w:color="auto" w:fill="2B338D"/>
          </w:tcPr>
          <w:p>
            <w:pPr>
              <w:spacing w:after="0"/>
              <w:rPr>
                <w:sz w:val="7"/>
                <w:szCs w:val="7"/>
                <w:color w:val="auto"/>
              </w:rPr>
            </w:pPr>
          </w:p>
        </w:tc>
        <w:tc>
          <w:tcPr>
            <w:tcW w:w="1240" w:type="dxa"/>
            <w:vAlign w:val="bottom"/>
            <w:vMerge w:val="restart"/>
            <w:shd w:val="clear" w:color="auto" w:fill="2B338D"/>
          </w:tcPr>
          <w:p>
            <w:pPr>
              <w:jc w:val="right"/>
              <w:ind w:right="148"/>
              <w:spacing w:after="0" w:line="249" w:lineRule="exact"/>
              <w:rPr>
                <w:sz w:val="20"/>
                <w:szCs w:val="20"/>
                <w:color w:val="auto"/>
              </w:rPr>
            </w:pPr>
            <w:r>
              <w:rPr>
                <w:rFonts w:ascii="Arial" w:cs="Arial" w:eastAsia="Arial" w:hAnsi="Arial"/>
                <w:sz w:val="28"/>
                <w:szCs w:val="28"/>
                <w:b w:val="1"/>
                <w:bCs w:val="1"/>
                <w:color w:val="FFFFFF"/>
                <w:vertAlign w:val="subscript"/>
              </w:rPr>
              <w:t>($)</w:t>
            </w:r>
            <w:r>
              <w:rPr>
                <w:rFonts w:ascii="Arial" w:cs="Arial" w:eastAsia="Arial" w:hAnsi="Arial"/>
                <w:sz w:val="10"/>
                <w:szCs w:val="10"/>
                <w:b w:val="1"/>
                <w:bCs w:val="1"/>
                <w:color w:val="FFFFFF"/>
              </w:rPr>
              <w:t>(1)</w:t>
            </w:r>
          </w:p>
        </w:tc>
        <w:tc>
          <w:tcPr>
            <w:tcW w:w="1060" w:type="dxa"/>
            <w:vAlign w:val="bottom"/>
            <w:vMerge w:val="restart"/>
            <w:shd w:val="clear" w:color="auto" w:fill="2B338D"/>
          </w:tcPr>
          <w:p>
            <w:pPr>
              <w:jc w:val="right"/>
              <w:ind w:right="128"/>
              <w:spacing w:after="0" w:line="249" w:lineRule="exact"/>
              <w:rPr>
                <w:sz w:val="20"/>
                <w:szCs w:val="20"/>
                <w:color w:val="auto"/>
              </w:rPr>
            </w:pPr>
            <w:r>
              <w:rPr>
                <w:rFonts w:ascii="Arial" w:cs="Arial" w:eastAsia="Arial" w:hAnsi="Arial"/>
                <w:sz w:val="28"/>
                <w:szCs w:val="28"/>
                <w:b w:val="1"/>
                <w:bCs w:val="1"/>
                <w:color w:val="FFFFFF"/>
                <w:vertAlign w:val="subscript"/>
              </w:rPr>
              <w:t>($)</w:t>
            </w:r>
            <w:r>
              <w:rPr>
                <w:rFonts w:ascii="Arial" w:cs="Arial" w:eastAsia="Arial" w:hAnsi="Arial"/>
                <w:sz w:val="10"/>
                <w:szCs w:val="10"/>
                <w:b w:val="1"/>
                <w:bCs w:val="1"/>
                <w:color w:val="FFFFFF"/>
              </w:rPr>
              <w:t>(5)</w:t>
            </w:r>
          </w:p>
        </w:tc>
        <w:tc>
          <w:tcPr>
            <w:tcW w:w="1500" w:type="dxa"/>
            <w:vAlign w:val="bottom"/>
            <w:vMerge w:val="continue"/>
            <w:shd w:val="clear" w:color="auto" w:fill="2B338D"/>
          </w:tcPr>
          <w:p>
            <w:pPr>
              <w:spacing w:after="0"/>
              <w:rPr>
                <w:sz w:val="7"/>
                <w:szCs w:val="7"/>
                <w:color w:val="auto"/>
              </w:rPr>
            </w:pPr>
          </w:p>
        </w:tc>
        <w:tc>
          <w:tcPr>
            <w:tcW w:w="1480" w:type="dxa"/>
            <w:vAlign w:val="bottom"/>
            <w:vMerge w:val="continue"/>
            <w:shd w:val="clear" w:color="auto" w:fill="2B338D"/>
          </w:tcPr>
          <w:p>
            <w:pPr>
              <w:spacing w:after="0"/>
              <w:rPr>
                <w:sz w:val="7"/>
                <w:szCs w:val="7"/>
                <w:color w:val="auto"/>
              </w:rPr>
            </w:pPr>
          </w:p>
        </w:tc>
        <w:tc>
          <w:tcPr>
            <w:tcW w:w="1000" w:type="dxa"/>
            <w:vAlign w:val="bottom"/>
            <w:vMerge w:val="continue"/>
            <w:shd w:val="clear" w:color="auto" w:fill="009ADA"/>
          </w:tcPr>
          <w:p>
            <w:pPr>
              <w:spacing w:after="0"/>
              <w:rPr>
                <w:sz w:val="7"/>
                <w:szCs w:val="7"/>
                <w:color w:val="auto"/>
              </w:rPr>
            </w:pPr>
          </w:p>
        </w:tc>
        <w:tc>
          <w:tcPr>
            <w:tcW w:w="140" w:type="dxa"/>
            <w:vAlign w:val="bottom"/>
            <w:shd w:val="clear" w:color="auto" w:fill="009ADA"/>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2040" w:type="dxa"/>
            <w:vAlign w:val="bottom"/>
            <w:vMerge w:val="restart"/>
            <w:shd w:val="clear" w:color="auto" w:fill="000000"/>
          </w:tcPr>
          <w:p>
            <w:pPr>
              <w:ind w:left="100"/>
              <w:spacing w:after="0"/>
              <w:rPr>
                <w:sz w:val="20"/>
                <w:szCs w:val="20"/>
                <w:color w:val="auto"/>
              </w:rPr>
            </w:pPr>
            <w:r>
              <w:rPr>
                <w:rFonts w:ascii="Arial" w:cs="Arial" w:eastAsia="Arial" w:hAnsi="Arial"/>
                <w:sz w:val="16"/>
                <w:szCs w:val="16"/>
                <w:b w:val="1"/>
                <w:bCs w:val="1"/>
                <w:color w:val="FFFFFF"/>
              </w:rPr>
              <w:t>Position</w:t>
            </w:r>
          </w:p>
        </w:tc>
        <w:tc>
          <w:tcPr>
            <w:tcW w:w="760" w:type="dxa"/>
            <w:vAlign w:val="bottom"/>
            <w:vMerge w:val="restart"/>
            <w:shd w:val="clear" w:color="auto" w:fill="2B338D"/>
          </w:tcPr>
          <w:p>
            <w:pPr>
              <w:ind w:left="220"/>
              <w:spacing w:after="0"/>
              <w:rPr>
                <w:sz w:val="20"/>
                <w:szCs w:val="20"/>
                <w:color w:val="auto"/>
              </w:rPr>
            </w:pPr>
            <w:r>
              <w:rPr>
                <w:rFonts w:ascii="Arial" w:cs="Arial" w:eastAsia="Arial" w:hAnsi="Arial"/>
                <w:sz w:val="16"/>
                <w:szCs w:val="16"/>
                <w:b w:val="1"/>
                <w:bCs w:val="1"/>
                <w:color w:val="FFFFFF"/>
              </w:rPr>
              <w:t>Year</w:t>
            </w:r>
          </w:p>
        </w:tc>
        <w:tc>
          <w:tcPr>
            <w:tcW w:w="1060" w:type="dxa"/>
            <w:vAlign w:val="bottom"/>
            <w:vMerge w:val="restart"/>
            <w:shd w:val="clear" w:color="auto" w:fill="2B338D"/>
          </w:tcPr>
          <w:p>
            <w:pPr>
              <w:jc w:val="right"/>
              <w:ind w:right="147"/>
              <w:spacing w:after="0"/>
              <w:rPr>
                <w:sz w:val="20"/>
                <w:szCs w:val="20"/>
                <w:color w:val="auto"/>
              </w:rPr>
            </w:pPr>
            <w:r>
              <w:rPr>
                <w:rFonts w:ascii="Arial" w:cs="Arial" w:eastAsia="Arial" w:hAnsi="Arial"/>
                <w:sz w:val="16"/>
                <w:szCs w:val="16"/>
                <w:b w:val="1"/>
                <w:bCs w:val="1"/>
                <w:color w:val="FFFFFF"/>
              </w:rPr>
              <w:t>($)</w:t>
            </w:r>
          </w:p>
        </w:tc>
        <w:tc>
          <w:tcPr>
            <w:tcW w:w="960" w:type="dxa"/>
            <w:vAlign w:val="bottom"/>
            <w:vMerge w:val="restart"/>
            <w:shd w:val="clear" w:color="auto" w:fill="2B338D"/>
          </w:tcPr>
          <w:p>
            <w:pPr>
              <w:jc w:val="right"/>
              <w:ind w:right="127"/>
              <w:spacing w:after="0"/>
              <w:rPr>
                <w:sz w:val="20"/>
                <w:szCs w:val="20"/>
                <w:color w:val="auto"/>
              </w:rPr>
            </w:pPr>
            <w:r>
              <w:rPr>
                <w:rFonts w:ascii="Arial" w:cs="Arial" w:eastAsia="Arial" w:hAnsi="Arial"/>
                <w:sz w:val="16"/>
                <w:szCs w:val="16"/>
                <w:b w:val="1"/>
                <w:bCs w:val="1"/>
                <w:color w:val="FFFFFF"/>
              </w:rPr>
              <w:t>($)</w:t>
            </w:r>
          </w:p>
        </w:tc>
        <w:tc>
          <w:tcPr>
            <w:tcW w:w="1240" w:type="dxa"/>
            <w:vAlign w:val="bottom"/>
            <w:vMerge w:val="continue"/>
            <w:shd w:val="clear" w:color="auto" w:fill="2B338D"/>
          </w:tcPr>
          <w:p>
            <w:pPr>
              <w:spacing w:after="0"/>
              <w:rPr>
                <w:sz w:val="14"/>
                <w:szCs w:val="14"/>
                <w:color w:val="auto"/>
              </w:rPr>
            </w:pPr>
          </w:p>
        </w:tc>
        <w:tc>
          <w:tcPr>
            <w:tcW w:w="1060" w:type="dxa"/>
            <w:vAlign w:val="bottom"/>
            <w:vMerge w:val="continue"/>
            <w:shd w:val="clear" w:color="auto" w:fill="2B338D"/>
          </w:tcPr>
          <w:p>
            <w:pPr>
              <w:spacing w:after="0"/>
              <w:rPr>
                <w:sz w:val="14"/>
                <w:szCs w:val="14"/>
                <w:color w:val="auto"/>
              </w:rPr>
            </w:pPr>
          </w:p>
        </w:tc>
        <w:tc>
          <w:tcPr>
            <w:tcW w:w="1500" w:type="dxa"/>
            <w:vAlign w:val="bottom"/>
            <w:vMerge w:val="restart"/>
            <w:shd w:val="clear" w:color="auto" w:fill="2B338D"/>
          </w:tcPr>
          <w:p>
            <w:pPr>
              <w:jc w:val="right"/>
              <w:ind w:right="106"/>
              <w:spacing w:after="0"/>
              <w:rPr>
                <w:sz w:val="20"/>
                <w:szCs w:val="20"/>
                <w:color w:val="auto"/>
              </w:rPr>
            </w:pPr>
            <w:r>
              <w:rPr>
                <w:rFonts w:ascii="Arial" w:cs="Arial" w:eastAsia="Arial" w:hAnsi="Arial"/>
                <w:sz w:val="16"/>
                <w:szCs w:val="16"/>
                <w:b w:val="1"/>
                <w:bCs w:val="1"/>
                <w:color w:val="FFFFFF"/>
              </w:rPr>
              <w:t>($)</w:t>
            </w:r>
          </w:p>
        </w:tc>
        <w:tc>
          <w:tcPr>
            <w:tcW w:w="1480" w:type="dxa"/>
            <w:vAlign w:val="bottom"/>
            <w:vMerge w:val="restart"/>
            <w:shd w:val="clear" w:color="auto" w:fill="2B338D"/>
          </w:tcPr>
          <w:p>
            <w:pPr>
              <w:jc w:val="right"/>
              <w:ind w:right="66"/>
              <w:spacing w:after="0"/>
              <w:rPr>
                <w:sz w:val="20"/>
                <w:szCs w:val="20"/>
                <w:color w:val="auto"/>
              </w:rPr>
            </w:pPr>
            <w:r>
              <w:rPr>
                <w:rFonts w:ascii="Arial" w:cs="Arial" w:eastAsia="Arial" w:hAnsi="Arial"/>
                <w:sz w:val="16"/>
                <w:szCs w:val="16"/>
                <w:b w:val="1"/>
                <w:bCs w:val="1"/>
                <w:color w:val="FFFFFF"/>
              </w:rPr>
              <w:t>($)</w:t>
            </w:r>
          </w:p>
        </w:tc>
        <w:tc>
          <w:tcPr>
            <w:tcW w:w="1000" w:type="dxa"/>
            <w:vAlign w:val="bottom"/>
            <w:vMerge w:val="restart"/>
            <w:shd w:val="clear" w:color="auto" w:fill="009ADA"/>
          </w:tcPr>
          <w:p>
            <w:pPr>
              <w:jc w:val="right"/>
              <w:spacing w:after="0"/>
              <w:rPr>
                <w:sz w:val="20"/>
                <w:szCs w:val="20"/>
                <w:color w:val="auto"/>
              </w:rPr>
            </w:pPr>
            <w:r>
              <w:rPr>
                <w:rFonts w:ascii="Arial" w:cs="Arial" w:eastAsia="Arial" w:hAnsi="Arial"/>
                <w:sz w:val="16"/>
                <w:szCs w:val="16"/>
                <w:b w:val="1"/>
                <w:bCs w:val="1"/>
                <w:color w:val="FFFFFF"/>
              </w:rPr>
              <w:t>($)</w:t>
            </w:r>
          </w:p>
        </w:tc>
        <w:tc>
          <w:tcPr>
            <w:tcW w:w="140" w:type="dxa"/>
            <w:vAlign w:val="bottom"/>
            <w:shd w:val="clear" w:color="auto" w:fill="009ADA"/>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40" w:type="dxa"/>
            <w:vAlign w:val="bottom"/>
            <w:vMerge w:val="continue"/>
            <w:shd w:val="clear" w:color="auto" w:fill="000000"/>
          </w:tcPr>
          <w:p>
            <w:pPr>
              <w:spacing w:after="0"/>
              <w:rPr>
                <w:sz w:val="4"/>
                <w:szCs w:val="4"/>
                <w:color w:val="auto"/>
              </w:rPr>
            </w:pPr>
          </w:p>
        </w:tc>
        <w:tc>
          <w:tcPr>
            <w:tcW w:w="760" w:type="dxa"/>
            <w:vAlign w:val="bottom"/>
            <w:vMerge w:val="continue"/>
            <w:shd w:val="clear" w:color="auto" w:fill="2B338D"/>
          </w:tcPr>
          <w:p>
            <w:pPr>
              <w:spacing w:after="0"/>
              <w:rPr>
                <w:sz w:val="4"/>
                <w:szCs w:val="4"/>
                <w:color w:val="auto"/>
              </w:rPr>
            </w:pPr>
          </w:p>
        </w:tc>
        <w:tc>
          <w:tcPr>
            <w:tcW w:w="1060" w:type="dxa"/>
            <w:vAlign w:val="bottom"/>
            <w:vMerge w:val="continue"/>
            <w:shd w:val="clear" w:color="auto" w:fill="2B338D"/>
          </w:tcPr>
          <w:p>
            <w:pPr>
              <w:spacing w:after="0"/>
              <w:rPr>
                <w:sz w:val="4"/>
                <w:szCs w:val="4"/>
                <w:color w:val="auto"/>
              </w:rPr>
            </w:pPr>
          </w:p>
        </w:tc>
        <w:tc>
          <w:tcPr>
            <w:tcW w:w="960" w:type="dxa"/>
            <w:vAlign w:val="bottom"/>
            <w:vMerge w:val="continue"/>
            <w:shd w:val="clear" w:color="auto" w:fill="2B338D"/>
          </w:tcPr>
          <w:p>
            <w:pPr>
              <w:spacing w:after="0"/>
              <w:rPr>
                <w:sz w:val="4"/>
                <w:szCs w:val="4"/>
                <w:color w:val="auto"/>
              </w:rPr>
            </w:pPr>
          </w:p>
        </w:tc>
        <w:tc>
          <w:tcPr>
            <w:tcW w:w="1240" w:type="dxa"/>
            <w:vAlign w:val="bottom"/>
            <w:shd w:val="clear" w:color="auto" w:fill="2B338D"/>
          </w:tcPr>
          <w:p>
            <w:pPr>
              <w:spacing w:after="0"/>
              <w:rPr>
                <w:sz w:val="4"/>
                <w:szCs w:val="4"/>
                <w:color w:val="auto"/>
              </w:rPr>
            </w:pPr>
          </w:p>
        </w:tc>
        <w:tc>
          <w:tcPr>
            <w:tcW w:w="1060" w:type="dxa"/>
            <w:vAlign w:val="bottom"/>
            <w:shd w:val="clear" w:color="auto" w:fill="2B338D"/>
          </w:tcPr>
          <w:p>
            <w:pPr>
              <w:spacing w:after="0"/>
              <w:rPr>
                <w:sz w:val="4"/>
                <w:szCs w:val="4"/>
                <w:color w:val="auto"/>
              </w:rPr>
            </w:pPr>
          </w:p>
        </w:tc>
        <w:tc>
          <w:tcPr>
            <w:tcW w:w="1500" w:type="dxa"/>
            <w:vAlign w:val="bottom"/>
            <w:vMerge w:val="continue"/>
            <w:shd w:val="clear" w:color="auto" w:fill="2B338D"/>
          </w:tcPr>
          <w:p>
            <w:pPr>
              <w:spacing w:after="0"/>
              <w:rPr>
                <w:sz w:val="4"/>
                <w:szCs w:val="4"/>
                <w:color w:val="auto"/>
              </w:rPr>
            </w:pPr>
          </w:p>
        </w:tc>
        <w:tc>
          <w:tcPr>
            <w:tcW w:w="1480" w:type="dxa"/>
            <w:vAlign w:val="bottom"/>
            <w:vMerge w:val="continue"/>
            <w:shd w:val="clear" w:color="auto" w:fill="2B338D"/>
          </w:tcPr>
          <w:p>
            <w:pPr>
              <w:spacing w:after="0"/>
              <w:rPr>
                <w:sz w:val="4"/>
                <w:szCs w:val="4"/>
                <w:color w:val="auto"/>
              </w:rPr>
            </w:pPr>
          </w:p>
        </w:tc>
        <w:tc>
          <w:tcPr>
            <w:tcW w:w="1000" w:type="dxa"/>
            <w:vAlign w:val="bottom"/>
            <w:vMerge w:val="continue"/>
            <w:shd w:val="clear" w:color="auto" w:fill="009ADA"/>
          </w:tcPr>
          <w:p>
            <w:pPr>
              <w:spacing w:after="0"/>
              <w:rPr>
                <w:sz w:val="4"/>
                <w:szCs w:val="4"/>
                <w:color w:val="auto"/>
              </w:rPr>
            </w:pPr>
          </w:p>
        </w:tc>
        <w:tc>
          <w:tcPr>
            <w:tcW w:w="140" w:type="dxa"/>
            <w:vAlign w:val="bottom"/>
            <w:shd w:val="clear" w:color="auto" w:fill="009ADA"/>
          </w:tcPr>
          <w:p>
            <w:pPr>
              <w:spacing w:after="0"/>
              <w:rPr>
                <w:sz w:val="4"/>
                <w:szCs w:val="4"/>
                <w:color w:val="auto"/>
              </w:rPr>
            </w:pPr>
          </w:p>
        </w:tc>
        <w:tc>
          <w:tcPr>
            <w:tcW w:w="0" w:type="dxa"/>
            <w:vAlign w:val="bottom"/>
          </w:tcPr>
          <w:p>
            <w:pPr>
              <w:spacing w:after="0"/>
              <w:rPr>
                <w:sz w:val="1"/>
                <w:szCs w:val="1"/>
                <w:color w:val="auto"/>
              </w:rPr>
            </w:pPr>
          </w:p>
        </w:tc>
      </w:tr>
      <w:tr>
        <w:trPr>
          <w:trHeight w:val="73"/>
        </w:trPr>
        <w:tc>
          <w:tcPr>
            <w:tcW w:w="2040" w:type="dxa"/>
            <w:vAlign w:val="bottom"/>
            <w:shd w:val="clear" w:color="auto" w:fill="000000"/>
          </w:tcPr>
          <w:p>
            <w:pPr>
              <w:spacing w:after="0"/>
              <w:rPr>
                <w:sz w:val="6"/>
                <w:szCs w:val="6"/>
                <w:color w:val="auto"/>
              </w:rPr>
            </w:pPr>
          </w:p>
        </w:tc>
        <w:tc>
          <w:tcPr>
            <w:tcW w:w="760" w:type="dxa"/>
            <w:vAlign w:val="bottom"/>
            <w:shd w:val="clear" w:color="auto" w:fill="2B338D"/>
          </w:tcPr>
          <w:p>
            <w:pPr>
              <w:spacing w:after="0"/>
              <w:rPr>
                <w:sz w:val="6"/>
                <w:szCs w:val="6"/>
                <w:color w:val="auto"/>
              </w:rPr>
            </w:pPr>
          </w:p>
        </w:tc>
        <w:tc>
          <w:tcPr>
            <w:tcW w:w="1060" w:type="dxa"/>
            <w:vAlign w:val="bottom"/>
            <w:shd w:val="clear" w:color="auto" w:fill="2B338D"/>
          </w:tcPr>
          <w:p>
            <w:pPr>
              <w:spacing w:after="0"/>
              <w:rPr>
                <w:sz w:val="6"/>
                <w:szCs w:val="6"/>
                <w:color w:val="auto"/>
              </w:rPr>
            </w:pPr>
          </w:p>
        </w:tc>
        <w:tc>
          <w:tcPr>
            <w:tcW w:w="960" w:type="dxa"/>
            <w:vAlign w:val="bottom"/>
            <w:shd w:val="clear" w:color="auto" w:fill="2B338D"/>
          </w:tcPr>
          <w:p>
            <w:pPr>
              <w:spacing w:after="0"/>
              <w:rPr>
                <w:sz w:val="6"/>
                <w:szCs w:val="6"/>
                <w:color w:val="auto"/>
              </w:rPr>
            </w:pPr>
          </w:p>
        </w:tc>
        <w:tc>
          <w:tcPr>
            <w:tcW w:w="1240" w:type="dxa"/>
            <w:vAlign w:val="bottom"/>
            <w:shd w:val="clear" w:color="auto" w:fill="2B338D"/>
          </w:tcPr>
          <w:p>
            <w:pPr>
              <w:spacing w:after="0"/>
              <w:rPr>
                <w:sz w:val="6"/>
                <w:szCs w:val="6"/>
                <w:color w:val="auto"/>
              </w:rPr>
            </w:pPr>
          </w:p>
        </w:tc>
        <w:tc>
          <w:tcPr>
            <w:tcW w:w="1060" w:type="dxa"/>
            <w:vAlign w:val="bottom"/>
            <w:shd w:val="clear" w:color="auto" w:fill="2B338D"/>
          </w:tcPr>
          <w:p>
            <w:pPr>
              <w:spacing w:after="0"/>
              <w:rPr>
                <w:sz w:val="6"/>
                <w:szCs w:val="6"/>
                <w:color w:val="auto"/>
              </w:rPr>
            </w:pPr>
          </w:p>
        </w:tc>
        <w:tc>
          <w:tcPr>
            <w:tcW w:w="1500" w:type="dxa"/>
            <w:vAlign w:val="bottom"/>
            <w:shd w:val="clear" w:color="auto" w:fill="2B338D"/>
          </w:tcPr>
          <w:p>
            <w:pPr>
              <w:spacing w:after="0"/>
              <w:rPr>
                <w:sz w:val="6"/>
                <w:szCs w:val="6"/>
                <w:color w:val="auto"/>
              </w:rPr>
            </w:pPr>
          </w:p>
        </w:tc>
        <w:tc>
          <w:tcPr>
            <w:tcW w:w="1480" w:type="dxa"/>
            <w:vAlign w:val="bottom"/>
            <w:shd w:val="clear" w:color="auto" w:fill="2B338D"/>
          </w:tcPr>
          <w:p>
            <w:pPr>
              <w:spacing w:after="0"/>
              <w:rPr>
                <w:sz w:val="6"/>
                <w:szCs w:val="6"/>
                <w:color w:val="auto"/>
              </w:rPr>
            </w:pPr>
          </w:p>
        </w:tc>
        <w:tc>
          <w:tcPr>
            <w:tcW w:w="1000" w:type="dxa"/>
            <w:vAlign w:val="bottom"/>
            <w:shd w:val="clear" w:color="auto" w:fill="009ADA"/>
          </w:tcPr>
          <w:p>
            <w:pPr>
              <w:spacing w:after="0"/>
              <w:rPr>
                <w:sz w:val="6"/>
                <w:szCs w:val="6"/>
                <w:color w:val="auto"/>
              </w:rPr>
            </w:pPr>
          </w:p>
        </w:tc>
        <w:tc>
          <w:tcPr>
            <w:tcW w:w="140" w:type="dxa"/>
            <w:vAlign w:val="bottom"/>
            <w:shd w:val="clear" w:color="auto" w:fill="009ADA"/>
          </w:tcPr>
          <w:p>
            <w:pPr>
              <w:spacing w:after="0"/>
              <w:rPr>
                <w:sz w:val="6"/>
                <w:szCs w:val="6"/>
                <w:color w:val="auto"/>
              </w:rPr>
            </w:pPr>
          </w:p>
        </w:tc>
        <w:tc>
          <w:tcPr>
            <w:tcW w:w="0" w:type="dxa"/>
            <w:vAlign w:val="bottom"/>
          </w:tcPr>
          <w:p>
            <w:pPr>
              <w:spacing w:after="0"/>
              <w:rPr>
                <w:sz w:val="1"/>
                <w:szCs w:val="1"/>
                <w:color w:val="auto"/>
              </w:rPr>
            </w:pPr>
          </w:p>
        </w:tc>
      </w:tr>
      <w:tr>
        <w:trPr>
          <w:trHeight w:val="331"/>
        </w:trPr>
        <w:tc>
          <w:tcPr>
            <w:tcW w:w="204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Jay Chaudhry</w:t>
            </w:r>
          </w:p>
        </w:tc>
        <w:tc>
          <w:tcPr>
            <w:tcW w:w="760" w:type="dxa"/>
            <w:vAlign w:val="bottom"/>
          </w:tcPr>
          <w:p>
            <w:pPr>
              <w:ind w:left="220"/>
              <w:spacing w:after="0"/>
              <w:rPr>
                <w:sz w:val="20"/>
                <w:szCs w:val="20"/>
                <w:color w:val="auto"/>
              </w:rPr>
            </w:pPr>
            <w:r>
              <w:rPr>
                <w:rFonts w:ascii="Arial" w:cs="Arial" w:eastAsia="Arial" w:hAnsi="Arial"/>
                <w:sz w:val="14"/>
                <w:szCs w:val="14"/>
                <w:color w:val="auto"/>
              </w:rPr>
              <w:t>2021</w:t>
            </w:r>
          </w:p>
        </w:tc>
        <w:tc>
          <w:tcPr>
            <w:tcW w:w="1060" w:type="dxa"/>
            <w:vAlign w:val="bottom"/>
          </w:tcPr>
          <w:p>
            <w:pPr>
              <w:jc w:val="right"/>
              <w:ind w:right="147"/>
              <w:spacing w:after="0"/>
              <w:rPr>
                <w:sz w:val="20"/>
                <w:szCs w:val="20"/>
                <w:color w:val="auto"/>
              </w:rPr>
            </w:pPr>
            <w:r>
              <w:rPr>
                <w:rFonts w:ascii="Arial" w:cs="Arial" w:eastAsia="Arial" w:hAnsi="Arial"/>
                <w:sz w:val="14"/>
                <w:szCs w:val="14"/>
                <w:color w:val="auto"/>
              </w:rPr>
              <w:t>23,660</w:t>
            </w:r>
          </w:p>
        </w:tc>
        <w:tc>
          <w:tcPr>
            <w:tcW w:w="960" w:type="dxa"/>
            <w:vAlign w:val="bottom"/>
          </w:tcPr>
          <w:p>
            <w:pPr>
              <w:jc w:val="right"/>
              <w:ind w:right="127"/>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19,975,500</w:t>
            </w:r>
            <w:r>
              <w:rPr>
                <w:rFonts w:ascii="Arial" w:cs="Arial" w:eastAsia="Arial" w:hAnsi="Arial"/>
                <w:sz w:val="18"/>
                <w:szCs w:val="18"/>
                <w:color w:val="auto"/>
                <w:vertAlign w:val="superscript"/>
              </w:rPr>
              <w:t>(2)</w:t>
            </w: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106"/>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66"/>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19,999,160</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2040" w:type="dxa"/>
            <w:vAlign w:val="bottom"/>
            <w:vMerge w:val="continue"/>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1500" w:type="dxa"/>
            <w:vAlign w:val="bottom"/>
            <w:tcBorders>
              <w:bottom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9"/>
        </w:trPr>
        <w:tc>
          <w:tcPr>
            <w:tcW w:w="2040" w:type="dxa"/>
            <w:vAlign w:val="bottom"/>
            <w:vMerge w:val="continue"/>
          </w:tcPr>
          <w:p>
            <w:pPr>
              <w:spacing w:after="0"/>
              <w:rPr>
                <w:sz w:val="4"/>
                <w:szCs w:val="4"/>
                <w:color w:val="auto"/>
              </w:rPr>
            </w:pPr>
          </w:p>
        </w:tc>
        <w:tc>
          <w:tcPr>
            <w:tcW w:w="760" w:type="dxa"/>
            <w:vAlign w:val="bottom"/>
            <w:vMerge w:val="restart"/>
          </w:tcPr>
          <w:p>
            <w:pPr>
              <w:ind w:left="220"/>
              <w:spacing w:after="0"/>
              <w:rPr>
                <w:sz w:val="20"/>
                <w:szCs w:val="20"/>
                <w:color w:val="auto"/>
              </w:rPr>
            </w:pPr>
            <w:r>
              <w:rPr>
                <w:rFonts w:ascii="Arial" w:cs="Arial" w:eastAsia="Arial" w:hAnsi="Arial"/>
                <w:sz w:val="14"/>
                <w:szCs w:val="14"/>
                <w:color w:val="auto"/>
              </w:rPr>
              <w:t>2020</w:t>
            </w:r>
          </w:p>
        </w:tc>
        <w:tc>
          <w:tcPr>
            <w:tcW w:w="1060" w:type="dxa"/>
            <w:vAlign w:val="bottom"/>
            <w:vMerge w:val="restart"/>
          </w:tcPr>
          <w:p>
            <w:pPr>
              <w:jc w:val="right"/>
              <w:ind w:right="147"/>
              <w:spacing w:after="0"/>
              <w:rPr>
                <w:sz w:val="20"/>
                <w:szCs w:val="20"/>
                <w:color w:val="auto"/>
              </w:rPr>
            </w:pPr>
            <w:r>
              <w:rPr>
                <w:rFonts w:ascii="Arial" w:cs="Arial" w:eastAsia="Arial" w:hAnsi="Arial"/>
                <w:sz w:val="14"/>
                <w:szCs w:val="14"/>
                <w:color w:val="auto"/>
              </w:rPr>
              <w:t>23,660</w:t>
            </w:r>
          </w:p>
        </w:tc>
        <w:tc>
          <w:tcPr>
            <w:tcW w:w="960" w:type="dxa"/>
            <w:vAlign w:val="bottom"/>
            <w:vMerge w:val="restart"/>
          </w:tcPr>
          <w:p>
            <w:pPr>
              <w:jc w:val="right"/>
              <w:ind w:right="127"/>
              <w:spacing w:after="0"/>
              <w:rPr>
                <w:sz w:val="20"/>
                <w:szCs w:val="20"/>
                <w:color w:val="auto"/>
              </w:rPr>
            </w:pPr>
            <w:r>
              <w:rPr>
                <w:rFonts w:ascii="Arial" w:cs="Arial" w:eastAsia="Arial" w:hAnsi="Arial"/>
                <w:sz w:val="14"/>
                <w:szCs w:val="14"/>
                <w:color w:val="auto"/>
              </w:rPr>
              <w:t>—</w:t>
            </w:r>
          </w:p>
        </w:tc>
        <w:tc>
          <w:tcPr>
            <w:tcW w:w="1240" w:type="dxa"/>
            <w:vAlign w:val="bottom"/>
            <w:vMerge w:val="restart"/>
          </w:tcPr>
          <w:p>
            <w:pPr>
              <w:jc w:val="right"/>
              <w:ind w:right="148"/>
              <w:spacing w:after="0"/>
              <w:rPr>
                <w:sz w:val="20"/>
                <w:szCs w:val="20"/>
                <w:color w:val="auto"/>
              </w:rPr>
            </w:pPr>
            <w:r>
              <w:rPr>
                <w:rFonts w:ascii="Arial" w:cs="Arial" w:eastAsia="Arial" w:hAnsi="Arial"/>
                <w:sz w:val="14"/>
                <w:szCs w:val="14"/>
                <w:color w:val="auto"/>
              </w:rPr>
              <w:t>6,597,000</w:t>
            </w:r>
            <w:r>
              <w:rPr>
                <w:rFonts w:ascii="Arial" w:cs="Arial" w:eastAsia="Arial" w:hAnsi="Arial"/>
                <w:sz w:val="18"/>
                <w:szCs w:val="18"/>
                <w:color w:val="auto"/>
                <w:vertAlign w:val="superscript"/>
              </w:rPr>
              <w:t>(3)</w:t>
            </w:r>
          </w:p>
        </w:tc>
        <w:tc>
          <w:tcPr>
            <w:tcW w:w="106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1500" w:type="dxa"/>
            <w:vAlign w:val="bottom"/>
            <w:vMerge w:val="restart"/>
          </w:tcPr>
          <w:p>
            <w:pPr>
              <w:jc w:val="right"/>
              <w:ind w:right="106"/>
              <w:spacing w:after="0"/>
              <w:rPr>
                <w:sz w:val="20"/>
                <w:szCs w:val="20"/>
                <w:color w:val="auto"/>
              </w:rPr>
            </w:pPr>
            <w:r>
              <w:rPr>
                <w:rFonts w:ascii="Arial" w:cs="Arial" w:eastAsia="Arial" w:hAnsi="Arial"/>
                <w:sz w:val="14"/>
                <w:szCs w:val="14"/>
                <w:color w:val="auto"/>
              </w:rPr>
              <w:t>—</w:t>
            </w:r>
          </w:p>
        </w:tc>
        <w:tc>
          <w:tcPr>
            <w:tcW w:w="1480" w:type="dxa"/>
            <w:vAlign w:val="bottom"/>
            <w:vMerge w:val="restart"/>
          </w:tcPr>
          <w:p>
            <w:pPr>
              <w:jc w:val="right"/>
              <w:ind w:right="66"/>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6,620,660</w:t>
            </w: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0"/>
        </w:trPr>
        <w:tc>
          <w:tcPr>
            <w:tcW w:w="2040" w:type="dxa"/>
            <w:vAlign w:val="bottom"/>
          </w:tcPr>
          <w:p>
            <w:pPr>
              <w:ind w:left="100"/>
              <w:spacing w:after="0"/>
              <w:rPr>
                <w:sz w:val="20"/>
                <w:szCs w:val="20"/>
                <w:color w:val="auto"/>
              </w:rPr>
            </w:pPr>
            <w:r>
              <w:rPr>
                <w:rFonts w:ascii="Arial" w:cs="Arial" w:eastAsia="Arial" w:hAnsi="Arial"/>
                <w:sz w:val="14"/>
                <w:szCs w:val="14"/>
                <w:color w:val="auto"/>
              </w:rPr>
              <w:t>President and Chief</w:t>
            </w:r>
          </w:p>
        </w:tc>
        <w:tc>
          <w:tcPr>
            <w:tcW w:w="760" w:type="dxa"/>
            <w:vAlign w:val="bottom"/>
            <w:vMerge w:val="continue"/>
          </w:tcPr>
          <w:p>
            <w:pPr>
              <w:spacing w:after="0"/>
              <w:rPr>
                <w:sz w:val="22"/>
                <w:szCs w:val="22"/>
                <w:color w:val="auto"/>
              </w:rPr>
            </w:pPr>
          </w:p>
        </w:tc>
        <w:tc>
          <w:tcPr>
            <w:tcW w:w="1060" w:type="dxa"/>
            <w:vAlign w:val="bottom"/>
            <w:vMerge w:val="continue"/>
          </w:tcPr>
          <w:p>
            <w:pPr>
              <w:spacing w:after="0"/>
              <w:rPr>
                <w:sz w:val="22"/>
                <w:szCs w:val="22"/>
                <w:color w:val="auto"/>
              </w:rPr>
            </w:pPr>
          </w:p>
        </w:tc>
        <w:tc>
          <w:tcPr>
            <w:tcW w:w="960" w:type="dxa"/>
            <w:vAlign w:val="bottom"/>
            <w:vMerge w:val="continue"/>
          </w:tcPr>
          <w:p>
            <w:pPr>
              <w:spacing w:after="0"/>
              <w:rPr>
                <w:sz w:val="22"/>
                <w:szCs w:val="22"/>
                <w:color w:val="auto"/>
              </w:rPr>
            </w:pPr>
          </w:p>
        </w:tc>
        <w:tc>
          <w:tcPr>
            <w:tcW w:w="1240" w:type="dxa"/>
            <w:vAlign w:val="bottom"/>
            <w:vMerge w:val="continue"/>
          </w:tcPr>
          <w:p>
            <w:pPr>
              <w:spacing w:after="0"/>
              <w:rPr>
                <w:sz w:val="22"/>
                <w:szCs w:val="22"/>
                <w:color w:val="auto"/>
              </w:rPr>
            </w:pPr>
          </w:p>
        </w:tc>
        <w:tc>
          <w:tcPr>
            <w:tcW w:w="1060" w:type="dxa"/>
            <w:vAlign w:val="bottom"/>
            <w:vMerge w:val="continue"/>
          </w:tcPr>
          <w:p>
            <w:pPr>
              <w:spacing w:after="0"/>
              <w:rPr>
                <w:sz w:val="22"/>
                <w:szCs w:val="22"/>
                <w:color w:val="auto"/>
              </w:rPr>
            </w:pPr>
          </w:p>
        </w:tc>
        <w:tc>
          <w:tcPr>
            <w:tcW w:w="1500" w:type="dxa"/>
            <w:vAlign w:val="bottom"/>
            <w:vMerge w:val="continue"/>
          </w:tcPr>
          <w:p>
            <w:pPr>
              <w:spacing w:after="0"/>
              <w:rPr>
                <w:sz w:val="22"/>
                <w:szCs w:val="22"/>
                <w:color w:val="auto"/>
              </w:rPr>
            </w:pPr>
          </w:p>
        </w:tc>
        <w:tc>
          <w:tcPr>
            <w:tcW w:w="1480" w:type="dxa"/>
            <w:vAlign w:val="bottom"/>
            <w:vMerge w:val="continue"/>
          </w:tcPr>
          <w:p>
            <w:pPr>
              <w:spacing w:after="0"/>
              <w:rPr>
                <w:sz w:val="22"/>
                <w:szCs w:val="22"/>
                <w:color w:val="auto"/>
              </w:rPr>
            </w:pPr>
          </w:p>
        </w:tc>
        <w:tc>
          <w:tcPr>
            <w:tcW w:w="1000" w:type="dxa"/>
            <w:vAlign w:val="bottom"/>
            <w:vMerge w:val="continue"/>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0"/>
        </w:trPr>
        <w:tc>
          <w:tcPr>
            <w:tcW w:w="2040" w:type="dxa"/>
            <w:vAlign w:val="bottom"/>
            <w:vMerge w:val="restart"/>
          </w:tcPr>
          <w:p>
            <w:pPr>
              <w:ind w:left="100"/>
              <w:spacing w:after="0"/>
              <w:rPr>
                <w:sz w:val="20"/>
                <w:szCs w:val="20"/>
                <w:color w:val="auto"/>
              </w:rPr>
            </w:pPr>
            <w:r>
              <w:rPr>
                <w:rFonts w:ascii="Arial" w:cs="Arial" w:eastAsia="Arial" w:hAnsi="Arial"/>
                <w:sz w:val="14"/>
                <w:szCs w:val="14"/>
                <w:color w:val="auto"/>
              </w:rPr>
              <w:t>Executive Officer</w:t>
            </w:r>
          </w:p>
        </w:tc>
        <w:tc>
          <w:tcPr>
            <w:tcW w:w="76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1500" w:type="dxa"/>
            <w:vAlign w:val="bottom"/>
            <w:tcBorders>
              <w:bottom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40" w:type="dxa"/>
            <w:vAlign w:val="bottom"/>
            <w:vMerge w:val="continue"/>
          </w:tcPr>
          <w:p>
            <w:pPr>
              <w:spacing w:after="0"/>
              <w:rPr>
                <w:sz w:val="5"/>
                <w:szCs w:val="5"/>
                <w:color w:val="auto"/>
              </w:rPr>
            </w:pPr>
          </w:p>
        </w:tc>
        <w:tc>
          <w:tcPr>
            <w:tcW w:w="760" w:type="dxa"/>
            <w:vAlign w:val="bottom"/>
            <w:vMerge w:val="restart"/>
          </w:tcPr>
          <w:p>
            <w:pPr>
              <w:ind w:left="220"/>
              <w:spacing w:after="0"/>
              <w:rPr>
                <w:sz w:val="20"/>
                <w:szCs w:val="20"/>
                <w:color w:val="auto"/>
              </w:rPr>
            </w:pPr>
            <w:r>
              <w:rPr>
                <w:rFonts w:ascii="Arial" w:cs="Arial" w:eastAsia="Arial" w:hAnsi="Arial"/>
                <w:sz w:val="14"/>
                <w:szCs w:val="14"/>
                <w:color w:val="auto"/>
              </w:rPr>
              <w:t>2019</w:t>
            </w:r>
          </w:p>
        </w:tc>
        <w:tc>
          <w:tcPr>
            <w:tcW w:w="1060" w:type="dxa"/>
            <w:vAlign w:val="bottom"/>
            <w:vMerge w:val="restart"/>
          </w:tcPr>
          <w:p>
            <w:pPr>
              <w:jc w:val="right"/>
              <w:ind w:right="147"/>
              <w:spacing w:after="0"/>
              <w:rPr>
                <w:sz w:val="20"/>
                <w:szCs w:val="20"/>
                <w:color w:val="auto"/>
              </w:rPr>
            </w:pPr>
            <w:r>
              <w:rPr>
                <w:rFonts w:ascii="Arial" w:cs="Arial" w:eastAsia="Arial" w:hAnsi="Arial"/>
                <w:sz w:val="14"/>
                <w:szCs w:val="14"/>
                <w:color w:val="auto"/>
              </w:rPr>
              <w:t>23,660</w:t>
            </w:r>
          </w:p>
        </w:tc>
        <w:tc>
          <w:tcPr>
            <w:tcW w:w="960" w:type="dxa"/>
            <w:vAlign w:val="bottom"/>
            <w:vMerge w:val="restart"/>
          </w:tcPr>
          <w:p>
            <w:pPr>
              <w:jc w:val="right"/>
              <w:ind w:right="127"/>
              <w:spacing w:after="0"/>
              <w:rPr>
                <w:sz w:val="20"/>
                <w:szCs w:val="20"/>
                <w:color w:val="auto"/>
              </w:rPr>
            </w:pPr>
            <w:r>
              <w:rPr>
                <w:rFonts w:ascii="Arial" w:cs="Arial" w:eastAsia="Arial" w:hAnsi="Arial"/>
                <w:sz w:val="14"/>
                <w:szCs w:val="14"/>
                <w:color w:val="auto"/>
              </w:rPr>
              <w:t>—</w:t>
            </w:r>
          </w:p>
        </w:tc>
        <w:tc>
          <w:tcPr>
            <w:tcW w:w="1240" w:type="dxa"/>
            <w:vAlign w:val="bottom"/>
            <w:vMerge w:val="restart"/>
          </w:tcPr>
          <w:p>
            <w:pPr>
              <w:jc w:val="right"/>
              <w:ind w:right="148"/>
              <w:spacing w:after="0"/>
              <w:rPr>
                <w:sz w:val="20"/>
                <w:szCs w:val="20"/>
                <w:color w:val="auto"/>
              </w:rPr>
            </w:pPr>
            <w:r>
              <w:rPr>
                <w:rFonts w:ascii="Arial" w:cs="Arial" w:eastAsia="Arial" w:hAnsi="Arial"/>
                <w:sz w:val="14"/>
                <w:szCs w:val="14"/>
                <w:color w:val="auto"/>
              </w:rPr>
              <w:t>5,556,000</w:t>
            </w:r>
            <w:r>
              <w:rPr>
                <w:rFonts w:ascii="Arial" w:cs="Arial" w:eastAsia="Arial" w:hAnsi="Arial"/>
                <w:sz w:val="18"/>
                <w:szCs w:val="18"/>
                <w:color w:val="auto"/>
                <w:vertAlign w:val="superscript"/>
              </w:rPr>
              <w:t>(4)</w:t>
            </w:r>
          </w:p>
        </w:tc>
        <w:tc>
          <w:tcPr>
            <w:tcW w:w="106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1500" w:type="dxa"/>
            <w:vAlign w:val="bottom"/>
            <w:vMerge w:val="restart"/>
          </w:tcPr>
          <w:p>
            <w:pPr>
              <w:jc w:val="right"/>
              <w:ind w:right="106"/>
              <w:spacing w:after="0"/>
              <w:rPr>
                <w:sz w:val="20"/>
                <w:szCs w:val="20"/>
                <w:color w:val="auto"/>
              </w:rPr>
            </w:pPr>
            <w:r>
              <w:rPr>
                <w:rFonts w:ascii="Arial" w:cs="Arial" w:eastAsia="Arial" w:hAnsi="Arial"/>
                <w:sz w:val="14"/>
                <w:szCs w:val="14"/>
                <w:color w:val="auto"/>
              </w:rPr>
              <w:t>—</w:t>
            </w:r>
          </w:p>
        </w:tc>
        <w:tc>
          <w:tcPr>
            <w:tcW w:w="1480" w:type="dxa"/>
            <w:vAlign w:val="bottom"/>
            <w:vMerge w:val="restart"/>
          </w:tcPr>
          <w:p>
            <w:pPr>
              <w:jc w:val="right"/>
              <w:ind w:right="66"/>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5,579,660</w:t>
            </w: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8"/>
        </w:trPr>
        <w:tc>
          <w:tcPr>
            <w:tcW w:w="2040" w:type="dxa"/>
            <w:vAlign w:val="bottom"/>
          </w:tcPr>
          <w:p>
            <w:pPr>
              <w:spacing w:after="0"/>
              <w:rPr>
                <w:sz w:val="21"/>
                <w:szCs w:val="21"/>
                <w:color w:val="auto"/>
              </w:rPr>
            </w:pPr>
          </w:p>
        </w:tc>
        <w:tc>
          <w:tcPr>
            <w:tcW w:w="760" w:type="dxa"/>
            <w:vAlign w:val="bottom"/>
            <w:vMerge w:val="continue"/>
          </w:tcPr>
          <w:p>
            <w:pPr>
              <w:spacing w:after="0"/>
              <w:rPr>
                <w:sz w:val="21"/>
                <w:szCs w:val="21"/>
                <w:color w:val="auto"/>
              </w:rPr>
            </w:pPr>
          </w:p>
        </w:tc>
        <w:tc>
          <w:tcPr>
            <w:tcW w:w="1060" w:type="dxa"/>
            <w:vAlign w:val="bottom"/>
            <w:vMerge w:val="continue"/>
          </w:tcPr>
          <w:p>
            <w:pPr>
              <w:spacing w:after="0"/>
              <w:rPr>
                <w:sz w:val="21"/>
                <w:szCs w:val="21"/>
                <w:color w:val="auto"/>
              </w:rPr>
            </w:pPr>
          </w:p>
        </w:tc>
        <w:tc>
          <w:tcPr>
            <w:tcW w:w="960" w:type="dxa"/>
            <w:vAlign w:val="bottom"/>
            <w:vMerge w:val="continue"/>
          </w:tcPr>
          <w:p>
            <w:pPr>
              <w:spacing w:after="0"/>
              <w:rPr>
                <w:sz w:val="21"/>
                <w:szCs w:val="21"/>
                <w:color w:val="auto"/>
              </w:rPr>
            </w:pPr>
          </w:p>
        </w:tc>
        <w:tc>
          <w:tcPr>
            <w:tcW w:w="1240" w:type="dxa"/>
            <w:vAlign w:val="bottom"/>
            <w:vMerge w:val="continue"/>
          </w:tcPr>
          <w:p>
            <w:pPr>
              <w:spacing w:after="0"/>
              <w:rPr>
                <w:sz w:val="21"/>
                <w:szCs w:val="21"/>
                <w:color w:val="auto"/>
              </w:rPr>
            </w:pPr>
          </w:p>
        </w:tc>
        <w:tc>
          <w:tcPr>
            <w:tcW w:w="1060" w:type="dxa"/>
            <w:vAlign w:val="bottom"/>
            <w:vMerge w:val="continue"/>
          </w:tcPr>
          <w:p>
            <w:pPr>
              <w:spacing w:after="0"/>
              <w:rPr>
                <w:sz w:val="21"/>
                <w:szCs w:val="21"/>
                <w:color w:val="auto"/>
              </w:rPr>
            </w:pPr>
          </w:p>
        </w:tc>
        <w:tc>
          <w:tcPr>
            <w:tcW w:w="1500" w:type="dxa"/>
            <w:vAlign w:val="bottom"/>
            <w:vMerge w:val="continue"/>
          </w:tcPr>
          <w:p>
            <w:pPr>
              <w:spacing w:after="0"/>
              <w:rPr>
                <w:sz w:val="21"/>
                <w:szCs w:val="21"/>
                <w:color w:val="auto"/>
              </w:rPr>
            </w:pPr>
          </w:p>
        </w:tc>
        <w:tc>
          <w:tcPr>
            <w:tcW w:w="1480" w:type="dxa"/>
            <w:vAlign w:val="bottom"/>
            <w:vMerge w:val="continue"/>
          </w:tcPr>
          <w:p>
            <w:pPr>
              <w:spacing w:after="0"/>
              <w:rPr>
                <w:sz w:val="21"/>
                <w:szCs w:val="21"/>
                <w:color w:val="auto"/>
              </w:rPr>
            </w:pPr>
          </w:p>
        </w:tc>
        <w:tc>
          <w:tcPr>
            <w:tcW w:w="100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204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1500" w:type="dxa"/>
            <w:vAlign w:val="bottom"/>
            <w:tcBorders>
              <w:bottom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10"/>
        </w:trPr>
        <w:tc>
          <w:tcPr>
            <w:tcW w:w="2040" w:type="dxa"/>
            <w:vAlign w:val="bottom"/>
          </w:tcPr>
          <w:p>
            <w:pPr>
              <w:spacing w:after="0"/>
              <w:rPr>
                <w:sz w:val="24"/>
                <w:szCs w:val="24"/>
                <w:color w:val="auto"/>
              </w:rPr>
            </w:pPr>
          </w:p>
        </w:tc>
        <w:tc>
          <w:tcPr>
            <w:tcW w:w="760" w:type="dxa"/>
            <w:vAlign w:val="bottom"/>
          </w:tcPr>
          <w:p>
            <w:pPr>
              <w:ind w:left="220"/>
              <w:spacing w:after="0"/>
              <w:rPr>
                <w:sz w:val="20"/>
                <w:szCs w:val="20"/>
                <w:color w:val="auto"/>
              </w:rPr>
            </w:pPr>
            <w:r>
              <w:rPr>
                <w:rFonts w:ascii="Arial" w:cs="Arial" w:eastAsia="Arial" w:hAnsi="Arial"/>
                <w:sz w:val="14"/>
                <w:szCs w:val="14"/>
                <w:color w:val="auto"/>
              </w:rPr>
              <w:t>2021</w:t>
            </w:r>
          </w:p>
        </w:tc>
        <w:tc>
          <w:tcPr>
            <w:tcW w:w="1060" w:type="dxa"/>
            <w:vAlign w:val="bottom"/>
          </w:tcPr>
          <w:p>
            <w:pPr>
              <w:jc w:val="right"/>
              <w:ind w:right="147"/>
              <w:spacing w:after="0"/>
              <w:rPr>
                <w:sz w:val="20"/>
                <w:szCs w:val="20"/>
                <w:color w:val="auto"/>
              </w:rPr>
            </w:pPr>
            <w:r>
              <w:rPr>
                <w:rFonts w:ascii="Arial" w:cs="Arial" w:eastAsia="Arial" w:hAnsi="Arial"/>
                <w:sz w:val="14"/>
                <w:szCs w:val="14"/>
                <w:color w:val="auto"/>
              </w:rPr>
              <w:t>375,000</w:t>
            </w:r>
          </w:p>
        </w:tc>
        <w:tc>
          <w:tcPr>
            <w:tcW w:w="960" w:type="dxa"/>
            <w:vAlign w:val="bottom"/>
          </w:tcPr>
          <w:p>
            <w:pPr>
              <w:jc w:val="right"/>
              <w:ind w:right="127"/>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2,719,670</w:t>
            </w:r>
            <w:r>
              <w:rPr>
                <w:rFonts w:ascii="Arial" w:cs="Arial" w:eastAsia="Arial" w:hAnsi="Arial"/>
                <w:sz w:val="18"/>
                <w:szCs w:val="18"/>
                <w:color w:val="auto"/>
                <w:vertAlign w:val="superscript"/>
              </w:rPr>
              <w:t>(2)</w:t>
            </w: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106"/>
              <w:spacing w:after="0"/>
              <w:rPr>
                <w:sz w:val="20"/>
                <w:szCs w:val="20"/>
                <w:color w:val="auto"/>
              </w:rPr>
            </w:pPr>
            <w:r>
              <w:rPr>
                <w:rFonts w:ascii="Arial" w:cs="Arial" w:eastAsia="Arial" w:hAnsi="Arial"/>
                <w:sz w:val="14"/>
                <w:szCs w:val="14"/>
                <w:color w:val="auto"/>
              </w:rPr>
              <w:t>347,117</w:t>
            </w:r>
          </w:p>
        </w:tc>
        <w:tc>
          <w:tcPr>
            <w:tcW w:w="1480" w:type="dxa"/>
            <w:vAlign w:val="bottom"/>
          </w:tcPr>
          <w:p>
            <w:pPr>
              <w:jc w:val="right"/>
              <w:ind w:right="66"/>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3,441,786</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204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Remo Canessa</w:t>
            </w:r>
          </w:p>
        </w:tc>
        <w:tc>
          <w:tcPr>
            <w:tcW w:w="76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1500" w:type="dxa"/>
            <w:vAlign w:val="bottom"/>
            <w:tcBorders>
              <w:bottom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43"/>
        </w:trPr>
        <w:tc>
          <w:tcPr>
            <w:tcW w:w="2040" w:type="dxa"/>
            <w:vAlign w:val="bottom"/>
            <w:vMerge w:val="continue"/>
          </w:tcPr>
          <w:p>
            <w:pPr>
              <w:spacing w:after="0"/>
              <w:rPr>
                <w:sz w:val="12"/>
                <w:szCs w:val="12"/>
                <w:color w:val="auto"/>
              </w:rPr>
            </w:pPr>
          </w:p>
        </w:tc>
        <w:tc>
          <w:tcPr>
            <w:tcW w:w="760" w:type="dxa"/>
            <w:vAlign w:val="bottom"/>
            <w:vMerge w:val="restart"/>
          </w:tcPr>
          <w:p>
            <w:pPr>
              <w:ind w:left="220"/>
              <w:spacing w:after="0"/>
              <w:rPr>
                <w:sz w:val="20"/>
                <w:szCs w:val="20"/>
                <w:color w:val="auto"/>
              </w:rPr>
            </w:pPr>
            <w:r>
              <w:rPr>
                <w:rFonts w:ascii="Arial" w:cs="Arial" w:eastAsia="Arial" w:hAnsi="Arial"/>
                <w:sz w:val="14"/>
                <w:szCs w:val="14"/>
                <w:color w:val="auto"/>
              </w:rPr>
              <w:t>2020</w:t>
            </w:r>
          </w:p>
        </w:tc>
        <w:tc>
          <w:tcPr>
            <w:tcW w:w="1060" w:type="dxa"/>
            <w:vAlign w:val="bottom"/>
            <w:vMerge w:val="restart"/>
          </w:tcPr>
          <w:p>
            <w:pPr>
              <w:jc w:val="right"/>
              <w:ind w:right="147"/>
              <w:spacing w:after="0"/>
              <w:rPr>
                <w:sz w:val="20"/>
                <w:szCs w:val="20"/>
                <w:color w:val="auto"/>
              </w:rPr>
            </w:pPr>
            <w:r>
              <w:rPr>
                <w:rFonts w:ascii="Arial" w:cs="Arial" w:eastAsia="Arial" w:hAnsi="Arial"/>
                <w:sz w:val="14"/>
                <w:szCs w:val="14"/>
                <w:color w:val="auto"/>
              </w:rPr>
              <w:t>350,000</w:t>
            </w:r>
          </w:p>
        </w:tc>
        <w:tc>
          <w:tcPr>
            <w:tcW w:w="960" w:type="dxa"/>
            <w:vAlign w:val="bottom"/>
            <w:vMerge w:val="restart"/>
          </w:tcPr>
          <w:p>
            <w:pPr>
              <w:jc w:val="right"/>
              <w:ind w:right="127"/>
              <w:spacing w:after="0"/>
              <w:rPr>
                <w:sz w:val="20"/>
                <w:szCs w:val="20"/>
                <w:color w:val="auto"/>
              </w:rPr>
            </w:pPr>
            <w:r>
              <w:rPr>
                <w:rFonts w:ascii="Arial" w:cs="Arial" w:eastAsia="Arial" w:hAnsi="Arial"/>
                <w:sz w:val="14"/>
                <w:szCs w:val="14"/>
                <w:color w:val="auto"/>
              </w:rPr>
              <w:t>—</w:t>
            </w:r>
          </w:p>
        </w:tc>
        <w:tc>
          <w:tcPr>
            <w:tcW w:w="1240" w:type="dxa"/>
            <w:vAlign w:val="bottom"/>
            <w:vMerge w:val="restart"/>
          </w:tcPr>
          <w:p>
            <w:pPr>
              <w:jc w:val="right"/>
              <w:ind w:right="148"/>
              <w:spacing w:after="0"/>
              <w:rPr>
                <w:sz w:val="20"/>
                <w:szCs w:val="20"/>
                <w:color w:val="auto"/>
              </w:rPr>
            </w:pPr>
            <w:r>
              <w:rPr>
                <w:rFonts w:ascii="Arial" w:cs="Arial" w:eastAsia="Arial" w:hAnsi="Arial"/>
                <w:sz w:val="14"/>
                <w:szCs w:val="14"/>
                <w:color w:val="auto"/>
              </w:rPr>
              <w:t>7,397,664</w:t>
            </w:r>
            <w:r>
              <w:rPr>
                <w:rFonts w:ascii="Arial" w:cs="Arial" w:eastAsia="Arial" w:hAnsi="Arial"/>
                <w:sz w:val="18"/>
                <w:szCs w:val="18"/>
                <w:color w:val="auto"/>
                <w:vertAlign w:val="superscript"/>
              </w:rPr>
              <w:t>(3)</w:t>
            </w:r>
          </w:p>
        </w:tc>
        <w:tc>
          <w:tcPr>
            <w:tcW w:w="106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1500" w:type="dxa"/>
            <w:vAlign w:val="bottom"/>
            <w:vMerge w:val="restart"/>
          </w:tcPr>
          <w:p>
            <w:pPr>
              <w:jc w:val="right"/>
              <w:ind w:right="106"/>
              <w:spacing w:after="0"/>
              <w:rPr>
                <w:sz w:val="20"/>
                <w:szCs w:val="20"/>
                <w:color w:val="auto"/>
              </w:rPr>
            </w:pPr>
            <w:r>
              <w:rPr>
                <w:rFonts w:ascii="Arial" w:cs="Arial" w:eastAsia="Arial" w:hAnsi="Arial"/>
                <w:sz w:val="14"/>
                <w:szCs w:val="14"/>
                <w:color w:val="auto"/>
              </w:rPr>
              <w:t>289,156</w:t>
            </w:r>
          </w:p>
        </w:tc>
        <w:tc>
          <w:tcPr>
            <w:tcW w:w="1480" w:type="dxa"/>
            <w:vAlign w:val="bottom"/>
            <w:vMerge w:val="restart"/>
          </w:tcPr>
          <w:p>
            <w:pPr>
              <w:jc w:val="right"/>
              <w:ind w:right="66"/>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8,036,820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40" w:type="dxa"/>
            <w:vAlign w:val="bottom"/>
            <w:vMerge w:val="restart"/>
          </w:tcPr>
          <w:p>
            <w:pPr>
              <w:ind w:left="100"/>
              <w:spacing w:after="0"/>
              <w:rPr>
                <w:sz w:val="20"/>
                <w:szCs w:val="20"/>
                <w:color w:val="auto"/>
              </w:rPr>
            </w:pPr>
            <w:r>
              <w:rPr>
                <w:rFonts w:ascii="Arial" w:cs="Arial" w:eastAsia="Arial" w:hAnsi="Arial"/>
                <w:sz w:val="14"/>
                <w:szCs w:val="14"/>
                <w:color w:val="auto"/>
              </w:rPr>
              <w:t>Chief Financial Officer</w:t>
            </w:r>
          </w:p>
        </w:tc>
        <w:tc>
          <w:tcPr>
            <w:tcW w:w="76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500" w:type="dxa"/>
            <w:vAlign w:val="bottom"/>
            <w:vMerge w:val="continue"/>
          </w:tcPr>
          <w:p>
            <w:pPr>
              <w:spacing w:after="0"/>
              <w:rPr>
                <w:sz w:val="14"/>
                <w:szCs w:val="14"/>
                <w:color w:val="auto"/>
              </w:rPr>
            </w:pPr>
          </w:p>
        </w:tc>
        <w:tc>
          <w:tcPr>
            <w:tcW w:w="148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040" w:type="dxa"/>
            <w:vAlign w:val="bottom"/>
            <w:vMerge w:val="continue"/>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1500" w:type="dxa"/>
            <w:vAlign w:val="bottom"/>
            <w:tcBorders>
              <w:bottom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11"/>
        </w:trPr>
        <w:tc>
          <w:tcPr>
            <w:tcW w:w="2040" w:type="dxa"/>
            <w:vAlign w:val="bottom"/>
          </w:tcPr>
          <w:p>
            <w:pPr>
              <w:spacing w:after="0"/>
              <w:rPr>
                <w:sz w:val="24"/>
                <w:szCs w:val="24"/>
                <w:color w:val="auto"/>
              </w:rPr>
            </w:pPr>
          </w:p>
        </w:tc>
        <w:tc>
          <w:tcPr>
            <w:tcW w:w="760" w:type="dxa"/>
            <w:vAlign w:val="bottom"/>
          </w:tcPr>
          <w:p>
            <w:pPr>
              <w:ind w:left="220"/>
              <w:spacing w:after="0"/>
              <w:rPr>
                <w:sz w:val="20"/>
                <w:szCs w:val="20"/>
                <w:color w:val="auto"/>
              </w:rPr>
            </w:pPr>
            <w:r>
              <w:rPr>
                <w:rFonts w:ascii="Arial" w:cs="Arial" w:eastAsia="Arial" w:hAnsi="Arial"/>
                <w:sz w:val="14"/>
                <w:szCs w:val="14"/>
                <w:color w:val="auto"/>
              </w:rPr>
              <w:t>2019</w:t>
            </w:r>
          </w:p>
        </w:tc>
        <w:tc>
          <w:tcPr>
            <w:tcW w:w="1060" w:type="dxa"/>
            <w:vAlign w:val="bottom"/>
          </w:tcPr>
          <w:p>
            <w:pPr>
              <w:jc w:val="right"/>
              <w:ind w:right="147"/>
              <w:spacing w:after="0"/>
              <w:rPr>
                <w:sz w:val="20"/>
                <w:szCs w:val="20"/>
                <w:color w:val="auto"/>
              </w:rPr>
            </w:pPr>
            <w:r>
              <w:rPr>
                <w:rFonts w:ascii="Arial" w:cs="Arial" w:eastAsia="Arial" w:hAnsi="Arial"/>
                <w:sz w:val="14"/>
                <w:szCs w:val="14"/>
                <w:color w:val="auto"/>
              </w:rPr>
              <w:t>300,000</w:t>
            </w:r>
          </w:p>
        </w:tc>
        <w:tc>
          <w:tcPr>
            <w:tcW w:w="960" w:type="dxa"/>
            <w:vAlign w:val="bottom"/>
          </w:tcPr>
          <w:p>
            <w:pPr>
              <w:jc w:val="right"/>
              <w:ind w:right="127"/>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3,125,250</w:t>
            </w:r>
            <w:r>
              <w:rPr>
                <w:rFonts w:ascii="Arial" w:cs="Arial" w:eastAsia="Arial" w:hAnsi="Arial"/>
                <w:sz w:val="18"/>
                <w:szCs w:val="18"/>
                <w:color w:val="auto"/>
                <w:vertAlign w:val="superscript"/>
              </w:rPr>
              <w:t>(4)</w:t>
            </w: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106"/>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66"/>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3,425,250</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204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1500" w:type="dxa"/>
            <w:vAlign w:val="bottom"/>
            <w:tcBorders>
              <w:bottom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11"/>
        </w:trPr>
        <w:tc>
          <w:tcPr>
            <w:tcW w:w="204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Amit Sinha. Ph.D.</w:t>
            </w:r>
          </w:p>
        </w:tc>
        <w:tc>
          <w:tcPr>
            <w:tcW w:w="760" w:type="dxa"/>
            <w:vAlign w:val="bottom"/>
          </w:tcPr>
          <w:p>
            <w:pPr>
              <w:ind w:left="220"/>
              <w:spacing w:after="0"/>
              <w:rPr>
                <w:sz w:val="20"/>
                <w:szCs w:val="20"/>
                <w:color w:val="auto"/>
              </w:rPr>
            </w:pPr>
            <w:r>
              <w:rPr>
                <w:rFonts w:ascii="Arial" w:cs="Arial" w:eastAsia="Arial" w:hAnsi="Arial"/>
                <w:sz w:val="14"/>
                <w:szCs w:val="14"/>
                <w:color w:val="auto"/>
              </w:rPr>
              <w:t>2021</w:t>
            </w:r>
          </w:p>
        </w:tc>
        <w:tc>
          <w:tcPr>
            <w:tcW w:w="1060" w:type="dxa"/>
            <w:vAlign w:val="bottom"/>
          </w:tcPr>
          <w:p>
            <w:pPr>
              <w:jc w:val="right"/>
              <w:ind w:right="147"/>
              <w:spacing w:after="0"/>
              <w:rPr>
                <w:sz w:val="20"/>
                <w:szCs w:val="20"/>
                <w:color w:val="auto"/>
              </w:rPr>
            </w:pPr>
            <w:r>
              <w:rPr>
                <w:rFonts w:ascii="Arial" w:cs="Arial" w:eastAsia="Arial" w:hAnsi="Arial"/>
                <w:sz w:val="14"/>
                <w:szCs w:val="14"/>
                <w:color w:val="auto"/>
              </w:rPr>
              <w:t>375,000</w:t>
            </w:r>
          </w:p>
        </w:tc>
        <w:tc>
          <w:tcPr>
            <w:tcW w:w="960" w:type="dxa"/>
            <w:vAlign w:val="bottom"/>
          </w:tcPr>
          <w:p>
            <w:pPr>
              <w:jc w:val="right"/>
              <w:ind w:right="127"/>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5,439,142</w:t>
            </w:r>
            <w:r>
              <w:rPr>
                <w:rFonts w:ascii="Arial" w:cs="Arial" w:eastAsia="Arial" w:hAnsi="Arial"/>
                <w:sz w:val="18"/>
                <w:szCs w:val="18"/>
                <w:color w:val="auto"/>
                <w:vertAlign w:val="superscript"/>
              </w:rPr>
              <w:t>(2)</w:t>
            </w: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106"/>
              <w:spacing w:after="0"/>
              <w:rPr>
                <w:sz w:val="20"/>
                <w:szCs w:val="20"/>
                <w:color w:val="auto"/>
              </w:rPr>
            </w:pPr>
            <w:r>
              <w:rPr>
                <w:rFonts w:ascii="Arial" w:cs="Arial" w:eastAsia="Arial" w:hAnsi="Arial"/>
                <w:sz w:val="14"/>
                <w:szCs w:val="14"/>
                <w:color w:val="auto"/>
              </w:rPr>
              <w:t>347,117</w:t>
            </w:r>
          </w:p>
        </w:tc>
        <w:tc>
          <w:tcPr>
            <w:tcW w:w="1480" w:type="dxa"/>
            <w:vAlign w:val="bottom"/>
          </w:tcPr>
          <w:p>
            <w:pPr>
              <w:jc w:val="right"/>
              <w:ind w:right="66"/>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6,161,259</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040" w:type="dxa"/>
            <w:vAlign w:val="bottom"/>
            <w:vMerge w:val="continue"/>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1500" w:type="dxa"/>
            <w:vAlign w:val="bottom"/>
            <w:tcBorders>
              <w:bottom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040" w:type="dxa"/>
            <w:vAlign w:val="bottom"/>
          </w:tcPr>
          <w:p>
            <w:pPr>
              <w:ind w:left="100"/>
              <w:spacing w:after="0"/>
              <w:rPr>
                <w:sz w:val="20"/>
                <w:szCs w:val="20"/>
                <w:color w:val="auto"/>
              </w:rPr>
            </w:pPr>
            <w:r>
              <w:rPr>
                <w:rFonts w:ascii="Arial" w:cs="Arial" w:eastAsia="Arial" w:hAnsi="Arial"/>
                <w:sz w:val="14"/>
                <w:szCs w:val="14"/>
                <w:color w:val="auto"/>
              </w:rPr>
              <w:t>President of Research and</w:t>
            </w:r>
          </w:p>
        </w:tc>
        <w:tc>
          <w:tcPr>
            <w:tcW w:w="760" w:type="dxa"/>
            <w:vAlign w:val="bottom"/>
          </w:tcPr>
          <w:p>
            <w:pPr>
              <w:ind w:left="220"/>
              <w:spacing w:after="0"/>
              <w:rPr>
                <w:sz w:val="20"/>
                <w:szCs w:val="20"/>
                <w:color w:val="auto"/>
              </w:rPr>
            </w:pPr>
            <w:r>
              <w:rPr>
                <w:rFonts w:ascii="Arial" w:cs="Arial" w:eastAsia="Arial" w:hAnsi="Arial"/>
                <w:sz w:val="14"/>
                <w:szCs w:val="14"/>
                <w:color w:val="auto"/>
              </w:rPr>
              <w:t>2020</w:t>
            </w:r>
          </w:p>
        </w:tc>
        <w:tc>
          <w:tcPr>
            <w:tcW w:w="1060" w:type="dxa"/>
            <w:vAlign w:val="bottom"/>
          </w:tcPr>
          <w:p>
            <w:pPr>
              <w:jc w:val="right"/>
              <w:ind w:right="147"/>
              <w:spacing w:after="0"/>
              <w:rPr>
                <w:sz w:val="20"/>
                <w:szCs w:val="20"/>
                <w:color w:val="auto"/>
              </w:rPr>
            </w:pPr>
            <w:r>
              <w:rPr>
                <w:rFonts w:ascii="Arial" w:cs="Arial" w:eastAsia="Arial" w:hAnsi="Arial"/>
                <w:sz w:val="14"/>
                <w:szCs w:val="14"/>
                <w:color w:val="auto"/>
              </w:rPr>
              <w:t>350,000</w:t>
            </w:r>
          </w:p>
        </w:tc>
        <w:tc>
          <w:tcPr>
            <w:tcW w:w="960" w:type="dxa"/>
            <w:vAlign w:val="bottom"/>
          </w:tcPr>
          <w:p>
            <w:pPr>
              <w:jc w:val="right"/>
              <w:ind w:right="127"/>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9,936,247</w:t>
            </w:r>
            <w:r>
              <w:rPr>
                <w:rFonts w:ascii="Arial" w:cs="Arial" w:eastAsia="Arial" w:hAnsi="Arial"/>
                <w:sz w:val="18"/>
                <w:szCs w:val="18"/>
                <w:color w:val="auto"/>
                <w:vertAlign w:val="superscript"/>
              </w:rPr>
              <w:t>(3)</w:t>
            </w: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106"/>
              <w:spacing w:after="0"/>
              <w:rPr>
                <w:sz w:val="20"/>
                <w:szCs w:val="20"/>
                <w:color w:val="auto"/>
              </w:rPr>
            </w:pPr>
            <w:r>
              <w:rPr>
                <w:rFonts w:ascii="Arial" w:cs="Arial" w:eastAsia="Arial" w:hAnsi="Arial"/>
                <w:sz w:val="14"/>
                <w:szCs w:val="14"/>
                <w:color w:val="auto"/>
              </w:rPr>
              <w:t>289,156</w:t>
            </w:r>
          </w:p>
        </w:tc>
        <w:tc>
          <w:tcPr>
            <w:tcW w:w="1480" w:type="dxa"/>
            <w:vAlign w:val="bottom"/>
          </w:tcPr>
          <w:p>
            <w:pPr>
              <w:jc w:val="right"/>
              <w:ind w:right="66"/>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10,575,403</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2040" w:type="dxa"/>
            <w:vAlign w:val="bottom"/>
          </w:tcPr>
          <w:p>
            <w:pPr>
              <w:ind w:left="100"/>
              <w:spacing w:after="0"/>
              <w:rPr>
                <w:sz w:val="20"/>
                <w:szCs w:val="20"/>
                <w:color w:val="auto"/>
              </w:rPr>
            </w:pPr>
            <w:r>
              <w:rPr>
                <w:rFonts w:ascii="Arial" w:cs="Arial" w:eastAsia="Arial" w:hAnsi="Arial"/>
                <w:sz w:val="14"/>
                <w:szCs w:val="14"/>
                <w:color w:val="auto"/>
              </w:rPr>
              <w:t>Development, Chief</w:t>
            </w:r>
          </w:p>
        </w:tc>
        <w:tc>
          <w:tcPr>
            <w:tcW w:w="7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40" w:type="dxa"/>
            <w:vAlign w:val="bottom"/>
          </w:tcPr>
          <w:p>
            <w:pPr>
              <w:ind w:left="100"/>
              <w:spacing w:after="0" w:line="157" w:lineRule="exact"/>
              <w:rPr>
                <w:sz w:val="20"/>
                <w:szCs w:val="20"/>
                <w:color w:val="auto"/>
              </w:rPr>
            </w:pPr>
            <w:r>
              <w:rPr>
                <w:rFonts w:ascii="Arial" w:cs="Arial" w:eastAsia="Arial" w:hAnsi="Arial"/>
                <w:sz w:val="14"/>
                <w:szCs w:val="14"/>
                <w:color w:val="auto"/>
              </w:rPr>
              <w:t>Technology Officer</w:t>
            </w:r>
          </w:p>
        </w:tc>
        <w:tc>
          <w:tcPr>
            <w:tcW w:w="760" w:type="dxa"/>
            <w:vAlign w:val="bottom"/>
            <w:vMerge w:val="restart"/>
          </w:tcPr>
          <w:p>
            <w:pPr>
              <w:ind w:left="220"/>
              <w:spacing w:after="0"/>
              <w:rPr>
                <w:sz w:val="20"/>
                <w:szCs w:val="20"/>
                <w:color w:val="auto"/>
              </w:rPr>
            </w:pPr>
            <w:r>
              <w:rPr>
                <w:rFonts w:ascii="Arial" w:cs="Arial" w:eastAsia="Arial" w:hAnsi="Arial"/>
                <w:sz w:val="14"/>
                <w:szCs w:val="14"/>
                <w:color w:val="auto"/>
              </w:rPr>
              <w:t>2019</w:t>
            </w:r>
          </w:p>
        </w:tc>
        <w:tc>
          <w:tcPr>
            <w:tcW w:w="1060" w:type="dxa"/>
            <w:vAlign w:val="bottom"/>
            <w:vMerge w:val="restart"/>
          </w:tcPr>
          <w:p>
            <w:pPr>
              <w:jc w:val="right"/>
              <w:ind w:right="147"/>
              <w:spacing w:after="0"/>
              <w:rPr>
                <w:sz w:val="20"/>
                <w:szCs w:val="20"/>
                <w:color w:val="auto"/>
              </w:rPr>
            </w:pPr>
            <w:r>
              <w:rPr>
                <w:rFonts w:ascii="Arial" w:cs="Arial" w:eastAsia="Arial" w:hAnsi="Arial"/>
                <w:sz w:val="14"/>
                <w:szCs w:val="14"/>
                <w:color w:val="auto"/>
              </w:rPr>
              <w:t>300,000</w:t>
            </w:r>
          </w:p>
        </w:tc>
        <w:tc>
          <w:tcPr>
            <w:tcW w:w="960" w:type="dxa"/>
            <w:vAlign w:val="bottom"/>
            <w:vMerge w:val="restart"/>
          </w:tcPr>
          <w:p>
            <w:pPr>
              <w:jc w:val="right"/>
              <w:ind w:right="127"/>
              <w:spacing w:after="0"/>
              <w:rPr>
                <w:sz w:val="20"/>
                <w:szCs w:val="20"/>
                <w:color w:val="auto"/>
              </w:rPr>
            </w:pPr>
            <w:r>
              <w:rPr>
                <w:rFonts w:ascii="Arial" w:cs="Arial" w:eastAsia="Arial" w:hAnsi="Arial"/>
                <w:sz w:val="14"/>
                <w:szCs w:val="14"/>
                <w:color w:val="auto"/>
              </w:rPr>
              <w:t>—</w:t>
            </w:r>
          </w:p>
        </w:tc>
        <w:tc>
          <w:tcPr>
            <w:tcW w:w="1240" w:type="dxa"/>
            <w:vAlign w:val="bottom"/>
            <w:vMerge w:val="restart"/>
          </w:tcPr>
          <w:p>
            <w:pPr>
              <w:jc w:val="right"/>
              <w:ind w:right="148"/>
              <w:spacing w:after="0"/>
              <w:rPr>
                <w:sz w:val="20"/>
                <w:szCs w:val="20"/>
                <w:color w:val="auto"/>
              </w:rPr>
            </w:pPr>
            <w:r>
              <w:rPr>
                <w:rFonts w:ascii="Arial" w:cs="Arial" w:eastAsia="Arial" w:hAnsi="Arial"/>
                <w:sz w:val="14"/>
                <w:szCs w:val="14"/>
                <w:color w:val="auto"/>
              </w:rPr>
              <w:t>6,945,000</w:t>
            </w:r>
            <w:r>
              <w:rPr>
                <w:rFonts w:ascii="Arial" w:cs="Arial" w:eastAsia="Arial" w:hAnsi="Arial"/>
                <w:sz w:val="18"/>
                <w:szCs w:val="18"/>
                <w:color w:val="auto"/>
                <w:vertAlign w:val="superscript"/>
              </w:rPr>
              <w:t>(4)</w:t>
            </w:r>
          </w:p>
        </w:tc>
        <w:tc>
          <w:tcPr>
            <w:tcW w:w="106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1500" w:type="dxa"/>
            <w:vAlign w:val="bottom"/>
            <w:vMerge w:val="restart"/>
          </w:tcPr>
          <w:p>
            <w:pPr>
              <w:jc w:val="right"/>
              <w:ind w:right="106"/>
              <w:spacing w:after="0"/>
              <w:rPr>
                <w:sz w:val="20"/>
                <w:szCs w:val="20"/>
                <w:color w:val="auto"/>
              </w:rPr>
            </w:pPr>
            <w:r>
              <w:rPr>
                <w:rFonts w:ascii="Arial" w:cs="Arial" w:eastAsia="Arial" w:hAnsi="Arial"/>
                <w:sz w:val="14"/>
                <w:szCs w:val="14"/>
                <w:color w:val="auto"/>
              </w:rPr>
              <w:t>—</w:t>
            </w:r>
          </w:p>
        </w:tc>
        <w:tc>
          <w:tcPr>
            <w:tcW w:w="1480" w:type="dxa"/>
            <w:vAlign w:val="bottom"/>
            <w:vMerge w:val="restart"/>
          </w:tcPr>
          <w:p>
            <w:pPr>
              <w:jc w:val="right"/>
              <w:ind w:right="66"/>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7,245,000</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4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106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240" w:type="dxa"/>
            <w:vAlign w:val="bottom"/>
            <w:vMerge w:val="continue"/>
          </w:tcPr>
          <w:p>
            <w:pPr>
              <w:spacing w:after="0"/>
              <w:rPr>
                <w:sz w:val="13"/>
                <w:szCs w:val="13"/>
                <w:color w:val="auto"/>
              </w:rPr>
            </w:pPr>
          </w:p>
        </w:tc>
        <w:tc>
          <w:tcPr>
            <w:tcW w:w="1060" w:type="dxa"/>
            <w:vAlign w:val="bottom"/>
            <w:vMerge w:val="continue"/>
          </w:tcPr>
          <w:p>
            <w:pPr>
              <w:spacing w:after="0"/>
              <w:rPr>
                <w:sz w:val="13"/>
                <w:szCs w:val="13"/>
                <w:color w:val="auto"/>
              </w:rPr>
            </w:pPr>
          </w:p>
        </w:tc>
        <w:tc>
          <w:tcPr>
            <w:tcW w:w="1500" w:type="dxa"/>
            <w:vAlign w:val="bottom"/>
            <w:vMerge w:val="continue"/>
          </w:tcPr>
          <w:p>
            <w:pPr>
              <w:spacing w:after="0"/>
              <w:rPr>
                <w:sz w:val="13"/>
                <w:szCs w:val="13"/>
                <w:color w:val="auto"/>
              </w:rPr>
            </w:pPr>
          </w:p>
        </w:tc>
        <w:tc>
          <w:tcPr>
            <w:tcW w:w="1480" w:type="dxa"/>
            <w:vAlign w:val="bottom"/>
            <w:vMerge w:val="continue"/>
          </w:tcPr>
          <w:p>
            <w:pPr>
              <w:spacing w:after="0"/>
              <w:rPr>
                <w:sz w:val="13"/>
                <w:szCs w:val="13"/>
                <w:color w:val="auto"/>
              </w:rPr>
            </w:pPr>
          </w:p>
        </w:tc>
        <w:tc>
          <w:tcPr>
            <w:tcW w:w="10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204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1500" w:type="dxa"/>
            <w:vAlign w:val="bottom"/>
            <w:tcBorders>
              <w:bottom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24"/>
        </w:trPr>
        <w:tc>
          <w:tcPr>
            <w:tcW w:w="2040" w:type="dxa"/>
            <w:vAlign w:val="bottom"/>
          </w:tcPr>
          <w:p>
            <w:pPr>
              <w:ind w:left="100"/>
              <w:spacing w:after="0"/>
              <w:rPr>
                <w:sz w:val="20"/>
                <w:szCs w:val="20"/>
                <w:color w:val="auto"/>
              </w:rPr>
            </w:pPr>
            <w:r>
              <w:rPr>
                <w:rFonts w:ascii="Arial" w:cs="Arial" w:eastAsia="Arial" w:hAnsi="Arial"/>
                <w:sz w:val="14"/>
                <w:szCs w:val="14"/>
                <w:b w:val="1"/>
                <w:bCs w:val="1"/>
                <w:color w:val="auto"/>
              </w:rPr>
              <w:t>Dali Rajic</w:t>
            </w:r>
            <w:r>
              <w:rPr>
                <w:rFonts w:ascii="Arial" w:cs="Arial" w:eastAsia="Arial" w:hAnsi="Arial"/>
                <w:sz w:val="18"/>
                <w:szCs w:val="18"/>
                <w:b w:val="1"/>
                <w:bCs w:val="1"/>
                <w:color w:val="auto"/>
                <w:vertAlign w:val="superscript"/>
              </w:rPr>
              <w:t>(6)</w:t>
            </w:r>
          </w:p>
        </w:tc>
        <w:tc>
          <w:tcPr>
            <w:tcW w:w="760" w:type="dxa"/>
            <w:vAlign w:val="bottom"/>
          </w:tcPr>
          <w:p>
            <w:pPr>
              <w:ind w:left="220"/>
              <w:spacing w:after="0"/>
              <w:rPr>
                <w:sz w:val="20"/>
                <w:szCs w:val="20"/>
                <w:color w:val="auto"/>
              </w:rPr>
            </w:pPr>
            <w:r>
              <w:rPr>
                <w:rFonts w:ascii="Arial" w:cs="Arial" w:eastAsia="Arial" w:hAnsi="Arial"/>
                <w:sz w:val="14"/>
                <w:szCs w:val="14"/>
                <w:color w:val="auto"/>
              </w:rPr>
              <w:t>2021</w:t>
            </w:r>
          </w:p>
        </w:tc>
        <w:tc>
          <w:tcPr>
            <w:tcW w:w="1060" w:type="dxa"/>
            <w:vAlign w:val="bottom"/>
          </w:tcPr>
          <w:p>
            <w:pPr>
              <w:jc w:val="right"/>
              <w:ind w:right="147"/>
              <w:spacing w:after="0"/>
              <w:rPr>
                <w:sz w:val="20"/>
                <w:szCs w:val="20"/>
                <w:color w:val="auto"/>
              </w:rPr>
            </w:pPr>
            <w:r>
              <w:rPr>
                <w:rFonts w:ascii="Arial" w:cs="Arial" w:eastAsia="Arial" w:hAnsi="Arial"/>
                <w:sz w:val="14"/>
                <w:szCs w:val="14"/>
                <w:color w:val="auto"/>
              </w:rPr>
              <w:t>400,000</w:t>
            </w:r>
          </w:p>
        </w:tc>
        <w:tc>
          <w:tcPr>
            <w:tcW w:w="960" w:type="dxa"/>
            <w:vAlign w:val="bottom"/>
          </w:tcPr>
          <w:p>
            <w:pPr>
              <w:jc w:val="right"/>
              <w:ind w:right="127"/>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8,526,289</w:t>
            </w:r>
            <w:r>
              <w:rPr>
                <w:rFonts w:ascii="Arial" w:cs="Arial" w:eastAsia="Arial" w:hAnsi="Arial"/>
                <w:sz w:val="18"/>
                <w:szCs w:val="18"/>
                <w:color w:val="auto"/>
                <w:vertAlign w:val="superscript"/>
              </w:rPr>
              <w:t>(2)</w:t>
            </w: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106"/>
              <w:spacing w:after="0"/>
              <w:rPr>
                <w:sz w:val="20"/>
                <w:szCs w:val="20"/>
                <w:color w:val="auto"/>
              </w:rPr>
            </w:pPr>
            <w:r>
              <w:rPr>
                <w:rFonts w:ascii="Arial" w:cs="Arial" w:eastAsia="Arial" w:hAnsi="Arial"/>
                <w:sz w:val="14"/>
                <w:szCs w:val="14"/>
                <w:color w:val="auto"/>
              </w:rPr>
              <w:t>525,075</w:t>
            </w:r>
          </w:p>
        </w:tc>
        <w:tc>
          <w:tcPr>
            <w:tcW w:w="1480" w:type="dxa"/>
            <w:vAlign w:val="bottom"/>
          </w:tcPr>
          <w:p>
            <w:pPr>
              <w:jc w:val="right"/>
              <w:ind w:right="66"/>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9,451,364</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2040" w:type="dxa"/>
            <w:vAlign w:val="bottom"/>
            <w:vMerge w:val="restart"/>
          </w:tcPr>
          <w:p>
            <w:pPr>
              <w:ind w:left="100"/>
              <w:spacing w:after="0"/>
              <w:rPr>
                <w:sz w:val="20"/>
                <w:szCs w:val="20"/>
                <w:color w:val="auto"/>
              </w:rPr>
            </w:pPr>
            <w:r>
              <w:rPr>
                <w:rFonts w:ascii="Arial" w:cs="Arial" w:eastAsia="Arial" w:hAnsi="Arial"/>
                <w:sz w:val="14"/>
                <w:szCs w:val="14"/>
                <w:color w:val="auto"/>
              </w:rPr>
              <w:t>President Go-To-Market and</w:t>
            </w:r>
          </w:p>
        </w:tc>
        <w:tc>
          <w:tcPr>
            <w:tcW w:w="76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tcPr>
          <w:p>
            <w:pPr>
              <w:spacing w:after="0"/>
              <w:rPr>
                <w:sz w:val="6"/>
                <w:szCs w:val="6"/>
                <w:color w:val="auto"/>
              </w:rPr>
            </w:pPr>
          </w:p>
        </w:tc>
        <w:tc>
          <w:tcPr>
            <w:tcW w:w="148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3"/>
        </w:trPr>
        <w:tc>
          <w:tcPr>
            <w:tcW w:w="204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40" w:type="dxa"/>
            <w:vAlign w:val="bottom"/>
            <w:vMerge w:val="restart"/>
          </w:tcPr>
          <w:p>
            <w:pPr>
              <w:jc w:val="right"/>
              <w:ind w:right="148"/>
              <w:spacing w:after="0"/>
              <w:rPr>
                <w:sz w:val="20"/>
                <w:szCs w:val="20"/>
                <w:color w:val="auto"/>
              </w:rPr>
            </w:pPr>
            <w:r>
              <w:rPr>
                <w:rFonts w:ascii="Arial" w:cs="Arial" w:eastAsia="Arial" w:hAnsi="Arial"/>
                <w:sz w:val="14"/>
                <w:szCs w:val="14"/>
                <w:color w:val="auto"/>
              </w:rPr>
              <w:t>19,625,876</w:t>
            </w:r>
            <w:r>
              <w:rPr>
                <w:rFonts w:ascii="Arial" w:cs="Arial" w:eastAsia="Arial" w:hAnsi="Arial"/>
                <w:sz w:val="18"/>
                <w:szCs w:val="18"/>
                <w:color w:val="auto"/>
                <w:vertAlign w:val="superscript"/>
              </w:rPr>
              <w:t>(3)</w:t>
            </w:r>
          </w:p>
        </w:tc>
        <w:tc>
          <w:tcPr>
            <w:tcW w:w="106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40" w:type="dxa"/>
            <w:vAlign w:val="bottom"/>
          </w:tcPr>
          <w:p>
            <w:pPr>
              <w:ind w:left="100"/>
              <w:spacing w:after="0"/>
              <w:rPr>
                <w:sz w:val="20"/>
                <w:szCs w:val="20"/>
                <w:color w:val="auto"/>
              </w:rPr>
            </w:pPr>
            <w:r>
              <w:rPr>
                <w:rFonts w:ascii="Arial" w:cs="Arial" w:eastAsia="Arial" w:hAnsi="Arial"/>
                <w:sz w:val="14"/>
                <w:szCs w:val="14"/>
                <w:color w:val="auto"/>
              </w:rPr>
              <w:t>Chief Revenue Officer</w:t>
            </w:r>
          </w:p>
        </w:tc>
        <w:tc>
          <w:tcPr>
            <w:tcW w:w="760" w:type="dxa"/>
            <w:vAlign w:val="bottom"/>
          </w:tcPr>
          <w:p>
            <w:pPr>
              <w:ind w:left="220"/>
              <w:spacing w:after="0"/>
              <w:rPr>
                <w:sz w:val="20"/>
                <w:szCs w:val="20"/>
                <w:color w:val="auto"/>
              </w:rPr>
            </w:pPr>
            <w:r>
              <w:rPr>
                <w:rFonts w:ascii="Arial" w:cs="Arial" w:eastAsia="Arial" w:hAnsi="Arial"/>
                <w:sz w:val="14"/>
                <w:szCs w:val="14"/>
                <w:color w:val="auto"/>
              </w:rPr>
              <w:t>2020</w:t>
            </w:r>
          </w:p>
        </w:tc>
        <w:tc>
          <w:tcPr>
            <w:tcW w:w="1060" w:type="dxa"/>
            <w:vAlign w:val="bottom"/>
          </w:tcPr>
          <w:p>
            <w:pPr>
              <w:jc w:val="right"/>
              <w:ind w:right="147"/>
              <w:spacing w:after="0"/>
              <w:rPr>
                <w:sz w:val="20"/>
                <w:szCs w:val="20"/>
                <w:color w:val="auto"/>
              </w:rPr>
            </w:pPr>
            <w:r>
              <w:rPr>
                <w:rFonts w:ascii="Arial" w:cs="Arial" w:eastAsia="Arial" w:hAnsi="Arial"/>
                <w:sz w:val="14"/>
                <w:szCs w:val="14"/>
                <w:color w:val="auto"/>
              </w:rPr>
              <w:t>356,667</w:t>
            </w:r>
          </w:p>
        </w:tc>
        <w:tc>
          <w:tcPr>
            <w:tcW w:w="960" w:type="dxa"/>
            <w:vAlign w:val="bottom"/>
          </w:tcPr>
          <w:p>
            <w:pPr>
              <w:jc w:val="right"/>
              <w:ind w:right="127"/>
              <w:spacing w:after="0"/>
              <w:rPr>
                <w:sz w:val="20"/>
                <w:szCs w:val="20"/>
                <w:color w:val="auto"/>
              </w:rPr>
            </w:pPr>
            <w:r>
              <w:rPr>
                <w:rFonts w:ascii="Arial" w:cs="Arial" w:eastAsia="Arial" w:hAnsi="Arial"/>
                <w:sz w:val="14"/>
                <w:szCs w:val="14"/>
                <w:color w:val="auto"/>
              </w:rPr>
              <w:t>—</w:t>
            </w:r>
          </w:p>
        </w:tc>
        <w:tc>
          <w:tcPr>
            <w:tcW w:w="1240" w:type="dxa"/>
            <w:vAlign w:val="bottom"/>
            <w:vMerge w:val="continue"/>
          </w:tcPr>
          <w:p>
            <w:pPr>
              <w:spacing w:after="0"/>
              <w:rPr>
                <w:sz w:val="18"/>
                <w:szCs w:val="18"/>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3,414,630</w:t>
            </w:r>
          </w:p>
        </w:tc>
        <w:tc>
          <w:tcPr>
            <w:tcW w:w="1500" w:type="dxa"/>
            <w:vAlign w:val="bottom"/>
          </w:tcPr>
          <w:p>
            <w:pPr>
              <w:jc w:val="right"/>
              <w:ind w:right="106"/>
              <w:spacing w:after="0"/>
              <w:rPr>
                <w:sz w:val="20"/>
                <w:szCs w:val="20"/>
                <w:color w:val="auto"/>
              </w:rPr>
            </w:pPr>
            <w:r>
              <w:rPr>
                <w:rFonts w:ascii="Arial" w:cs="Arial" w:eastAsia="Arial" w:hAnsi="Arial"/>
                <w:sz w:val="14"/>
                <w:szCs w:val="14"/>
                <w:color w:val="auto"/>
              </w:rPr>
              <w:t>368,308</w:t>
            </w:r>
          </w:p>
        </w:tc>
        <w:tc>
          <w:tcPr>
            <w:tcW w:w="1480" w:type="dxa"/>
            <w:vAlign w:val="bottom"/>
          </w:tcPr>
          <w:p>
            <w:pPr>
              <w:jc w:val="right"/>
              <w:ind w:right="66"/>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23,765,481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8"/>
        </w:trPr>
        <w:tc>
          <w:tcPr>
            <w:tcW w:w="204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1500" w:type="dxa"/>
            <w:vAlign w:val="bottom"/>
            <w:tcBorders>
              <w:bottom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11"/>
        </w:trPr>
        <w:tc>
          <w:tcPr>
            <w:tcW w:w="2040" w:type="dxa"/>
            <w:vAlign w:val="bottom"/>
          </w:tcPr>
          <w:p>
            <w:pPr>
              <w:spacing w:after="0"/>
              <w:rPr>
                <w:sz w:val="24"/>
                <w:szCs w:val="24"/>
                <w:color w:val="auto"/>
              </w:rPr>
            </w:pPr>
          </w:p>
        </w:tc>
        <w:tc>
          <w:tcPr>
            <w:tcW w:w="760" w:type="dxa"/>
            <w:vAlign w:val="bottom"/>
          </w:tcPr>
          <w:p>
            <w:pPr>
              <w:ind w:left="220"/>
              <w:spacing w:after="0"/>
              <w:rPr>
                <w:sz w:val="20"/>
                <w:szCs w:val="20"/>
                <w:color w:val="auto"/>
              </w:rPr>
            </w:pPr>
            <w:r>
              <w:rPr>
                <w:rFonts w:ascii="Arial" w:cs="Arial" w:eastAsia="Arial" w:hAnsi="Arial"/>
                <w:sz w:val="14"/>
                <w:szCs w:val="14"/>
                <w:color w:val="auto"/>
              </w:rPr>
              <w:t>2021</w:t>
            </w:r>
          </w:p>
        </w:tc>
        <w:tc>
          <w:tcPr>
            <w:tcW w:w="1060" w:type="dxa"/>
            <w:vAlign w:val="bottom"/>
          </w:tcPr>
          <w:p>
            <w:pPr>
              <w:jc w:val="right"/>
              <w:ind w:right="147"/>
              <w:spacing w:after="0"/>
              <w:rPr>
                <w:sz w:val="20"/>
                <w:szCs w:val="20"/>
                <w:color w:val="auto"/>
              </w:rPr>
            </w:pPr>
            <w:r>
              <w:rPr>
                <w:rFonts w:ascii="Arial" w:cs="Arial" w:eastAsia="Arial" w:hAnsi="Arial"/>
                <w:sz w:val="14"/>
                <w:szCs w:val="14"/>
                <w:color w:val="auto"/>
              </w:rPr>
              <w:t>325,000</w:t>
            </w:r>
          </w:p>
        </w:tc>
        <w:tc>
          <w:tcPr>
            <w:tcW w:w="960" w:type="dxa"/>
            <w:vAlign w:val="bottom"/>
          </w:tcPr>
          <w:p>
            <w:pPr>
              <w:jc w:val="right"/>
              <w:ind w:right="127"/>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2,175,736</w:t>
            </w:r>
            <w:r>
              <w:rPr>
                <w:rFonts w:ascii="Arial" w:cs="Arial" w:eastAsia="Arial" w:hAnsi="Arial"/>
                <w:sz w:val="18"/>
                <w:szCs w:val="18"/>
                <w:color w:val="auto"/>
                <w:vertAlign w:val="superscript"/>
              </w:rPr>
              <w:t>(2)</w:t>
            </w: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106"/>
              <w:spacing w:after="0"/>
              <w:rPr>
                <w:sz w:val="20"/>
                <w:szCs w:val="20"/>
                <w:color w:val="auto"/>
              </w:rPr>
            </w:pPr>
            <w:r>
              <w:rPr>
                <w:rFonts w:ascii="Arial" w:cs="Arial" w:eastAsia="Arial" w:hAnsi="Arial"/>
                <w:sz w:val="14"/>
                <w:szCs w:val="14"/>
                <w:color w:val="auto"/>
              </w:rPr>
              <w:t>229,453</w:t>
            </w:r>
          </w:p>
        </w:tc>
        <w:tc>
          <w:tcPr>
            <w:tcW w:w="1480" w:type="dxa"/>
            <w:vAlign w:val="bottom"/>
          </w:tcPr>
          <w:p>
            <w:pPr>
              <w:jc w:val="right"/>
              <w:ind w:right="66"/>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2,730,189</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204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Robert Schlossman</w:t>
            </w:r>
          </w:p>
        </w:tc>
        <w:tc>
          <w:tcPr>
            <w:tcW w:w="76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1500" w:type="dxa"/>
            <w:vAlign w:val="bottom"/>
            <w:tcBorders>
              <w:bottom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2040" w:type="dxa"/>
            <w:vAlign w:val="bottom"/>
            <w:vMerge w:val="continue"/>
          </w:tcPr>
          <w:p>
            <w:pPr>
              <w:spacing w:after="0"/>
              <w:rPr>
                <w:sz w:val="12"/>
                <w:szCs w:val="12"/>
                <w:color w:val="auto"/>
              </w:rPr>
            </w:pPr>
          </w:p>
        </w:tc>
        <w:tc>
          <w:tcPr>
            <w:tcW w:w="760" w:type="dxa"/>
            <w:vAlign w:val="bottom"/>
            <w:vMerge w:val="restart"/>
          </w:tcPr>
          <w:p>
            <w:pPr>
              <w:ind w:left="220"/>
              <w:spacing w:after="0"/>
              <w:rPr>
                <w:sz w:val="20"/>
                <w:szCs w:val="20"/>
                <w:color w:val="auto"/>
              </w:rPr>
            </w:pPr>
            <w:r>
              <w:rPr>
                <w:rFonts w:ascii="Arial" w:cs="Arial" w:eastAsia="Arial" w:hAnsi="Arial"/>
                <w:sz w:val="14"/>
                <w:szCs w:val="14"/>
                <w:color w:val="auto"/>
              </w:rPr>
              <w:t>2020</w:t>
            </w:r>
          </w:p>
        </w:tc>
        <w:tc>
          <w:tcPr>
            <w:tcW w:w="1060" w:type="dxa"/>
            <w:vAlign w:val="bottom"/>
            <w:vMerge w:val="restart"/>
          </w:tcPr>
          <w:p>
            <w:pPr>
              <w:jc w:val="right"/>
              <w:ind w:right="147"/>
              <w:spacing w:after="0"/>
              <w:rPr>
                <w:sz w:val="20"/>
                <w:szCs w:val="20"/>
                <w:color w:val="auto"/>
              </w:rPr>
            </w:pPr>
            <w:r>
              <w:rPr>
                <w:rFonts w:ascii="Arial" w:cs="Arial" w:eastAsia="Arial" w:hAnsi="Arial"/>
                <w:sz w:val="14"/>
                <w:szCs w:val="14"/>
                <w:color w:val="auto"/>
              </w:rPr>
              <w:t>315,000</w:t>
            </w:r>
          </w:p>
        </w:tc>
        <w:tc>
          <w:tcPr>
            <w:tcW w:w="960" w:type="dxa"/>
            <w:vAlign w:val="bottom"/>
            <w:vMerge w:val="restart"/>
          </w:tcPr>
          <w:p>
            <w:pPr>
              <w:jc w:val="right"/>
              <w:ind w:right="127"/>
              <w:spacing w:after="0"/>
              <w:rPr>
                <w:sz w:val="20"/>
                <w:szCs w:val="20"/>
                <w:color w:val="auto"/>
              </w:rPr>
            </w:pPr>
            <w:r>
              <w:rPr>
                <w:rFonts w:ascii="Arial" w:cs="Arial" w:eastAsia="Arial" w:hAnsi="Arial"/>
                <w:sz w:val="14"/>
                <w:szCs w:val="14"/>
                <w:color w:val="auto"/>
              </w:rPr>
              <w:t>—</w:t>
            </w:r>
          </w:p>
        </w:tc>
        <w:tc>
          <w:tcPr>
            <w:tcW w:w="1240" w:type="dxa"/>
            <w:vAlign w:val="bottom"/>
            <w:vMerge w:val="restart"/>
          </w:tcPr>
          <w:p>
            <w:pPr>
              <w:jc w:val="right"/>
              <w:ind w:right="148"/>
              <w:spacing w:after="0"/>
              <w:rPr>
                <w:sz w:val="20"/>
                <w:szCs w:val="20"/>
                <w:color w:val="auto"/>
              </w:rPr>
            </w:pPr>
            <w:r>
              <w:rPr>
                <w:rFonts w:ascii="Arial" w:cs="Arial" w:eastAsia="Arial" w:hAnsi="Arial"/>
                <w:sz w:val="14"/>
                <w:szCs w:val="14"/>
                <w:color w:val="auto"/>
              </w:rPr>
              <w:t>4,454,791</w:t>
            </w:r>
            <w:r>
              <w:rPr>
                <w:rFonts w:ascii="Arial" w:cs="Arial" w:eastAsia="Arial" w:hAnsi="Arial"/>
                <w:sz w:val="18"/>
                <w:szCs w:val="18"/>
                <w:color w:val="auto"/>
                <w:vertAlign w:val="superscript"/>
              </w:rPr>
              <w:t>(3)</w:t>
            </w:r>
          </w:p>
        </w:tc>
        <w:tc>
          <w:tcPr>
            <w:tcW w:w="106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1500" w:type="dxa"/>
            <w:vAlign w:val="bottom"/>
            <w:vMerge w:val="restart"/>
          </w:tcPr>
          <w:p>
            <w:pPr>
              <w:jc w:val="right"/>
              <w:ind w:right="106"/>
              <w:spacing w:after="0"/>
              <w:rPr>
                <w:sz w:val="20"/>
                <w:szCs w:val="20"/>
                <w:color w:val="auto"/>
              </w:rPr>
            </w:pPr>
            <w:r>
              <w:rPr>
                <w:rFonts w:ascii="Arial" w:cs="Arial" w:eastAsia="Arial" w:hAnsi="Arial"/>
                <w:sz w:val="14"/>
                <w:szCs w:val="14"/>
                <w:color w:val="auto"/>
              </w:rPr>
              <w:t>173,494</w:t>
            </w:r>
          </w:p>
        </w:tc>
        <w:tc>
          <w:tcPr>
            <w:tcW w:w="1480" w:type="dxa"/>
            <w:vAlign w:val="bottom"/>
            <w:vMerge w:val="restart"/>
          </w:tcPr>
          <w:p>
            <w:pPr>
              <w:jc w:val="right"/>
              <w:ind w:right="66"/>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4,943,285</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40" w:type="dxa"/>
            <w:vAlign w:val="bottom"/>
            <w:vMerge w:val="restart"/>
          </w:tcPr>
          <w:p>
            <w:pPr>
              <w:ind w:left="100"/>
              <w:spacing w:after="0"/>
              <w:rPr>
                <w:sz w:val="20"/>
                <w:szCs w:val="20"/>
                <w:color w:val="auto"/>
              </w:rPr>
            </w:pPr>
            <w:r>
              <w:rPr>
                <w:rFonts w:ascii="Arial" w:cs="Arial" w:eastAsia="Arial" w:hAnsi="Arial"/>
                <w:sz w:val="14"/>
                <w:szCs w:val="14"/>
                <w:color w:val="auto"/>
              </w:rPr>
              <w:t>Chief Legal Officer</w:t>
            </w:r>
          </w:p>
        </w:tc>
        <w:tc>
          <w:tcPr>
            <w:tcW w:w="76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500" w:type="dxa"/>
            <w:vAlign w:val="bottom"/>
            <w:vMerge w:val="continue"/>
          </w:tcPr>
          <w:p>
            <w:pPr>
              <w:spacing w:after="0"/>
              <w:rPr>
                <w:sz w:val="14"/>
                <w:szCs w:val="14"/>
                <w:color w:val="auto"/>
              </w:rPr>
            </w:pPr>
          </w:p>
        </w:tc>
        <w:tc>
          <w:tcPr>
            <w:tcW w:w="148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040" w:type="dxa"/>
            <w:vAlign w:val="bottom"/>
            <w:vMerge w:val="continue"/>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1500" w:type="dxa"/>
            <w:vAlign w:val="bottom"/>
            <w:tcBorders>
              <w:bottom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11"/>
        </w:trPr>
        <w:tc>
          <w:tcPr>
            <w:tcW w:w="2040" w:type="dxa"/>
            <w:vAlign w:val="bottom"/>
          </w:tcPr>
          <w:p>
            <w:pPr>
              <w:spacing w:after="0"/>
              <w:rPr>
                <w:sz w:val="24"/>
                <w:szCs w:val="24"/>
                <w:color w:val="auto"/>
              </w:rPr>
            </w:pPr>
          </w:p>
        </w:tc>
        <w:tc>
          <w:tcPr>
            <w:tcW w:w="760" w:type="dxa"/>
            <w:vAlign w:val="bottom"/>
          </w:tcPr>
          <w:p>
            <w:pPr>
              <w:ind w:left="220"/>
              <w:spacing w:after="0"/>
              <w:rPr>
                <w:sz w:val="20"/>
                <w:szCs w:val="20"/>
                <w:color w:val="auto"/>
              </w:rPr>
            </w:pPr>
            <w:r>
              <w:rPr>
                <w:rFonts w:ascii="Arial" w:cs="Arial" w:eastAsia="Arial" w:hAnsi="Arial"/>
                <w:sz w:val="14"/>
                <w:szCs w:val="14"/>
                <w:color w:val="auto"/>
              </w:rPr>
              <w:t>2019</w:t>
            </w:r>
          </w:p>
        </w:tc>
        <w:tc>
          <w:tcPr>
            <w:tcW w:w="1060" w:type="dxa"/>
            <w:vAlign w:val="bottom"/>
          </w:tcPr>
          <w:p>
            <w:pPr>
              <w:jc w:val="right"/>
              <w:ind w:right="147"/>
              <w:spacing w:after="0"/>
              <w:rPr>
                <w:sz w:val="20"/>
                <w:szCs w:val="20"/>
                <w:color w:val="auto"/>
              </w:rPr>
            </w:pPr>
            <w:r>
              <w:rPr>
                <w:rFonts w:ascii="Arial" w:cs="Arial" w:eastAsia="Arial" w:hAnsi="Arial"/>
                <w:sz w:val="14"/>
                <w:szCs w:val="14"/>
                <w:color w:val="auto"/>
              </w:rPr>
              <w:t>275,000</w:t>
            </w:r>
          </w:p>
        </w:tc>
        <w:tc>
          <w:tcPr>
            <w:tcW w:w="960" w:type="dxa"/>
            <w:vAlign w:val="bottom"/>
          </w:tcPr>
          <w:p>
            <w:pPr>
              <w:jc w:val="right"/>
              <w:ind w:right="127"/>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3,472,500</w:t>
            </w:r>
            <w:r>
              <w:rPr>
                <w:rFonts w:ascii="Arial" w:cs="Arial" w:eastAsia="Arial" w:hAnsi="Arial"/>
                <w:sz w:val="18"/>
                <w:szCs w:val="18"/>
                <w:color w:val="auto"/>
                <w:vertAlign w:val="superscript"/>
              </w:rPr>
              <w:t>(4)</w:t>
            </w: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106"/>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66"/>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3,747,500</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204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1500" w:type="dxa"/>
            <w:vAlign w:val="bottom"/>
            <w:tcBorders>
              <w:bottom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-3762375</wp:posOffset>
            </wp:positionV>
            <wp:extent cx="8890" cy="342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8890" cy="34290"/>
                    </a:xfrm>
                    <a:prstGeom prst="rect">
                      <a:avLst/>
                    </a:prstGeom>
                    <a:noFill/>
                  </pic:spPr>
                </pic:pic>
              </a:graphicData>
            </a:graphic>
          </wp:anchor>
        </w:drawing>
      </w:r>
    </w:p>
    <w:p>
      <w:pPr>
        <w:spacing w:after="0" w:line="177" w:lineRule="exact"/>
        <w:rPr>
          <w:sz w:val="20"/>
          <w:szCs w:val="20"/>
          <w:color w:val="auto"/>
        </w:rPr>
      </w:pPr>
    </w:p>
    <w:p>
      <w:pPr>
        <w:ind w:left="260" w:right="60" w:hanging="252"/>
        <w:spacing w:after="0"/>
        <w:tabs>
          <w:tab w:leader="none" w:pos="252" w:val="left"/>
        </w:tabs>
        <w:numPr>
          <w:ilvl w:val="0"/>
          <w:numId w:val="47"/>
        </w:numPr>
        <w:rPr>
          <w:rFonts w:ascii="Arial" w:cs="Arial" w:eastAsia="Arial" w:hAnsi="Arial"/>
          <w:sz w:val="13"/>
          <w:szCs w:val="13"/>
          <w:color w:val="auto"/>
        </w:rPr>
      </w:pPr>
      <w:r>
        <w:rPr>
          <w:rFonts w:ascii="Arial" w:cs="Arial" w:eastAsia="Arial" w:hAnsi="Arial"/>
          <w:sz w:val="13"/>
          <w:szCs w:val="13"/>
          <w:color w:val="auto"/>
        </w:rPr>
        <w:t>The amounts reported represent the grant date fair value of the awards granted to the Named Executive Officers during the respective fiscal years as computed in accordance with FASB ASC Topic 718. The assumptions used in calculating the grant date fair value of the awards reported in this column are set forth in Note 13 to our audited consolidated financial statements included in our Annual Report on Form 10-K for our fiscal year ended July 31, 2021.</w:t>
      </w:r>
    </w:p>
    <w:p>
      <w:pPr>
        <w:spacing w:after="0" w:line="51" w:lineRule="exact"/>
        <w:rPr>
          <w:rFonts w:ascii="Arial" w:cs="Arial" w:eastAsia="Arial" w:hAnsi="Arial"/>
          <w:sz w:val="13"/>
          <w:szCs w:val="13"/>
          <w:color w:val="auto"/>
        </w:rPr>
      </w:pPr>
    </w:p>
    <w:p>
      <w:pPr>
        <w:ind w:left="260" w:right="60" w:hanging="252"/>
        <w:spacing w:after="0" w:line="239" w:lineRule="auto"/>
        <w:tabs>
          <w:tab w:leader="none" w:pos="252" w:val="left"/>
        </w:tabs>
        <w:numPr>
          <w:ilvl w:val="0"/>
          <w:numId w:val="47"/>
        </w:numPr>
        <w:rPr>
          <w:rFonts w:ascii="Arial" w:cs="Arial" w:eastAsia="Arial" w:hAnsi="Arial"/>
          <w:sz w:val="13"/>
          <w:szCs w:val="13"/>
          <w:color w:val="auto"/>
        </w:rPr>
      </w:pPr>
      <w:r>
        <w:rPr>
          <w:rFonts w:ascii="Arial" w:cs="Arial" w:eastAsia="Arial" w:hAnsi="Arial"/>
          <w:sz w:val="13"/>
          <w:szCs w:val="13"/>
          <w:color w:val="auto"/>
        </w:rPr>
        <w:t>The awards for fiscal 2021 are comprised of (i) time-based RSU and (ii) PSU awards. The amounts shown in respect of the PSUs represent the grant date fair value based on the probable outcome of the fiscal year 2021 performance condition as of the grant date. The grant date fair value of the PSU awards granted in fiscal 2021 assuming achievement of the maximum level of performance are: Mr. Chaudhry, $29,963,250; and Mr. Rajic $4,630,720. These amounts do not necessarily correspond to the actual value recognized by the Named Executive Officers. For example, PSUs were earned at 129.25% of target for fiscal 2021.</w:t>
      </w:r>
    </w:p>
    <w:p>
      <w:pPr>
        <w:spacing w:after="0" w:line="52" w:lineRule="exact"/>
        <w:rPr>
          <w:rFonts w:ascii="Arial" w:cs="Arial" w:eastAsia="Arial" w:hAnsi="Arial"/>
          <w:sz w:val="13"/>
          <w:szCs w:val="13"/>
          <w:color w:val="auto"/>
        </w:rPr>
      </w:pPr>
    </w:p>
    <w:p>
      <w:pPr>
        <w:ind w:left="260" w:right="80" w:hanging="252"/>
        <w:spacing w:after="0" w:line="239" w:lineRule="auto"/>
        <w:tabs>
          <w:tab w:leader="none" w:pos="252" w:val="left"/>
        </w:tabs>
        <w:numPr>
          <w:ilvl w:val="0"/>
          <w:numId w:val="47"/>
        </w:numPr>
        <w:rPr>
          <w:rFonts w:ascii="Arial" w:cs="Arial" w:eastAsia="Arial" w:hAnsi="Arial"/>
          <w:sz w:val="13"/>
          <w:szCs w:val="13"/>
          <w:color w:val="auto"/>
        </w:rPr>
      </w:pPr>
      <w:r>
        <w:rPr>
          <w:rFonts w:ascii="Arial" w:cs="Arial" w:eastAsia="Arial" w:hAnsi="Arial"/>
          <w:sz w:val="13"/>
          <w:szCs w:val="13"/>
          <w:color w:val="auto"/>
        </w:rPr>
        <w:t>The awards for fiscal 2020 are comprised of (i) time-based RSU and (ii) PSU awards. The amounts shown in respect of the PSUs represent the grant date fair value of the second tranche of the PSU award that was granted in October 2018 based upon the probable outcome of the fiscal 2021 performance conditions as of the grant date. The grant date fair value of the PSU awards granted in fiscal year 2020 assuming achievement of the maximum level of performance are: Mr. Chaudhry, $9,895,500; Mr. Canessa, $1,855,428; Dr. Sinha $4,123,125; Mr. Rajic $1,529,317; and Mr. Schlossman $2,061,563. These amounts do not necessarily correspond to the actual value recognized by the Named Executive Officers.. For example, PSUs were earned at 105.2% of target for fiscal 2020.</w:t>
      </w:r>
    </w:p>
    <w:p>
      <w:pPr>
        <w:spacing w:after="0" w:line="52" w:lineRule="exact"/>
        <w:rPr>
          <w:rFonts w:ascii="Arial" w:cs="Arial" w:eastAsia="Arial" w:hAnsi="Arial"/>
          <w:sz w:val="13"/>
          <w:szCs w:val="13"/>
          <w:color w:val="auto"/>
        </w:rPr>
      </w:pPr>
    </w:p>
    <w:p>
      <w:pPr>
        <w:ind w:left="260" w:right="180" w:hanging="252"/>
        <w:spacing w:after="0" w:line="266" w:lineRule="auto"/>
        <w:tabs>
          <w:tab w:leader="none" w:pos="252" w:val="left"/>
        </w:tabs>
        <w:numPr>
          <w:ilvl w:val="0"/>
          <w:numId w:val="47"/>
        </w:numPr>
        <w:rPr>
          <w:rFonts w:ascii="Arial" w:cs="Arial" w:eastAsia="Arial" w:hAnsi="Arial"/>
          <w:sz w:val="12"/>
          <w:szCs w:val="12"/>
          <w:color w:val="auto"/>
        </w:rPr>
      </w:pPr>
      <w:r>
        <w:rPr>
          <w:rFonts w:ascii="Arial" w:cs="Arial" w:eastAsia="Arial" w:hAnsi="Arial"/>
          <w:sz w:val="12"/>
          <w:szCs w:val="12"/>
          <w:color w:val="auto"/>
        </w:rPr>
        <w:t>The awards for fiscal year 2019 are comprised of (i) time-based RSU and (ii) PSU awards. The amounts shown in respect of the PSUs represent the grant date fair value of the first of multiple tranches of the PSU award that was granted in October 2018 based upon the probable outcome of the fiscal year 2019 performance condition as of the grant date. The grant date fair value of the PSU awards granted in fiscal 2019 assuming achievement of the maximum level of performance are: Mr. Chaudhry, $8,334,000; Mr. Canessa $1,562,625; Dr. Sinha $3,472,500; and Mr. Schlossman $1,736,250. These amounts do not necessarily correspond to the actual value recognized by the Named Executive Officers. For example, no PSUs were earned for fiscal 2019.</w:t>
      </w:r>
    </w:p>
    <w:p>
      <w:pPr>
        <w:spacing w:after="0" w:line="36" w:lineRule="exact"/>
        <w:rPr>
          <w:rFonts w:ascii="Arial" w:cs="Arial" w:eastAsia="Arial" w:hAnsi="Arial"/>
          <w:sz w:val="12"/>
          <w:szCs w:val="12"/>
          <w:color w:val="auto"/>
        </w:rPr>
      </w:pPr>
    </w:p>
    <w:p>
      <w:pPr>
        <w:ind w:left="260" w:right="60" w:hanging="252"/>
        <w:spacing w:after="0"/>
        <w:tabs>
          <w:tab w:leader="none" w:pos="252" w:val="left"/>
        </w:tabs>
        <w:numPr>
          <w:ilvl w:val="0"/>
          <w:numId w:val="47"/>
        </w:numPr>
        <w:rPr>
          <w:rFonts w:ascii="Arial" w:cs="Arial" w:eastAsia="Arial" w:hAnsi="Arial"/>
          <w:sz w:val="13"/>
          <w:szCs w:val="13"/>
          <w:color w:val="auto"/>
        </w:rPr>
      </w:pPr>
      <w:r>
        <w:rPr>
          <w:rFonts w:ascii="Arial" w:cs="Arial" w:eastAsia="Arial" w:hAnsi="Arial"/>
          <w:sz w:val="13"/>
          <w:szCs w:val="13"/>
          <w:color w:val="auto"/>
        </w:rPr>
        <w:t>The amounts reported represent the aggregate grant date fair value of the stock options granted to our Named Executive Officers, calculated in accordance with ASC Topic 718. The assumptions used in calculating the grant date fair value of the awards reported in this column are set forth in Note 13 to our audited consolidated financial statements included in our Annual Report on Form 10-K for our fiscal year ended July 31, 2020. These amounts do not necessarily correspond to the actual value recognized by the Named Executive Officers.</w:t>
      </w:r>
    </w:p>
    <w:p>
      <w:pPr>
        <w:spacing w:after="0" w:line="51" w:lineRule="exact"/>
        <w:rPr>
          <w:rFonts w:ascii="Arial" w:cs="Arial" w:eastAsia="Arial" w:hAnsi="Arial"/>
          <w:sz w:val="13"/>
          <w:szCs w:val="13"/>
          <w:color w:val="auto"/>
        </w:rPr>
      </w:pPr>
    </w:p>
    <w:p>
      <w:pPr>
        <w:ind w:left="240" w:hanging="232"/>
        <w:spacing w:after="0"/>
        <w:tabs>
          <w:tab w:leader="none" w:pos="240" w:val="left"/>
        </w:tabs>
        <w:numPr>
          <w:ilvl w:val="0"/>
          <w:numId w:val="47"/>
        </w:numPr>
        <w:rPr>
          <w:rFonts w:ascii="Arial" w:cs="Arial" w:eastAsia="Arial" w:hAnsi="Arial"/>
          <w:sz w:val="13"/>
          <w:szCs w:val="13"/>
          <w:color w:val="auto"/>
        </w:rPr>
      </w:pPr>
      <w:r>
        <w:rPr>
          <w:rFonts w:ascii="Arial" w:cs="Arial" w:eastAsia="Arial" w:hAnsi="Arial"/>
          <w:sz w:val="13"/>
          <w:szCs w:val="13"/>
          <w:color w:val="auto"/>
        </w:rPr>
        <w:t>Mr. Rajic was hired as an executive officer in fiscal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217170</wp:posOffset>
            </wp:positionV>
            <wp:extent cx="342900" cy="21463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342900" cy="214630"/>
                    </a:xfrm>
                    <a:prstGeom prst="rect">
                      <a:avLst/>
                    </a:prstGeom>
                    <a:noFill/>
                  </pic:spPr>
                </pic:pic>
              </a:graphicData>
            </a:graphic>
          </wp:anchor>
        </w:drawing>
      </w:r>
    </w:p>
    <w:p>
      <w:pPr>
        <w:spacing w:after="0" w:line="261" w:lineRule="exact"/>
        <w:rPr>
          <w:sz w:val="20"/>
          <w:szCs w:val="20"/>
          <w:color w:val="auto"/>
        </w:rPr>
      </w:pPr>
    </w:p>
    <w:p>
      <w:pPr>
        <w:ind w:left="5540"/>
        <w:spacing w:after="0"/>
        <w:tabs>
          <w:tab w:leader="none" w:pos="9780" w:val="left"/>
        </w:tabs>
        <w:rPr>
          <w:sz w:val="20"/>
          <w:szCs w:val="20"/>
          <w:color w:val="auto"/>
        </w:rPr>
      </w:pPr>
      <w:r>
        <w:rPr>
          <w:rFonts w:ascii="Arial" w:cs="Arial" w:eastAsia="Arial" w:hAnsi="Arial"/>
          <w:sz w:val="29"/>
          <w:szCs w:val="29"/>
          <w:color w:val="auto"/>
          <w:vertAlign w:val="superscript"/>
        </w:rPr>
        <w:t>58</w:t>
      </w:r>
      <w:r>
        <w:rPr>
          <w:sz w:val="20"/>
          <w:szCs w:val="20"/>
          <w:color w:val="auto"/>
        </w:rPr>
        <w:tab/>
      </w:r>
      <w:r>
        <w:rPr>
          <w:rFonts w:ascii="Arial" w:cs="Arial" w:eastAsia="Arial" w:hAnsi="Arial"/>
          <w:sz w:val="14"/>
          <w:szCs w:val="14"/>
          <w:color w:val="auto"/>
        </w:rPr>
        <w:t>2021 Proxy Statement</w:t>
      </w:r>
    </w:p>
    <w:p>
      <w:pPr>
        <w:sectPr>
          <w:pgSz w:w="11900" w:h="16838" w:orient="portrait"/>
          <w:cols w:equalWidth="0" w:num="1">
            <w:col w:w="11240"/>
          </w:cols>
          <w:pgMar w:left="320" w:top="172" w:right="339" w:bottom="1440" w:gutter="0" w:footer="0" w:header="0"/>
        </w:sectPr>
      </w:pPr>
    </w:p>
    <w:bookmarkStart w:id="62" w:name="page63"/>
    <w:bookmarkEnd w:id="62"/>
    <w:p>
      <w:pPr>
        <w:ind w:left="280"/>
        <w:spacing w:after="0"/>
        <w:rPr>
          <w:sz w:val="20"/>
          <w:szCs w:val="20"/>
          <w:color w:val="auto"/>
        </w:rPr>
      </w:pPr>
      <w:r>
        <w:rPr>
          <w:rFonts w:ascii="Arial" w:cs="Arial" w:eastAsia="Arial" w:hAnsi="Arial"/>
          <w:sz w:val="13"/>
          <w:szCs w:val="13"/>
          <w:b w:val="1"/>
          <w:bCs w:val="1"/>
          <w:color w:val="929292"/>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7470" cy="6032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7470" cy="60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b w:val="1"/>
          <w:bCs w:val="1"/>
          <w:color w:val="009ADA"/>
        </w:rPr>
        <w:t>Fiscal 2021 Grants of Plan-Based Awards Table</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certain information with respect to all plan-based awards granted to our Named Executive Officers during fiscal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1402080</wp:posOffset>
            </wp:positionH>
            <wp:positionV relativeFrom="paragraph">
              <wp:posOffset>45085</wp:posOffset>
            </wp:positionV>
            <wp:extent cx="5092065" cy="10629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5092065" cy="1062990"/>
                    </a:xfrm>
                    <a:prstGeom prst="rect">
                      <a:avLst/>
                    </a:prstGeom>
                    <a:noFill/>
                  </pic:spPr>
                </pic:pic>
              </a:graphicData>
            </a:graphic>
          </wp:anchor>
        </w:drawing>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0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60" w:type="dxa"/>
            <w:vAlign w:val="bottom"/>
            <w:gridSpan w:val="3"/>
            <w:shd w:val="clear" w:color="auto" w:fill="009ADA"/>
          </w:tcPr>
          <w:p>
            <w:pPr>
              <w:jc w:val="center"/>
              <w:spacing w:after="0"/>
              <w:rPr>
                <w:sz w:val="20"/>
                <w:szCs w:val="20"/>
                <w:color w:val="auto"/>
              </w:rPr>
            </w:pPr>
            <w:r>
              <w:rPr>
                <w:rFonts w:ascii="Arial" w:cs="Arial" w:eastAsia="Arial" w:hAnsi="Arial"/>
                <w:sz w:val="14"/>
                <w:szCs w:val="14"/>
                <w:b w:val="1"/>
                <w:bCs w:val="1"/>
                <w:color w:val="FFFFFF"/>
              </w:rPr>
              <w:t>Estimated Possible Payouts under Non-</w:t>
            </w:r>
          </w:p>
        </w:tc>
        <w:tc>
          <w:tcPr>
            <w:tcW w:w="2980" w:type="dxa"/>
            <w:vAlign w:val="bottom"/>
            <w:gridSpan w:val="3"/>
            <w:shd w:val="clear" w:color="auto" w:fill="009ADA"/>
          </w:tcPr>
          <w:p>
            <w:pPr>
              <w:jc w:val="center"/>
              <w:spacing w:after="0"/>
              <w:rPr>
                <w:sz w:val="20"/>
                <w:szCs w:val="20"/>
                <w:color w:val="auto"/>
              </w:rPr>
            </w:pPr>
            <w:r>
              <w:rPr>
                <w:rFonts w:ascii="Arial" w:cs="Arial" w:eastAsia="Arial" w:hAnsi="Arial"/>
                <w:sz w:val="14"/>
                <w:szCs w:val="14"/>
                <w:b w:val="1"/>
                <w:bCs w:val="1"/>
                <w:color w:val="FFFFFF"/>
              </w:rPr>
              <w:t>Estimated Possible Payouts under Equity</w:t>
            </w:r>
          </w:p>
        </w:tc>
        <w:tc>
          <w:tcPr>
            <w:tcW w:w="1020" w:type="dxa"/>
            <w:vAlign w:val="bottom"/>
            <w:shd w:val="clear" w:color="auto" w:fill="2B338D"/>
          </w:tcPr>
          <w:p>
            <w:pPr>
              <w:spacing w:after="0"/>
              <w:rPr>
                <w:sz w:val="19"/>
                <w:szCs w:val="19"/>
                <w:color w:val="auto"/>
              </w:rPr>
            </w:pPr>
          </w:p>
        </w:tc>
        <w:tc>
          <w:tcPr>
            <w:tcW w:w="100" w:type="dxa"/>
            <w:vAlign w:val="bottom"/>
            <w:shd w:val="clear" w:color="auto" w:fill="2B338D"/>
          </w:tcPr>
          <w:p>
            <w:pPr>
              <w:spacing w:after="0"/>
              <w:rPr>
                <w:sz w:val="19"/>
                <w:szCs w:val="19"/>
                <w:color w:val="auto"/>
              </w:rPr>
            </w:pPr>
          </w:p>
        </w:tc>
        <w:tc>
          <w:tcPr>
            <w:tcW w:w="860" w:type="dxa"/>
            <w:vAlign w:val="bottom"/>
            <w:shd w:val="clear" w:color="auto" w:fill="2B338D"/>
          </w:tcPr>
          <w:p>
            <w:pPr>
              <w:spacing w:after="0"/>
              <w:rPr>
                <w:sz w:val="19"/>
                <w:szCs w:val="19"/>
                <w:color w:val="auto"/>
              </w:rPr>
            </w:pPr>
          </w:p>
        </w:tc>
        <w:tc>
          <w:tcPr>
            <w:tcW w:w="100" w:type="dxa"/>
            <w:vAlign w:val="bottom"/>
            <w:shd w:val="clear" w:color="auto" w:fill="2B338D"/>
          </w:tcPr>
          <w:p>
            <w:pPr>
              <w:spacing w:after="0"/>
              <w:rPr>
                <w:sz w:val="19"/>
                <w:szCs w:val="19"/>
                <w:color w:val="auto"/>
              </w:rPr>
            </w:pPr>
          </w:p>
        </w:tc>
        <w:tc>
          <w:tcPr>
            <w:tcW w:w="1020" w:type="dxa"/>
            <w:vAlign w:val="bottom"/>
            <w:shd w:val="clear" w:color="auto" w:fill="2B338D"/>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60" w:type="dxa"/>
            <w:vAlign w:val="bottom"/>
            <w:gridSpan w:val="3"/>
            <w:shd w:val="clear" w:color="auto" w:fill="009ADA"/>
          </w:tcPr>
          <w:p>
            <w:pPr>
              <w:jc w:val="center"/>
              <w:spacing w:after="0"/>
              <w:rPr>
                <w:sz w:val="20"/>
                <w:szCs w:val="20"/>
                <w:color w:val="auto"/>
              </w:rPr>
            </w:pPr>
            <w:r>
              <w:rPr>
                <w:rFonts w:ascii="Arial" w:cs="Arial" w:eastAsia="Arial" w:hAnsi="Arial"/>
                <w:sz w:val="14"/>
                <w:szCs w:val="14"/>
                <w:b w:val="1"/>
                <w:bCs w:val="1"/>
                <w:color w:val="FFFFFF"/>
              </w:rPr>
              <w:t>Equity Incentive Plan Awards</w:t>
            </w:r>
            <w:r>
              <w:rPr>
                <w:rFonts w:ascii="Arial" w:cs="Arial" w:eastAsia="Arial" w:hAnsi="Arial"/>
                <w:sz w:val="18"/>
                <w:szCs w:val="18"/>
                <w:b w:val="1"/>
                <w:bCs w:val="1"/>
                <w:color w:val="FFFFFF"/>
                <w:vertAlign w:val="superscript"/>
              </w:rPr>
              <w:t>(1)</w:t>
            </w:r>
          </w:p>
        </w:tc>
        <w:tc>
          <w:tcPr>
            <w:tcW w:w="2980" w:type="dxa"/>
            <w:vAlign w:val="bottom"/>
            <w:gridSpan w:val="3"/>
            <w:shd w:val="clear" w:color="auto" w:fill="009ADA"/>
          </w:tcPr>
          <w:p>
            <w:pPr>
              <w:jc w:val="center"/>
              <w:spacing w:after="0"/>
              <w:rPr>
                <w:sz w:val="20"/>
                <w:szCs w:val="20"/>
                <w:color w:val="auto"/>
              </w:rPr>
            </w:pPr>
            <w:r>
              <w:rPr>
                <w:rFonts w:ascii="Arial" w:cs="Arial" w:eastAsia="Arial" w:hAnsi="Arial"/>
                <w:sz w:val="14"/>
                <w:szCs w:val="14"/>
                <w:b w:val="1"/>
                <w:bCs w:val="1"/>
                <w:color w:val="FFFFFF"/>
                <w:w w:val="99"/>
              </w:rPr>
              <w:t>Incentive Plan Awards</w:t>
            </w:r>
            <w:r>
              <w:rPr>
                <w:rFonts w:ascii="Arial" w:cs="Arial" w:eastAsia="Arial" w:hAnsi="Arial"/>
                <w:sz w:val="18"/>
                <w:szCs w:val="18"/>
                <w:b w:val="1"/>
                <w:bCs w:val="1"/>
                <w:color w:val="FFFFFF"/>
                <w:w w:val="99"/>
                <w:vertAlign w:val="superscript"/>
              </w:rPr>
              <w:t>(2)</w:t>
            </w:r>
          </w:p>
        </w:tc>
        <w:tc>
          <w:tcPr>
            <w:tcW w:w="1020" w:type="dxa"/>
            <w:vAlign w:val="bottom"/>
            <w:shd w:val="clear" w:color="auto" w:fill="2B338D"/>
          </w:tcPr>
          <w:p>
            <w:pPr>
              <w:jc w:val="center"/>
              <w:spacing w:after="0"/>
              <w:rPr>
                <w:sz w:val="20"/>
                <w:szCs w:val="20"/>
                <w:color w:val="auto"/>
              </w:rPr>
            </w:pPr>
            <w:r>
              <w:rPr>
                <w:rFonts w:ascii="Arial" w:cs="Arial" w:eastAsia="Arial" w:hAnsi="Arial"/>
                <w:sz w:val="14"/>
                <w:szCs w:val="14"/>
                <w:b w:val="1"/>
                <w:bCs w:val="1"/>
                <w:color w:val="FFFFFF"/>
              </w:rPr>
              <w:t>All Other</w:t>
            </w:r>
          </w:p>
        </w:tc>
        <w:tc>
          <w:tcPr>
            <w:tcW w:w="100" w:type="dxa"/>
            <w:vAlign w:val="bottom"/>
            <w:shd w:val="clear" w:color="auto" w:fill="2B338D"/>
          </w:tcPr>
          <w:p>
            <w:pPr>
              <w:spacing w:after="0"/>
              <w:rPr>
                <w:sz w:val="18"/>
                <w:szCs w:val="18"/>
                <w:color w:val="auto"/>
              </w:rPr>
            </w:pPr>
          </w:p>
        </w:tc>
        <w:tc>
          <w:tcPr>
            <w:tcW w:w="860" w:type="dxa"/>
            <w:vAlign w:val="bottom"/>
            <w:shd w:val="clear" w:color="auto" w:fill="2B338D"/>
          </w:tcPr>
          <w:p>
            <w:pPr>
              <w:spacing w:after="0"/>
              <w:rPr>
                <w:sz w:val="18"/>
                <w:szCs w:val="18"/>
                <w:color w:val="auto"/>
              </w:rPr>
            </w:pPr>
          </w:p>
        </w:tc>
        <w:tc>
          <w:tcPr>
            <w:tcW w:w="100" w:type="dxa"/>
            <w:vAlign w:val="bottom"/>
            <w:shd w:val="clear" w:color="auto" w:fill="2B338D"/>
          </w:tcPr>
          <w:p>
            <w:pPr>
              <w:spacing w:after="0"/>
              <w:rPr>
                <w:sz w:val="18"/>
                <w:szCs w:val="18"/>
                <w:color w:val="auto"/>
              </w:rPr>
            </w:pPr>
          </w:p>
        </w:tc>
        <w:tc>
          <w:tcPr>
            <w:tcW w:w="1020" w:type="dxa"/>
            <w:vAlign w:val="bottom"/>
            <w:shd w:val="clear" w:color="auto" w:fill="2B338D"/>
          </w:tcPr>
          <w:p>
            <w:pPr>
              <w:jc w:val="right"/>
              <w:spacing w:after="0"/>
              <w:rPr>
                <w:sz w:val="20"/>
                <w:szCs w:val="20"/>
                <w:color w:val="auto"/>
              </w:rPr>
            </w:pPr>
            <w:r>
              <w:rPr>
                <w:rFonts w:ascii="Arial" w:cs="Arial" w:eastAsia="Arial" w:hAnsi="Arial"/>
                <w:sz w:val="14"/>
                <w:szCs w:val="14"/>
                <w:b w:val="1"/>
                <w:bCs w:val="1"/>
                <w:color w:val="FFFFFF"/>
              </w:rPr>
              <w:t>Grant</w:t>
            </w:r>
          </w:p>
        </w:tc>
        <w:tc>
          <w:tcPr>
            <w:tcW w:w="0" w:type="dxa"/>
            <w:vAlign w:val="bottom"/>
          </w:tcPr>
          <w:p>
            <w:pPr>
              <w:spacing w:after="0"/>
              <w:rPr>
                <w:sz w:val="1"/>
                <w:szCs w:val="1"/>
                <w:color w:val="auto"/>
              </w:rPr>
            </w:pPr>
          </w:p>
        </w:tc>
      </w:tr>
      <w:tr>
        <w:trPr>
          <w:trHeight w:val="94"/>
        </w:trPr>
        <w:tc>
          <w:tcPr>
            <w:tcW w:w="10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shd w:val="clear" w:color="auto" w:fill="009ADA"/>
          </w:tcPr>
          <w:p>
            <w:pPr>
              <w:spacing w:after="0"/>
              <w:rPr>
                <w:sz w:val="8"/>
                <w:szCs w:val="8"/>
                <w:color w:val="auto"/>
              </w:rPr>
            </w:pPr>
          </w:p>
        </w:tc>
        <w:tc>
          <w:tcPr>
            <w:tcW w:w="960" w:type="dxa"/>
            <w:vAlign w:val="bottom"/>
            <w:shd w:val="clear" w:color="auto" w:fill="009ADA"/>
          </w:tcPr>
          <w:p>
            <w:pPr>
              <w:spacing w:after="0"/>
              <w:rPr>
                <w:sz w:val="8"/>
                <w:szCs w:val="8"/>
                <w:color w:val="auto"/>
              </w:rPr>
            </w:pPr>
          </w:p>
        </w:tc>
        <w:tc>
          <w:tcPr>
            <w:tcW w:w="940" w:type="dxa"/>
            <w:vAlign w:val="bottom"/>
            <w:shd w:val="clear" w:color="auto" w:fill="009ADA"/>
          </w:tcPr>
          <w:p>
            <w:pPr>
              <w:spacing w:after="0"/>
              <w:rPr>
                <w:sz w:val="8"/>
                <w:szCs w:val="8"/>
                <w:color w:val="auto"/>
              </w:rPr>
            </w:pPr>
          </w:p>
        </w:tc>
        <w:tc>
          <w:tcPr>
            <w:tcW w:w="1000" w:type="dxa"/>
            <w:vAlign w:val="bottom"/>
            <w:shd w:val="clear" w:color="auto" w:fill="009ADA"/>
          </w:tcPr>
          <w:p>
            <w:pPr>
              <w:spacing w:after="0"/>
              <w:rPr>
                <w:sz w:val="8"/>
                <w:szCs w:val="8"/>
                <w:color w:val="auto"/>
              </w:rPr>
            </w:pPr>
          </w:p>
        </w:tc>
        <w:tc>
          <w:tcPr>
            <w:tcW w:w="960" w:type="dxa"/>
            <w:vAlign w:val="bottom"/>
            <w:shd w:val="clear" w:color="auto" w:fill="009ADA"/>
          </w:tcPr>
          <w:p>
            <w:pPr>
              <w:spacing w:after="0"/>
              <w:rPr>
                <w:sz w:val="8"/>
                <w:szCs w:val="8"/>
                <w:color w:val="auto"/>
              </w:rPr>
            </w:pPr>
          </w:p>
        </w:tc>
        <w:tc>
          <w:tcPr>
            <w:tcW w:w="1020" w:type="dxa"/>
            <w:vAlign w:val="bottom"/>
            <w:shd w:val="clear" w:color="auto" w:fill="009ADA"/>
          </w:tcPr>
          <w:p>
            <w:pPr>
              <w:spacing w:after="0"/>
              <w:rPr>
                <w:sz w:val="8"/>
                <w:szCs w:val="8"/>
                <w:color w:val="auto"/>
              </w:rPr>
            </w:pPr>
          </w:p>
        </w:tc>
        <w:tc>
          <w:tcPr>
            <w:tcW w:w="1020" w:type="dxa"/>
            <w:vAlign w:val="bottom"/>
            <w:vMerge w:val="restart"/>
            <w:shd w:val="clear" w:color="auto" w:fill="2B338D"/>
          </w:tcPr>
          <w:p>
            <w:pPr>
              <w:jc w:val="center"/>
              <w:spacing w:after="0"/>
              <w:rPr>
                <w:sz w:val="20"/>
                <w:szCs w:val="20"/>
                <w:color w:val="auto"/>
              </w:rPr>
            </w:pPr>
            <w:r>
              <w:rPr>
                <w:rFonts w:ascii="Arial" w:cs="Arial" w:eastAsia="Arial" w:hAnsi="Arial"/>
                <w:sz w:val="14"/>
                <w:szCs w:val="14"/>
                <w:b w:val="1"/>
                <w:bCs w:val="1"/>
                <w:color w:val="FFFFFF"/>
              </w:rPr>
              <w:t>Stock</w:t>
            </w:r>
          </w:p>
        </w:tc>
        <w:tc>
          <w:tcPr>
            <w:tcW w:w="100" w:type="dxa"/>
            <w:vAlign w:val="bottom"/>
            <w:shd w:val="clear" w:color="auto" w:fill="2B338D"/>
          </w:tcPr>
          <w:p>
            <w:pPr>
              <w:spacing w:after="0"/>
              <w:rPr>
                <w:sz w:val="8"/>
                <w:szCs w:val="8"/>
                <w:color w:val="auto"/>
              </w:rPr>
            </w:pPr>
          </w:p>
        </w:tc>
        <w:tc>
          <w:tcPr>
            <w:tcW w:w="860" w:type="dxa"/>
            <w:vAlign w:val="bottom"/>
            <w:shd w:val="clear" w:color="auto" w:fill="2B338D"/>
          </w:tcPr>
          <w:p>
            <w:pPr>
              <w:spacing w:after="0"/>
              <w:rPr>
                <w:sz w:val="8"/>
                <w:szCs w:val="8"/>
                <w:color w:val="auto"/>
              </w:rPr>
            </w:pPr>
          </w:p>
        </w:tc>
        <w:tc>
          <w:tcPr>
            <w:tcW w:w="100" w:type="dxa"/>
            <w:vAlign w:val="bottom"/>
            <w:shd w:val="clear" w:color="auto" w:fill="2B338D"/>
          </w:tcPr>
          <w:p>
            <w:pPr>
              <w:spacing w:after="0"/>
              <w:rPr>
                <w:sz w:val="8"/>
                <w:szCs w:val="8"/>
                <w:color w:val="auto"/>
              </w:rPr>
            </w:pPr>
          </w:p>
        </w:tc>
        <w:tc>
          <w:tcPr>
            <w:tcW w:w="1020" w:type="dxa"/>
            <w:vAlign w:val="bottom"/>
            <w:vMerge w:val="restart"/>
            <w:shd w:val="clear" w:color="auto" w:fill="2B338D"/>
          </w:tcPr>
          <w:p>
            <w:pPr>
              <w:jc w:val="right"/>
              <w:spacing w:after="0"/>
              <w:rPr>
                <w:sz w:val="20"/>
                <w:szCs w:val="20"/>
                <w:color w:val="auto"/>
              </w:rPr>
            </w:pPr>
            <w:r>
              <w:rPr>
                <w:rFonts w:ascii="Arial" w:cs="Arial" w:eastAsia="Arial" w:hAnsi="Arial"/>
                <w:sz w:val="14"/>
                <w:szCs w:val="14"/>
                <w:b w:val="1"/>
                <w:bCs w:val="1"/>
                <w:color w:val="FFFFFF"/>
              </w:rPr>
              <w:t>Date Fair</w:t>
            </w:r>
          </w:p>
        </w:tc>
        <w:tc>
          <w:tcPr>
            <w:tcW w:w="0" w:type="dxa"/>
            <w:vAlign w:val="bottom"/>
          </w:tcPr>
          <w:p>
            <w:pPr>
              <w:spacing w:after="0"/>
              <w:rPr>
                <w:sz w:val="1"/>
                <w:szCs w:val="1"/>
                <w:color w:val="auto"/>
              </w:rPr>
            </w:pPr>
          </w:p>
        </w:tc>
      </w:tr>
      <w:tr>
        <w:trPr>
          <w:trHeight w:val="68"/>
        </w:trPr>
        <w:tc>
          <w:tcPr>
            <w:tcW w:w="1080" w:type="dxa"/>
            <w:vAlign w:val="bottom"/>
            <w:shd w:val="clear" w:color="auto" w:fill="000000"/>
          </w:tcPr>
          <w:p>
            <w:pPr>
              <w:spacing w:after="0"/>
              <w:rPr>
                <w:sz w:val="5"/>
                <w:szCs w:val="5"/>
                <w:color w:val="auto"/>
              </w:rPr>
            </w:pPr>
          </w:p>
        </w:tc>
        <w:tc>
          <w:tcPr>
            <w:tcW w:w="1020" w:type="dxa"/>
            <w:vAlign w:val="bottom"/>
            <w:shd w:val="clear" w:color="auto" w:fill="2B338D"/>
          </w:tcPr>
          <w:p>
            <w:pPr>
              <w:spacing w:after="0"/>
              <w:rPr>
                <w:sz w:val="5"/>
                <w:szCs w:val="5"/>
                <w:color w:val="auto"/>
              </w:rPr>
            </w:pPr>
          </w:p>
        </w:tc>
        <w:tc>
          <w:tcPr>
            <w:tcW w:w="100" w:type="dxa"/>
            <w:vAlign w:val="bottom"/>
            <w:shd w:val="clear" w:color="auto" w:fill="2B338D"/>
          </w:tcPr>
          <w:p>
            <w:pPr>
              <w:spacing w:after="0"/>
              <w:rPr>
                <w:sz w:val="5"/>
                <w:szCs w:val="5"/>
                <w:color w:val="auto"/>
              </w:rPr>
            </w:pPr>
          </w:p>
        </w:tc>
        <w:tc>
          <w:tcPr>
            <w:tcW w:w="1060" w:type="dxa"/>
            <w:vAlign w:val="bottom"/>
            <w:shd w:val="clear" w:color="auto" w:fill="2B338D"/>
          </w:tcPr>
          <w:p>
            <w:pPr>
              <w:spacing w:after="0"/>
              <w:rPr>
                <w:sz w:val="5"/>
                <w:szCs w:val="5"/>
                <w:color w:val="auto"/>
              </w:rPr>
            </w:pPr>
          </w:p>
        </w:tc>
        <w:tc>
          <w:tcPr>
            <w:tcW w:w="960" w:type="dxa"/>
            <w:vAlign w:val="bottom"/>
            <w:shd w:val="clear" w:color="auto" w:fill="2B338D"/>
          </w:tcPr>
          <w:p>
            <w:pPr>
              <w:spacing w:after="0"/>
              <w:rPr>
                <w:sz w:val="5"/>
                <w:szCs w:val="5"/>
                <w:color w:val="auto"/>
              </w:rPr>
            </w:pPr>
          </w:p>
        </w:tc>
        <w:tc>
          <w:tcPr>
            <w:tcW w:w="940" w:type="dxa"/>
            <w:vAlign w:val="bottom"/>
            <w:shd w:val="clear" w:color="auto" w:fill="2B338D"/>
          </w:tcPr>
          <w:p>
            <w:pPr>
              <w:spacing w:after="0"/>
              <w:rPr>
                <w:sz w:val="5"/>
                <w:szCs w:val="5"/>
                <w:color w:val="auto"/>
              </w:rPr>
            </w:pPr>
          </w:p>
        </w:tc>
        <w:tc>
          <w:tcPr>
            <w:tcW w:w="1000" w:type="dxa"/>
            <w:vAlign w:val="bottom"/>
            <w:shd w:val="clear" w:color="auto" w:fill="2B338D"/>
          </w:tcPr>
          <w:p>
            <w:pPr>
              <w:spacing w:after="0"/>
              <w:rPr>
                <w:sz w:val="5"/>
                <w:szCs w:val="5"/>
                <w:color w:val="auto"/>
              </w:rPr>
            </w:pPr>
          </w:p>
        </w:tc>
        <w:tc>
          <w:tcPr>
            <w:tcW w:w="960" w:type="dxa"/>
            <w:vAlign w:val="bottom"/>
            <w:shd w:val="clear" w:color="auto" w:fill="2B338D"/>
          </w:tcPr>
          <w:p>
            <w:pPr>
              <w:spacing w:after="0"/>
              <w:rPr>
                <w:sz w:val="5"/>
                <w:szCs w:val="5"/>
                <w:color w:val="auto"/>
              </w:rPr>
            </w:pPr>
          </w:p>
        </w:tc>
        <w:tc>
          <w:tcPr>
            <w:tcW w:w="1020" w:type="dxa"/>
            <w:vAlign w:val="bottom"/>
            <w:shd w:val="clear" w:color="auto" w:fill="2B338D"/>
          </w:tcPr>
          <w:p>
            <w:pPr>
              <w:spacing w:after="0"/>
              <w:rPr>
                <w:sz w:val="5"/>
                <w:szCs w:val="5"/>
                <w:color w:val="auto"/>
              </w:rPr>
            </w:pPr>
          </w:p>
        </w:tc>
        <w:tc>
          <w:tcPr>
            <w:tcW w:w="1020" w:type="dxa"/>
            <w:vAlign w:val="bottom"/>
            <w:vMerge w:val="continue"/>
            <w:shd w:val="clear" w:color="auto" w:fill="2B338D"/>
          </w:tcPr>
          <w:p>
            <w:pPr>
              <w:spacing w:after="0"/>
              <w:rPr>
                <w:sz w:val="5"/>
                <w:szCs w:val="5"/>
                <w:color w:val="auto"/>
              </w:rPr>
            </w:pPr>
          </w:p>
        </w:tc>
        <w:tc>
          <w:tcPr>
            <w:tcW w:w="100" w:type="dxa"/>
            <w:vAlign w:val="bottom"/>
            <w:shd w:val="clear" w:color="auto" w:fill="2B338D"/>
          </w:tcPr>
          <w:p>
            <w:pPr>
              <w:spacing w:after="0"/>
              <w:rPr>
                <w:sz w:val="5"/>
                <w:szCs w:val="5"/>
                <w:color w:val="auto"/>
              </w:rPr>
            </w:pPr>
          </w:p>
        </w:tc>
        <w:tc>
          <w:tcPr>
            <w:tcW w:w="860" w:type="dxa"/>
            <w:vAlign w:val="bottom"/>
            <w:shd w:val="clear" w:color="auto" w:fill="2B338D"/>
          </w:tcPr>
          <w:p>
            <w:pPr>
              <w:spacing w:after="0"/>
              <w:rPr>
                <w:sz w:val="5"/>
                <w:szCs w:val="5"/>
                <w:color w:val="auto"/>
              </w:rPr>
            </w:pPr>
          </w:p>
        </w:tc>
        <w:tc>
          <w:tcPr>
            <w:tcW w:w="100" w:type="dxa"/>
            <w:vAlign w:val="bottom"/>
            <w:shd w:val="clear" w:color="auto" w:fill="2B338D"/>
          </w:tcPr>
          <w:p>
            <w:pPr>
              <w:spacing w:after="0"/>
              <w:rPr>
                <w:sz w:val="5"/>
                <w:szCs w:val="5"/>
                <w:color w:val="auto"/>
              </w:rPr>
            </w:pPr>
          </w:p>
        </w:tc>
        <w:tc>
          <w:tcPr>
            <w:tcW w:w="1020" w:type="dxa"/>
            <w:vAlign w:val="bottom"/>
            <w:vMerge w:val="continue"/>
            <w:shd w:val="clear" w:color="auto" w:fill="2B338D"/>
          </w:tcPr>
          <w:p>
            <w:pPr>
              <w:spacing w:after="0"/>
              <w:rPr>
                <w:sz w:val="5"/>
                <w:szCs w:val="5"/>
                <w:color w:val="auto"/>
              </w:rPr>
            </w:pPr>
          </w:p>
        </w:tc>
        <w:tc>
          <w:tcPr>
            <w:tcW w:w="0" w:type="dxa"/>
            <w:vAlign w:val="bottom"/>
          </w:tcPr>
          <w:p>
            <w:pPr>
              <w:spacing w:after="0"/>
              <w:rPr>
                <w:sz w:val="1"/>
                <w:szCs w:val="1"/>
                <w:color w:val="auto"/>
              </w:rPr>
            </w:pPr>
          </w:p>
        </w:tc>
      </w:tr>
      <w:tr>
        <w:trPr>
          <w:trHeight w:val="54"/>
        </w:trPr>
        <w:tc>
          <w:tcPr>
            <w:tcW w:w="1080" w:type="dxa"/>
            <w:vAlign w:val="bottom"/>
            <w:shd w:val="clear" w:color="auto" w:fill="000000"/>
          </w:tcPr>
          <w:p>
            <w:pPr>
              <w:spacing w:after="0"/>
              <w:rPr>
                <w:sz w:val="4"/>
                <w:szCs w:val="4"/>
                <w:color w:val="auto"/>
              </w:rPr>
            </w:pPr>
          </w:p>
        </w:tc>
        <w:tc>
          <w:tcPr>
            <w:tcW w:w="1020" w:type="dxa"/>
            <w:vAlign w:val="bottom"/>
            <w:shd w:val="clear" w:color="auto" w:fill="2B338D"/>
          </w:tcPr>
          <w:p>
            <w:pPr>
              <w:spacing w:after="0"/>
              <w:rPr>
                <w:sz w:val="4"/>
                <w:szCs w:val="4"/>
                <w:color w:val="auto"/>
              </w:rPr>
            </w:pPr>
          </w:p>
        </w:tc>
        <w:tc>
          <w:tcPr>
            <w:tcW w:w="100" w:type="dxa"/>
            <w:vAlign w:val="bottom"/>
            <w:shd w:val="clear" w:color="auto" w:fill="2B338D"/>
          </w:tcPr>
          <w:p>
            <w:pPr>
              <w:spacing w:after="0"/>
              <w:rPr>
                <w:sz w:val="4"/>
                <w:szCs w:val="4"/>
                <w:color w:val="auto"/>
              </w:rPr>
            </w:pPr>
          </w:p>
        </w:tc>
        <w:tc>
          <w:tcPr>
            <w:tcW w:w="1060" w:type="dxa"/>
            <w:vAlign w:val="bottom"/>
            <w:shd w:val="clear" w:color="auto" w:fill="2B338D"/>
          </w:tcPr>
          <w:p>
            <w:pPr>
              <w:spacing w:after="0"/>
              <w:rPr>
                <w:sz w:val="4"/>
                <w:szCs w:val="4"/>
                <w:color w:val="auto"/>
              </w:rPr>
            </w:pPr>
          </w:p>
        </w:tc>
        <w:tc>
          <w:tcPr>
            <w:tcW w:w="960" w:type="dxa"/>
            <w:vAlign w:val="bottom"/>
            <w:shd w:val="clear" w:color="auto" w:fill="2B338D"/>
          </w:tcPr>
          <w:p>
            <w:pPr>
              <w:spacing w:after="0"/>
              <w:rPr>
                <w:sz w:val="4"/>
                <w:szCs w:val="4"/>
                <w:color w:val="auto"/>
              </w:rPr>
            </w:pPr>
          </w:p>
        </w:tc>
        <w:tc>
          <w:tcPr>
            <w:tcW w:w="940" w:type="dxa"/>
            <w:vAlign w:val="bottom"/>
            <w:shd w:val="clear" w:color="auto" w:fill="2B338D"/>
          </w:tcPr>
          <w:p>
            <w:pPr>
              <w:spacing w:after="0"/>
              <w:rPr>
                <w:sz w:val="4"/>
                <w:szCs w:val="4"/>
                <w:color w:val="auto"/>
              </w:rPr>
            </w:pPr>
          </w:p>
        </w:tc>
        <w:tc>
          <w:tcPr>
            <w:tcW w:w="1000" w:type="dxa"/>
            <w:vAlign w:val="bottom"/>
            <w:shd w:val="clear" w:color="auto" w:fill="2B338D"/>
          </w:tcPr>
          <w:p>
            <w:pPr>
              <w:spacing w:after="0"/>
              <w:rPr>
                <w:sz w:val="4"/>
                <w:szCs w:val="4"/>
                <w:color w:val="auto"/>
              </w:rPr>
            </w:pPr>
          </w:p>
        </w:tc>
        <w:tc>
          <w:tcPr>
            <w:tcW w:w="960" w:type="dxa"/>
            <w:vAlign w:val="bottom"/>
            <w:shd w:val="clear" w:color="auto" w:fill="2B338D"/>
          </w:tcPr>
          <w:p>
            <w:pPr>
              <w:spacing w:after="0"/>
              <w:rPr>
                <w:sz w:val="4"/>
                <w:szCs w:val="4"/>
                <w:color w:val="auto"/>
              </w:rPr>
            </w:pPr>
          </w:p>
        </w:tc>
        <w:tc>
          <w:tcPr>
            <w:tcW w:w="1020" w:type="dxa"/>
            <w:vAlign w:val="bottom"/>
            <w:shd w:val="clear" w:color="auto" w:fill="2B338D"/>
          </w:tcPr>
          <w:p>
            <w:pPr>
              <w:spacing w:after="0"/>
              <w:rPr>
                <w:sz w:val="4"/>
                <w:szCs w:val="4"/>
                <w:color w:val="auto"/>
              </w:rPr>
            </w:pPr>
          </w:p>
        </w:tc>
        <w:tc>
          <w:tcPr>
            <w:tcW w:w="1020" w:type="dxa"/>
            <w:vAlign w:val="bottom"/>
            <w:vMerge w:val="restart"/>
            <w:shd w:val="clear" w:color="auto" w:fill="2B338D"/>
          </w:tcPr>
          <w:p>
            <w:pPr>
              <w:jc w:val="center"/>
              <w:spacing w:after="0"/>
              <w:rPr>
                <w:sz w:val="20"/>
                <w:szCs w:val="20"/>
                <w:color w:val="auto"/>
              </w:rPr>
            </w:pPr>
            <w:r>
              <w:rPr>
                <w:rFonts w:ascii="Arial" w:cs="Arial" w:eastAsia="Arial" w:hAnsi="Arial"/>
                <w:sz w:val="14"/>
                <w:szCs w:val="14"/>
                <w:b w:val="1"/>
                <w:bCs w:val="1"/>
                <w:color w:val="FFFFFF"/>
              </w:rPr>
              <w:t>Awards:</w:t>
            </w:r>
          </w:p>
        </w:tc>
        <w:tc>
          <w:tcPr>
            <w:tcW w:w="100" w:type="dxa"/>
            <w:vAlign w:val="bottom"/>
            <w:shd w:val="clear" w:color="auto" w:fill="2B338D"/>
          </w:tcPr>
          <w:p>
            <w:pPr>
              <w:spacing w:after="0"/>
              <w:rPr>
                <w:sz w:val="4"/>
                <w:szCs w:val="4"/>
                <w:color w:val="auto"/>
              </w:rPr>
            </w:pPr>
          </w:p>
        </w:tc>
        <w:tc>
          <w:tcPr>
            <w:tcW w:w="860" w:type="dxa"/>
            <w:vAlign w:val="bottom"/>
            <w:shd w:val="clear" w:color="auto" w:fill="2B338D"/>
          </w:tcPr>
          <w:p>
            <w:pPr>
              <w:spacing w:after="0"/>
              <w:rPr>
                <w:sz w:val="4"/>
                <w:szCs w:val="4"/>
                <w:color w:val="auto"/>
              </w:rPr>
            </w:pPr>
          </w:p>
        </w:tc>
        <w:tc>
          <w:tcPr>
            <w:tcW w:w="100" w:type="dxa"/>
            <w:vAlign w:val="bottom"/>
            <w:shd w:val="clear" w:color="auto" w:fill="2B338D"/>
          </w:tcPr>
          <w:p>
            <w:pPr>
              <w:spacing w:after="0"/>
              <w:rPr>
                <w:sz w:val="4"/>
                <w:szCs w:val="4"/>
                <w:color w:val="auto"/>
              </w:rPr>
            </w:pPr>
          </w:p>
        </w:tc>
        <w:tc>
          <w:tcPr>
            <w:tcW w:w="1020" w:type="dxa"/>
            <w:vAlign w:val="bottom"/>
            <w:vMerge w:val="continue"/>
            <w:shd w:val="clear" w:color="auto" w:fill="2B338D"/>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1080" w:type="dxa"/>
            <w:vAlign w:val="bottom"/>
            <w:shd w:val="clear" w:color="auto" w:fill="000000"/>
          </w:tcPr>
          <w:p>
            <w:pPr>
              <w:spacing w:after="0"/>
              <w:rPr>
                <w:sz w:val="9"/>
                <w:szCs w:val="9"/>
                <w:color w:val="auto"/>
              </w:rPr>
            </w:pPr>
          </w:p>
        </w:tc>
        <w:tc>
          <w:tcPr>
            <w:tcW w:w="1020" w:type="dxa"/>
            <w:vAlign w:val="bottom"/>
            <w:shd w:val="clear" w:color="auto" w:fill="2B338D"/>
          </w:tcPr>
          <w:p>
            <w:pPr>
              <w:spacing w:after="0"/>
              <w:rPr>
                <w:sz w:val="9"/>
                <w:szCs w:val="9"/>
                <w:color w:val="auto"/>
              </w:rPr>
            </w:pPr>
          </w:p>
        </w:tc>
        <w:tc>
          <w:tcPr>
            <w:tcW w:w="100" w:type="dxa"/>
            <w:vAlign w:val="bottom"/>
            <w:shd w:val="clear" w:color="auto" w:fill="2B338D"/>
          </w:tcPr>
          <w:p>
            <w:pPr>
              <w:spacing w:after="0"/>
              <w:rPr>
                <w:sz w:val="9"/>
                <w:szCs w:val="9"/>
                <w:color w:val="auto"/>
              </w:rPr>
            </w:pPr>
          </w:p>
        </w:tc>
        <w:tc>
          <w:tcPr>
            <w:tcW w:w="1060" w:type="dxa"/>
            <w:vAlign w:val="bottom"/>
            <w:shd w:val="clear" w:color="auto" w:fill="2B338D"/>
          </w:tcPr>
          <w:p>
            <w:pPr>
              <w:spacing w:after="0"/>
              <w:rPr>
                <w:sz w:val="9"/>
                <w:szCs w:val="9"/>
                <w:color w:val="auto"/>
              </w:rPr>
            </w:pPr>
          </w:p>
        </w:tc>
        <w:tc>
          <w:tcPr>
            <w:tcW w:w="960" w:type="dxa"/>
            <w:vAlign w:val="bottom"/>
            <w:shd w:val="clear" w:color="auto" w:fill="2B338D"/>
          </w:tcPr>
          <w:p>
            <w:pPr>
              <w:spacing w:after="0"/>
              <w:rPr>
                <w:sz w:val="9"/>
                <w:szCs w:val="9"/>
                <w:color w:val="auto"/>
              </w:rPr>
            </w:pPr>
          </w:p>
        </w:tc>
        <w:tc>
          <w:tcPr>
            <w:tcW w:w="940" w:type="dxa"/>
            <w:vAlign w:val="bottom"/>
            <w:shd w:val="clear" w:color="auto" w:fill="2B338D"/>
          </w:tcPr>
          <w:p>
            <w:pPr>
              <w:spacing w:after="0"/>
              <w:rPr>
                <w:sz w:val="9"/>
                <w:szCs w:val="9"/>
                <w:color w:val="auto"/>
              </w:rPr>
            </w:pPr>
          </w:p>
        </w:tc>
        <w:tc>
          <w:tcPr>
            <w:tcW w:w="1000" w:type="dxa"/>
            <w:vAlign w:val="bottom"/>
            <w:shd w:val="clear" w:color="auto" w:fill="2B338D"/>
          </w:tcPr>
          <w:p>
            <w:pPr>
              <w:spacing w:after="0"/>
              <w:rPr>
                <w:sz w:val="9"/>
                <w:szCs w:val="9"/>
                <w:color w:val="auto"/>
              </w:rPr>
            </w:pPr>
          </w:p>
        </w:tc>
        <w:tc>
          <w:tcPr>
            <w:tcW w:w="960" w:type="dxa"/>
            <w:vAlign w:val="bottom"/>
            <w:shd w:val="clear" w:color="auto" w:fill="2B338D"/>
          </w:tcPr>
          <w:p>
            <w:pPr>
              <w:spacing w:after="0"/>
              <w:rPr>
                <w:sz w:val="9"/>
                <w:szCs w:val="9"/>
                <w:color w:val="auto"/>
              </w:rPr>
            </w:pPr>
          </w:p>
        </w:tc>
        <w:tc>
          <w:tcPr>
            <w:tcW w:w="1020" w:type="dxa"/>
            <w:vAlign w:val="bottom"/>
            <w:shd w:val="clear" w:color="auto" w:fill="2B338D"/>
          </w:tcPr>
          <w:p>
            <w:pPr>
              <w:spacing w:after="0"/>
              <w:rPr>
                <w:sz w:val="9"/>
                <w:szCs w:val="9"/>
                <w:color w:val="auto"/>
              </w:rPr>
            </w:pPr>
          </w:p>
        </w:tc>
        <w:tc>
          <w:tcPr>
            <w:tcW w:w="1020" w:type="dxa"/>
            <w:vAlign w:val="bottom"/>
            <w:vMerge w:val="continue"/>
            <w:shd w:val="clear" w:color="auto" w:fill="2B338D"/>
          </w:tcPr>
          <w:p>
            <w:pPr>
              <w:spacing w:after="0"/>
              <w:rPr>
                <w:sz w:val="9"/>
                <w:szCs w:val="9"/>
                <w:color w:val="auto"/>
              </w:rPr>
            </w:pPr>
          </w:p>
        </w:tc>
        <w:tc>
          <w:tcPr>
            <w:tcW w:w="100" w:type="dxa"/>
            <w:vAlign w:val="bottom"/>
            <w:shd w:val="clear" w:color="auto" w:fill="2B338D"/>
          </w:tcPr>
          <w:p>
            <w:pPr>
              <w:spacing w:after="0"/>
              <w:rPr>
                <w:sz w:val="9"/>
                <w:szCs w:val="9"/>
                <w:color w:val="auto"/>
              </w:rPr>
            </w:pPr>
          </w:p>
        </w:tc>
        <w:tc>
          <w:tcPr>
            <w:tcW w:w="860" w:type="dxa"/>
            <w:vAlign w:val="bottom"/>
            <w:shd w:val="clear" w:color="auto" w:fill="2B338D"/>
          </w:tcPr>
          <w:p>
            <w:pPr>
              <w:spacing w:after="0"/>
              <w:rPr>
                <w:sz w:val="9"/>
                <w:szCs w:val="9"/>
                <w:color w:val="auto"/>
              </w:rPr>
            </w:pPr>
          </w:p>
        </w:tc>
        <w:tc>
          <w:tcPr>
            <w:tcW w:w="100" w:type="dxa"/>
            <w:vAlign w:val="bottom"/>
            <w:shd w:val="clear" w:color="auto" w:fill="2B338D"/>
          </w:tcPr>
          <w:p>
            <w:pPr>
              <w:spacing w:after="0"/>
              <w:rPr>
                <w:sz w:val="9"/>
                <w:szCs w:val="9"/>
                <w:color w:val="auto"/>
              </w:rPr>
            </w:pPr>
          </w:p>
        </w:tc>
        <w:tc>
          <w:tcPr>
            <w:tcW w:w="1020" w:type="dxa"/>
            <w:vAlign w:val="bottom"/>
            <w:vMerge w:val="restart"/>
            <w:shd w:val="clear" w:color="auto" w:fill="2B338D"/>
          </w:tcPr>
          <w:p>
            <w:pPr>
              <w:jc w:val="right"/>
              <w:spacing w:after="0"/>
              <w:rPr>
                <w:sz w:val="20"/>
                <w:szCs w:val="20"/>
                <w:color w:val="auto"/>
              </w:rPr>
            </w:pPr>
            <w:r>
              <w:rPr>
                <w:rFonts w:ascii="Arial" w:cs="Arial" w:eastAsia="Arial" w:hAnsi="Arial"/>
                <w:sz w:val="14"/>
                <w:szCs w:val="14"/>
                <w:b w:val="1"/>
                <w:bCs w:val="1"/>
                <w:color w:val="FFFFFF"/>
              </w:rPr>
              <w:t>Value of</w:t>
            </w:r>
          </w:p>
        </w:tc>
        <w:tc>
          <w:tcPr>
            <w:tcW w:w="0" w:type="dxa"/>
            <w:vAlign w:val="bottom"/>
          </w:tcPr>
          <w:p>
            <w:pPr>
              <w:spacing w:after="0"/>
              <w:rPr>
                <w:sz w:val="1"/>
                <w:szCs w:val="1"/>
                <w:color w:val="auto"/>
              </w:rPr>
            </w:pPr>
          </w:p>
        </w:tc>
      </w:tr>
      <w:tr>
        <w:trPr>
          <w:trHeight w:val="54"/>
        </w:trPr>
        <w:tc>
          <w:tcPr>
            <w:tcW w:w="1080" w:type="dxa"/>
            <w:vAlign w:val="bottom"/>
            <w:shd w:val="clear" w:color="auto" w:fill="000000"/>
          </w:tcPr>
          <w:p>
            <w:pPr>
              <w:spacing w:after="0"/>
              <w:rPr>
                <w:sz w:val="4"/>
                <w:szCs w:val="4"/>
                <w:color w:val="auto"/>
              </w:rPr>
            </w:pPr>
          </w:p>
        </w:tc>
        <w:tc>
          <w:tcPr>
            <w:tcW w:w="1020" w:type="dxa"/>
            <w:vAlign w:val="bottom"/>
            <w:shd w:val="clear" w:color="auto" w:fill="2B338D"/>
          </w:tcPr>
          <w:p>
            <w:pPr>
              <w:spacing w:after="0"/>
              <w:rPr>
                <w:sz w:val="4"/>
                <w:szCs w:val="4"/>
                <w:color w:val="auto"/>
              </w:rPr>
            </w:pPr>
          </w:p>
        </w:tc>
        <w:tc>
          <w:tcPr>
            <w:tcW w:w="100" w:type="dxa"/>
            <w:vAlign w:val="bottom"/>
            <w:shd w:val="clear" w:color="auto" w:fill="2B338D"/>
          </w:tcPr>
          <w:p>
            <w:pPr>
              <w:spacing w:after="0"/>
              <w:rPr>
                <w:sz w:val="4"/>
                <w:szCs w:val="4"/>
                <w:color w:val="auto"/>
              </w:rPr>
            </w:pPr>
          </w:p>
        </w:tc>
        <w:tc>
          <w:tcPr>
            <w:tcW w:w="1060" w:type="dxa"/>
            <w:vAlign w:val="bottom"/>
            <w:shd w:val="clear" w:color="auto" w:fill="2B338D"/>
          </w:tcPr>
          <w:p>
            <w:pPr>
              <w:spacing w:after="0"/>
              <w:rPr>
                <w:sz w:val="4"/>
                <w:szCs w:val="4"/>
                <w:color w:val="auto"/>
              </w:rPr>
            </w:pPr>
          </w:p>
        </w:tc>
        <w:tc>
          <w:tcPr>
            <w:tcW w:w="960" w:type="dxa"/>
            <w:vAlign w:val="bottom"/>
            <w:shd w:val="clear" w:color="auto" w:fill="2B338D"/>
          </w:tcPr>
          <w:p>
            <w:pPr>
              <w:spacing w:after="0"/>
              <w:rPr>
                <w:sz w:val="4"/>
                <w:szCs w:val="4"/>
                <w:color w:val="auto"/>
              </w:rPr>
            </w:pPr>
          </w:p>
        </w:tc>
        <w:tc>
          <w:tcPr>
            <w:tcW w:w="940" w:type="dxa"/>
            <w:vAlign w:val="bottom"/>
            <w:shd w:val="clear" w:color="auto" w:fill="2B338D"/>
          </w:tcPr>
          <w:p>
            <w:pPr>
              <w:spacing w:after="0"/>
              <w:rPr>
                <w:sz w:val="4"/>
                <w:szCs w:val="4"/>
                <w:color w:val="auto"/>
              </w:rPr>
            </w:pPr>
          </w:p>
        </w:tc>
        <w:tc>
          <w:tcPr>
            <w:tcW w:w="1000" w:type="dxa"/>
            <w:vAlign w:val="bottom"/>
            <w:shd w:val="clear" w:color="auto" w:fill="2B338D"/>
          </w:tcPr>
          <w:p>
            <w:pPr>
              <w:spacing w:after="0"/>
              <w:rPr>
                <w:sz w:val="4"/>
                <w:szCs w:val="4"/>
                <w:color w:val="auto"/>
              </w:rPr>
            </w:pPr>
          </w:p>
        </w:tc>
        <w:tc>
          <w:tcPr>
            <w:tcW w:w="960" w:type="dxa"/>
            <w:vAlign w:val="bottom"/>
            <w:shd w:val="clear" w:color="auto" w:fill="2B338D"/>
          </w:tcPr>
          <w:p>
            <w:pPr>
              <w:spacing w:after="0"/>
              <w:rPr>
                <w:sz w:val="4"/>
                <w:szCs w:val="4"/>
                <w:color w:val="auto"/>
              </w:rPr>
            </w:pPr>
          </w:p>
        </w:tc>
        <w:tc>
          <w:tcPr>
            <w:tcW w:w="1020" w:type="dxa"/>
            <w:vAlign w:val="bottom"/>
            <w:shd w:val="clear" w:color="auto" w:fill="2B338D"/>
          </w:tcPr>
          <w:p>
            <w:pPr>
              <w:spacing w:after="0"/>
              <w:rPr>
                <w:sz w:val="4"/>
                <w:szCs w:val="4"/>
                <w:color w:val="auto"/>
              </w:rPr>
            </w:pPr>
          </w:p>
        </w:tc>
        <w:tc>
          <w:tcPr>
            <w:tcW w:w="1020" w:type="dxa"/>
            <w:vAlign w:val="bottom"/>
            <w:vMerge w:val="restart"/>
            <w:shd w:val="clear" w:color="auto" w:fill="2B338D"/>
          </w:tcPr>
          <w:p>
            <w:pPr>
              <w:jc w:val="center"/>
              <w:spacing w:after="0"/>
              <w:rPr>
                <w:sz w:val="20"/>
                <w:szCs w:val="20"/>
                <w:color w:val="auto"/>
              </w:rPr>
            </w:pPr>
            <w:r>
              <w:rPr>
                <w:rFonts w:ascii="Arial" w:cs="Arial" w:eastAsia="Arial" w:hAnsi="Arial"/>
                <w:sz w:val="14"/>
                <w:szCs w:val="14"/>
                <w:b w:val="1"/>
                <w:bCs w:val="1"/>
                <w:color w:val="FFFFFF"/>
              </w:rPr>
              <w:t>Number of</w:t>
            </w:r>
          </w:p>
        </w:tc>
        <w:tc>
          <w:tcPr>
            <w:tcW w:w="100" w:type="dxa"/>
            <w:vAlign w:val="bottom"/>
            <w:shd w:val="clear" w:color="auto" w:fill="2B338D"/>
          </w:tcPr>
          <w:p>
            <w:pPr>
              <w:spacing w:after="0"/>
              <w:rPr>
                <w:sz w:val="4"/>
                <w:szCs w:val="4"/>
                <w:color w:val="auto"/>
              </w:rPr>
            </w:pPr>
          </w:p>
        </w:tc>
        <w:tc>
          <w:tcPr>
            <w:tcW w:w="860" w:type="dxa"/>
            <w:vAlign w:val="bottom"/>
            <w:vMerge w:val="restart"/>
            <w:shd w:val="clear" w:color="auto" w:fill="2B338D"/>
          </w:tcPr>
          <w:p>
            <w:pPr>
              <w:jc w:val="right"/>
              <w:spacing w:after="0"/>
              <w:rPr>
                <w:sz w:val="20"/>
                <w:szCs w:val="20"/>
                <w:color w:val="auto"/>
              </w:rPr>
            </w:pPr>
            <w:r>
              <w:rPr>
                <w:rFonts w:ascii="Arial" w:cs="Arial" w:eastAsia="Arial" w:hAnsi="Arial"/>
                <w:sz w:val="14"/>
                <w:szCs w:val="14"/>
                <w:b w:val="1"/>
                <w:bCs w:val="1"/>
                <w:color w:val="FFFFFF"/>
              </w:rPr>
              <w:t>Exercise</w:t>
            </w:r>
          </w:p>
        </w:tc>
        <w:tc>
          <w:tcPr>
            <w:tcW w:w="100" w:type="dxa"/>
            <w:vAlign w:val="bottom"/>
            <w:shd w:val="clear" w:color="auto" w:fill="2B338D"/>
          </w:tcPr>
          <w:p>
            <w:pPr>
              <w:spacing w:after="0"/>
              <w:rPr>
                <w:sz w:val="4"/>
                <w:szCs w:val="4"/>
                <w:color w:val="auto"/>
              </w:rPr>
            </w:pPr>
          </w:p>
        </w:tc>
        <w:tc>
          <w:tcPr>
            <w:tcW w:w="1020" w:type="dxa"/>
            <w:vAlign w:val="bottom"/>
            <w:vMerge w:val="continue"/>
            <w:shd w:val="clear" w:color="auto" w:fill="2B338D"/>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1080" w:type="dxa"/>
            <w:vAlign w:val="bottom"/>
            <w:shd w:val="clear" w:color="auto" w:fill="000000"/>
          </w:tcPr>
          <w:p>
            <w:pPr>
              <w:spacing w:after="0"/>
              <w:rPr>
                <w:sz w:val="9"/>
                <w:szCs w:val="9"/>
                <w:color w:val="auto"/>
              </w:rPr>
            </w:pPr>
          </w:p>
        </w:tc>
        <w:tc>
          <w:tcPr>
            <w:tcW w:w="1020" w:type="dxa"/>
            <w:vAlign w:val="bottom"/>
            <w:shd w:val="clear" w:color="auto" w:fill="2B338D"/>
          </w:tcPr>
          <w:p>
            <w:pPr>
              <w:spacing w:after="0"/>
              <w:rPr>
                <w:sz w:val="9"/>
                <w:szCs w:val="9"/>
                <w:color w:val="auto"/>
              </w:rPr>
            </w:pPr>
          </w:p>
        </w:tc>
        <w:tc>
          <w:tcPr>
            <w:tcW w:w="100" w:type="dxa"/>
            <w:vAlign w:val="bottom"/>
            <w:shd w:val="clear" w:color="auto" w:fill="2B338D"/>
          </w:tcPr>
          <w:p>
            <w:pPr>
              <w:spacing w:after="0"/>
              <w:rPr>
                <w:sz w:val="9"/>
                <w:szCs w:val="9"/>
                <w:color w:val="auto"/>
              </w:rPr>
            </w:pPr>
          </w:p>
        </w:tc>
        <w:tc>
          <w:tcPr>
            <w:tcW w:w="1060" w:type="dxa"/>
            <w:vAlign w:val="bottom"/>
            <w:shd w:val="clear" w:color="auto" w:fill="2B338D"/>
          </w:tcPr>
          <w:p>
            <w:pPr>
              <w:spacing w:after="0"/>
              <w:rPr>
                <w:sz w:val="9"/>
                <w:szCs w:val="9"/>
                <w:color w:val="auto"/>
              </w:rPr>
            </w:pPr>
          </w:p>
        </w:tc>
        <w:tc>
          <w:tcPr>
            <w:tcW w:w="960" w:type="dxa"/>
            <w:vAlign w:val="bottom"/>
            <w:shd w:val="clear" w:color="auto" w:fill="2B338D"/>
          </w:tcPr>
          <w:p>
            <w:pPr>
              <w:spacing w:after="0"/>
              <w:rPr>
                <w:sz w:val="9"/>
                <w:szCs w:val="9"/>
                <w:color w:val="auto"/>
              </w:rPr>
            </w:pPr>
          </w:p>
        </w:tc>
        <w:tc>
          <w:tcPr>
            <w:tcW w:w="940" w:type="dxa"/>
            <w:vAlign w:val="bottom"/>
            <w:shd w:val="clear" w:color="auto" w:fill="2B338D"/>
          </w:tcPr>
          <w:p>
            <w:pPr>
              <w:spacing w:after="0"/>
              <w:rPr>
                <w:sz w:val="9"/>
                <w:szCs w:val="9"/>
                <w:color w:val="auto"/>
              </w:rPr>
            </w:pPr>
          </w:p>
        </w:tc>
        <w:tc>
          <w:tcPr>
            <w:tcW w:w="1000" w:type="dxa"/>
            <w:vAlign w:val="bottom"/>
            <w:shd w:val="clear" w:color="auto" w:fill="2B338D"/>
          </w:tcPr>
          <w:p>
            <w:pPr>
              <w:spacing w:after="0"/>
              <w:rPr>
                <w:sz w:val="9"/>
                <w:szCs w:val="9"/>
                <w:color w:val="auto"/>
              </w:rPr>
            </w:pPr>
          </w:p>
        </w:tc>
        <w:tc>
          <w:tcPr>
            <w:tcW w:w="960" w:type="dxa"/>
            <w:vAlign w:val="bottom"/>
            <w:shd w:val="clear" w:color="auto" w:fill="2B338D"/>
          </w:tcPr>
          <w:p>
            <w:pPr>
              <w:spacing w:after="0"/>
              <w:rPr>
                <w:sz w:val="9"/>
                <w:szCs w:val="9"/>
                <w:color w:val="auto"/>
              </w:rPr>
            </w:pPr>
          </w:p>
        </w:tc>
        <w:tc>
          <w:tcPr>
            <w:tcW w:w="1020" w:type="dxa"/>
            <w:vAlign w:val="bottom"/>
            <w:shd w:val="clear" w:color="auto" w:fill="2B338D"/>
          </w:tcPr>
          <w:p>
            <w:pPr>
              <w:spacing w:after="0"/>
              <w:rPr>
                <w:sz w:val="9"/>
                <w:szCs w:val="9"/>
                <w:color w:val="auto"/>
              </w:rPr>
            </w:pPr>
          </w:p>
        </w:tc>
        <w:tc>
          <w:tcPr>
            <w:tcW w:w="1020" w:type="dxa"/>
            <w:vAlign w:val="bottom"/>
            <w:vMerge w:val="continue"/>
            <w:shd w:val="clear" w:color="auto" w:fill="2B338D"/>
          </w:tcPr>
          <w:p>
            <w:pPr>
              <w:spacing w:after="0"/>
              <w:rPr>
                <w:sz w:val="9"/>
                <w:szCs w:val="9"/>
                <w:color w:val="auto"/>
              </w:rPr>
            </w:pPr>
          </w:p>
        </w:tc>
        <w:tc>
          <w:tcPr>
            <w:tcW w:w="100" w:type="dxa"/>
            <w:vAlign w:val="bottom"/>
            <w:shd w:val="clear" w:color="auto" w:fill="2B338D"/>
          </w:tcPr>
          <w:p>
            <w:pPr>
              <w:spacing w:after="0"/>
              <w:rPr>
                <w:sz w:val="9"/>
                <w:szCs w:val="9"/>
                <w:color w:val="auto"/>
              </w:rPr>
            </w:pPr>
          </w:p>
        </w:tc>
        <w:tc>
          <w:tcPr>
            <w:tcW w:w="860" w:type="dxa"/>
            <w:vAlign w:val="bottom"/>
            <w:vMerge w:val="continue"/>
            <w:shd w:val="clear" w:color="auto" w:fill="2B338D"/>
          </w:tcPr>
          <w:p>
            <w:pPr>
              <w:spacing w:after="0"/>
              <w:rPr>
                <w:sz w:val="9"/>
                <w:szCs w:val="9"/>
                <w:color w:val="auto"/>
              </w:rPr>
            </w:pPr>
          </w:p>
        </w:tc>
        <w:tc>
          <w:tcPr>
            <w:tcW w:w="100" w:type="dxa"/>
            <w:vAlign w:val="bottom"/>
            <w:shd w:val="clear" w:color="auto" w:fill="2B338D"/>
          </w:tcPr>
          <w:p>
            <w:pPr>
              <w:spacing w:after="0"/>
              <w:rPr>
                <w:sz w:val="9"/>
                <w:szCs w:val="9"/>
                <w:color w:val="auto"/>
              </w:rPr>
            </w:pPr>
          </w:p>
        </w:tc>
        <w:tc>
          <w:tcPr>
            <w:tcW w:w="1020" w:type="dxa"/>
            <w:vAlign w:val="bottom"/>
            <w:vMerge w:val="restart"/>
            <w:shd w:val="clear" w:color="auto" w:fill="2B338D"/>
          </w:tcPr>
          <w:p>
            <w:pPr>
              <w:jc w:val="right"/>
              <w:spacing w:after="0"/>
              <w:rPr>
                <w:sz w:val="20"/>
                <w:szCs w:val="20"/>
                <w:color w:val="auto"/>
              </w:rPr>
            </w:pPr>
            <w:r>
              <w:rPr>
                <w:rFonts w:ascii="Arial" w:cs="Arial" w:eastAsia="Arial" w:hAnsi="Arial"/>
                <w:sz w:val="14"/>
                <w:szCs w:val="14"/>
                <w:b w:val="1"/>
                <w:bCs w:val="1"/>
                <w:color w:val="FFFFFF"/>
              </w:rPr>
              <w:t>Stock and</w:t>
            </w:r>
          </w:p>
        </w:tc>
        <w:tc>
          <w:tcPr>
            <w:tcW w:w="0" w:type="dxa"/>
            <w:vAlign w:val="bottom"/>
          </w:tcPr>
          <w:p>
            <w:pPr>
              <w:spacing w:after="0"/>
              <w:rPr>
                <w:sz w:val="1"/>
                <w:szCs w:val="1"/>
                <w:color w:val="auto"/>
              </w:rPr>
            </w:pPr>
          </w:p>
        </w:tc>
      </w:tr>
      <w:tr>
        <w:trPr>
          <w:trHeight w:val="54"/>
        </w:trPr>
        <w:tc>
          <w:tcPr>
            <w:tcW w:w="1080" w:type="dxa"/>
            <w:vAlign w:val="bottom"/>
            <w:shd w:val="clear" w:color="auto" w:fill="000000"/>
          </w:tcPr>
          <w:p>
            <w:pPr>
              <w:spacing w:after="0"/>
              <w:rPr>
                <w:sz w:val="4"/>
                <w:szCs w:val="4"/>
                <w:color w:val="auto"/>
              </w:rPr>
            </w:pPr>
          </w:p>
        </w:tc>
        <w:tc>
          <w:tcPr>
            <w:tcW w:w="1020" w:type="dxa"/>
            <w:vAlign w:val="bottom"/>
            <w:shd w:val="clear" w:color="auto" w:fill="2B338D"/>
          </w:tcPr>
          <w:p>
            <w:pPr>
              <w:spacing w:after="0"/>
              <w:rPr>
                <w:sz w:val="4"/>
                <w:szCs w:val="4"/>
                <w:color w:val="auto"/>
              </w:rPr>
            </w:pPr>
          </w:p>
        </w:tc>
        <w:tc>
          <w:tcPr>
            <w:tcW w:w="100" w:type="dxa"/>
            <w:vAlign w:val="bottom"/>
            <w:shd w:val="clear" w:color="auto" w:fill="2B338D"/>
          </w:tcPr>
          <w:p>
            <w:pPr>
              <w:spacing w:after="0"/>
              <w:rPr>
                <w:sz w:val="4"/>
                <w:szCs w:val="4"/>
                <w:color w:val="auto"/>
              </w:rPr>
            </w:pPr>
          </w:p>
        </w:tc>
        <w:tc>
          <w:tcPr>
            <w:tcW w:w="1060" w:type="dxa"/>
            <w:vAlign w:val="bottom"/>
            <w:shd w:val="clear" w:color="auto" w:fill="2B338D"/>
          </w:tcPr>
          <w:p>
            <w:pPr>
              <w:spacing w:after="0"/>
              <w:rPr>
                <w:sz w:val="4"/>
                <w:szCs w:val="4"/>
                <w:color w:val="auto"/>
              </w:rPr>
            </w:pPr>
          </w:p>
        </w:tc>
        <w:tc>
          <w:tcPr>
            <w:tcW w:w="960" w:type="dxa"/>
            <w:vAlign w:val="bottom"/>
            <w:shd w:val="clear" w:color="auto" w:fill="2B338D"/>
          </w:tcPr>
          <w:p>
            <w:pPr>
              <w:spacing w:after="0"/>
              <w:rPr>
                <w:sz w:val="4"/>
                <w:szCs w:val="4"/>
                <w:color w:val="auto"/>
              </w:rPr>
            </w:pPr>
          </w:p>
        </w:tc>
        <w:tc>
          <w:tcPr>
            <w:tcW w:w="940" w:type="dxa"/>
            <w:vAlign w:val="bottom"/>
            <w:shd w:val="clear" w:color="auto" w:fill="2B338D"/>
          </w:tcPr>
          <w:p>
            <w:pPr>
              <w:spacing w:after="0"/>
              <w:rPr>
                <w:sz w:val="4"/>
                <w:szCs w:val="4"/>
                <w:color w:val="auto"/>
              </w:rPr>
            </w:pPr>
          </w:p>
        </w:tc>
        <w:tc>
          <w:tcPr>
            <w:tcW w:w="1000" w:type="dxa"/>
            <w:vAlign w:val="bottom"/>
            <w:shd w:val="clear" w:color="auto" w:fill="2B338D"/>
          </w:tcPr>
          <w:p>
            <w:pPr>
              <w:spacing w:after="0"/>
              <w:rPr>
                <w:sz w:val="4"/>
                <w:szCs w:val="4"/>
                <w:color w:val="auto"/>
              </w:rPr>
            </w:pPr>
          </w:p>
        </w:tc>
        <w:tc>
          <w:tcPr>
            <w:tcW w:w="960" w:type="dxa"/>
            <w:vAlign w:val="bottom"/>
            <w:shd w:val="clear" w:color="auto" w:fill="2B338D"/>
          </w:tcPr>
          <w:p>
            <w:pPr>
              <w:spacing w:after="0"/>
              <w:rPr>
                <w:sz w:val="4"/>
                <w:szCs w:val="4"/>
                <w:color w:val="auto"/>
              </w:rPr>
            </w:pPr>
          </w:p>
        </w:tc>
        <w:tc>
          <w:tcPr>
            <w:tcW w:w="1020" w:type="dxa"/>
            <w:vAlign w:val="bottom"/>
            <w:shd w:val="clear" w:color="auto" w:fill="2B338D"/>
          </w:tcPr>
          <w:p>
            <w:pPr>
              <w:spacing w:after="0"/>
              <w:rPr>
                <w:sz w:val="4"/>
                <w:szCs w:val="4"/>
                <w:color w:val="auto"/>
              </w:rPr>
            </w:pPr>
          </w:p>
        </w:tc>
        <w:tc>
          <w:tcPr>
            <w:tcW w:w="1020" w:type="dxa"/>
            <w:vAlign w:val="bottom"/>
            <w:vMerge w:val="restart"/>
            <w:shd w:val="clear" w:color="auto" w:fill="2B338D"/>
          </w:tcPr>
          <w:p>
            <w:pPr>
              <w:jc w:val="center"/>
              <w:spacing w:after="0"/>
              <w:rPr>
                <w:sz w:val="20"/>
                <w:szCs w:val="20"/>
                <w:color w:val="auto"/>
              </w:rPr>
            </w:pPr>
            <w:r>
              <w:rPr>
                <w:rFonts w:ascii="Arial" w:cs="Arial" w:eastAsia="Arial" w:hAnsi="Arial"/>
                <w:sz w:val="14"/>
                <w:szCs w:val="14"/>
                <w:b w:val="1"/>
                <w:bCs w:val="1"/>
                <w:color w:val="FFFFFF"/>
              </w:rPr>
              <w:t>shares of</w:t>
            </w:r>
          </w:p>
        </w:tc>
        <w:tc>
          <w:tcPr>
            <w:tcW w:w="100" w:type="dxa"/>
            <w:vAlign w:val="bottom"/>
            <w:shd w:val="clear" w:color="auto" w:fill="2B338D"/>
          </w:tcPr>
          <w:p>
            <w:pPr>
              <w:spacing w:after="0"/>
              <w:rPr>
                <w:sz w:val="4"/>
                <w:szCs w:val="4"/>
                <w:color w:val="auto"/>
              </w:rPr>
            </w:pPr>
          </w:p>
        </w:tc>
        <w:tc>
          <w:tcPr>
            <w:tcW w:w="860" w:type="dxa"/>
            <w:vAlign w:val="bottom"/>
            <w:vMerge w:val="restart"/>
            <w:shd w:val="clear" w:color="auto" w:fill="2B338D"/>
          </w:tcPr>
          <w:p>
            <w:pPr>
              <w:jc w:val="right"/>
              <w:spacing w:after="0"/>
              <w:rPr>
                <w:sz w:val="20"/>
                <w:szCs w:val="20"/>
                <w:color w:val="auto"/>
              </w:rPr>
            </w:pPr>
            <w:r>
              <w:rPr>
                <w:rFonts w:ascii="Arial" w:cs="Arial" w:eastAsia="Arial" w:hAnsi="Arial"/>
                <w:sz w:val="14"/>
                <w:szCs w:val="14"/>
                <w:b w:val="1"/>
                <w:bCs w:val="1"/>
                <w:color w:val="FFFFFF"/>
              </w:rPr>
              <w:t>Price of</w:t>
            </w:r>
          </w:p>
        </w:tc>
        <w:tc>
          <w:tcPr>
            <w:tcW w:w="100" w:type="dxa"/>
            <w:vAlign w:val="bottom"/>
            <w:shd w:val="clear" w:color="auto" w:fill="2B338D"/>
          </w:tcPr>
          <w:p>
            <w:pPr>
              <w:spacing w:after="0"/>
              <w:rPr>
                <w:sz w:val="4"/>
                <w:szCs w:val="4"/>
                <w:color w:val="auto"/>
              </w:rPr>
            </w:pPr>
          </w:p>
        </w:tc>
        <w:tc>
          <w:tcPr>
            <w:tcW w:w="1020" w:type="dxa"/>
            <w:vAlign w:val="bottom"/>
            <w:vMerge w:val="continue"/>
            <w:shd w:val="clear" w:color="auto" w:fill="2B338D"/>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1080" w:type="dxa"/>
            <w:vAlign w:val="bottom"/>
            <w:shd w:val="clear" w:color="auto" w:fill="000000"/>
          </w:tcPr>
          <w:p>
            <w:pPr>
              <w:spacing w:after="0"/>
              <w:rPr>
                <w:sz w:val="9"/>
                <w:szCs w:val="9"/>
                <w:color w:val="auto"/>
              </w:rPr>
            </w:pPr>
          </w:p>
        </w:tc>
        <w:tc>
          <w:tcPr>
            <w:tcW w:w="1020" w:type="dxa"/>
            <w:vAlign w:val="bottom"/>
            <w:shd w:val="clear" w:color="auto" w:fill="2B338D"/>
          </w:tcPr>
          <w:p>
            <w:pPr>
              <w:spacing w:after="0"/>
              <w:rPr>
                <w:sz w:val="9"/>
                <w:szCs w:val="9"/>
                <w:color w:val="auto"/>
              </w:rPr>
            </w:pPr>
          </w:p>
        </w:tc>
        <w:tc>
          <w:tcPr>
            <w:tcW w:w="100" w:type="dxa"/>
            <w:vAlign w:val="bottom"/>
            <w:shd w:val="clear" w:color="auto" w:fill="2B338D"/>
          </w:tcPr>
          <w:p>
            <w:pPr>
              <w:spacing w:after="0"/>
              <w:rPr>
                <w:sz w:val="9"/>
                <w:szCs w:val="9"/>
                <w:color w:val="auto"/>
              </w:rPr>
            </w:pPr>
          </w:p>
        </w:tc>
        <w:tc>
          <w:tcPr>
            <w:tcW w:w="1060" w:type="dxa"/>
            <w:vAlign w:val="bottom"/>
            <w:shd w:val="clear" w:color="auto" w:fill="2B338D"/>
          </w:tcPr>
          <w:p>
            <w:pPr>
              <w:spacing w:after="0"/>
              <w:rPr>
                <w:sz w:val="9"/>
                <w:szCs w:val="9"/>
                <w:color w:val="auto"/>
              </w:rPr>
            </w:pPr>
          </w:p>
        </w:tc>
        <w:tc>
          <w:tcPr>
            <w:tcW w:w="960" w:type="dxa"/>
            <w:vAlign w:val="bottom"/>
            <w:shd w:val="clear" w:color="auto" w:fill="2B338D"/>
          </w:tcPr>
          <w:p>
            <w:pPr>
              <w:spacing w:after="0"/>
              <w:rPr>
                <w:sz w:val="9"/>
                <w:szCs w:val="9"/>
                <w:color w:val="auto"/>
              </w:rPr>
            </w:pPr>
          </w:p>
        </w:tc>
        <w:tc>
          <w:tcPr>
            <w:tcW w:w="940" w:type="dxa"/>
            <w:vAlign w:val="bottom"/>
            <w:shd w:val="clear" w:color="auto" w:fill="2B338D"/>
          </w:tcPr>
          <w:p>
            <w:pPr>
              <w:spacing w:after="0"/>
              <w:rPr>
                <w:sz w:val="9"/>
                <w:szCs w:val="9"/>
                <w:color w:val="auto"/>
              </w:rPr>
            </w:pPr>
          </w:p>
        </w:tc>
        <w:tc>
          <w:tcPr>
            <w:tcW w:w="1000" w:type="dxa"/>
            <w:vAlign w:val="bottom"/>
            <w:shd w:val="clear" w:color="auto" w:fill="2B338D"/>
          </w:tcPr>
          <w:p>
            <w:pPr>
              <w:spacing w:after="0"/>
              <w:rPr>
                <w:sz w:val="9"/>
                <w:szCs w:val="9"/>
                <w:color w:val="auto"/>
              </w:rPr>
            </w:pPr>
          </w:p>
        </w:tc>
        <w:tc>
          <w:tcPr>
            <w:tcW w:w="960" w:type="dxa"/>
            <w:vAlign w:val="bottom"/>
            <w:shd w:val="clear" w:color="auto" w:fill="2B338D"/>
          </w:tcPr>
          <w:p>
            <w:pPr>
              <w:spacing w:after="0"/>
              <w:rPr>
                <w:sz w:val="9"/>
                <w:szCs w:val="9"/>
                <w:color w:val="auto"/>
              </w:rPr>
            </w:pPr>
          </w:p>
        </w:tc>
        <w:tc>
          <w:tcPr>
            <w:tcW w:w="1020" w:type="dxa"/>
            <w:vAlign w:val="bottom"/>
            <w:shd w:val="clear" w:color="auto" w:fill="2B338D"/>
          </w:tcPr>
          <w:p>
            <w:pPr>
              <w:spacing w:after="0"/>
              <w:rPr>
                <w:sz w:val="9"/>
                <w:szCs w:val="9"/>
                <w:color w:val="auto"/>
              </w:rPr>
            </w:pPr>
          </w:p>
        </w:tc>
        <w:tc>
          <w:tcPr>
            <w:tcW w:w="1020" w:type="dxa"/>
            <w:vAlign w:val="bottom"/>
            <w:vMerge w:val="continue"/>
            <w:shd w:val="clear" w:color="auto" w:fill="2B338D"/>
          </w:tcPr>
          <w:p>
            <w:pPr>
              <w:spacing w:after="0"/>
              <w:rPr>
                <w:sz w:val="9"/>
                <w:szCs w:val="9"/>
                <w:color w:val="auto"/>
              </w:rPr>
            </w:pPr>
          </w:p>
        </w:tc>
        <w:tc>
          <w:tcPr>
            <w:tcW w:w="100" w:type="dxa"/>
            <w:vAlign w:val="bottom"/>
            <w:shd w:val="clear" w:color="auto" w:fill="2B338D"/>
          </w:tcPr>
          <w:p>
            <w:pPr>
              <w:spacing w:after="0"/>
              <w:rPr>
                <w:sz w:val="9"/>
                <w:szCs w:val="9"/>
                <w:color w:val="auto"/>
              </w:rPr>
            </w:pPr>
          </w:p>
        </w:tc>
        <w:tc>
          <w:tcPr>
            <w:tcW w:w="860" w:type="dxa"/>
            <w:vAlign w:val="bottom"/>
            <w:vMerge w:val="continue"/>
            <w:shd w:val="clear" w:color="auto" w:fill="2B338D"/>
          </w:tcPr>
          <w:p>
            <w:pPr>
              <w:spacing w:after="0"/>
              <w:rPr>
                <w:sz w:val="9"/>
                <w:szCs w:val="9"/>
                <w:color w:val="auto"/>
              </w:rPr>
            </w:pPr>
          </w:p>
        </w:tc>
        <w:tc>
          <w:tcPr>
            <w:tcW w:w="100" w:type="dxa"/>
            <w:vAlign w:val="bottom"/>
            <w:shd w:val="clear" w:color="auto" w:fill="2B338D"/>
          </w:tcPr>
          <w:p>
            <w:pPr>
              <w:spacing w:after="0"/>
              <w:rPr>
                <w:sz w:val="9"/>
                <w:szCs w:val="9"/>
                <w:color w:val="auto"/>
              </w:rPr>
            </w:pPr>
          </w:p>
        </w:tc>
        <w:tc>
          <w:tcPr>
            <w:tcW w:w="1020" w:type="dxa"/>
            <w:vAlign w:val="bottom"/>
            <w:vMerge w:val="restart"/>
            <w:shd w:val="clear" w:color="auto" w:fill="2B338D"/>
          </w:tcPr>
          <w:p>
            <w:pPr>
              <w:jc w:val="right"/>
              <w:spacing w:after="0"/>
              <w:rPr>
                <w:sz w:val="20"/>
                <w:szCs w:val="20"/>
                <w:color w:val="auto"/>
              </w:rPr>
            </w:pPr>
            <w:r>
              <w:rPr>
                <w:rFonts w:ascii="Arial" w:cs="Arial" w:eastAsia="Arial" w:hAnsi="Arial"/>
                <w:sz w:val="14"/>
                <w:szCs w:val="14"/>
                <w:b w:val="1"/>
                <w:bCs w:val="1"/>
                <w:color w:val="FFFFFF"/>
              </w:rPr>
              <w:t>Options</w:t>
            </w:r>
          </w:p>
        </w:tc>
        <w:tc>
          <w:tcPr>
            <w:tcW w:w="0" w:type="dxa"/>
            <w:vAlign w:val="bottom"/>
          </w:tcPr>
          <w:p>
            <w:pPr>
              <w:spacing w:after="0"/>
              <w:rPr>
                <w:sz w:val="1"/>
                <w:szCs w:val="1"/>
                <w:color w:val="auto"/>
              </w:rPr>
            </w:pPr>
          </w:p>
        </w:tc>
      </w:tr>
      <w:tr>
        <w:trPr>
          <w:trHeight w:val="54"/>
        </w:trPr>
        <w:tc>
          <w:tcPr>
            <w:tcW w:w="1080" w:type="dxa"/>
            <w:vAlign w:val="bottom"/>
            <w:shd w:val="clear" w:color="auto" w:fill="000000"/>
          </w:tcPr>
          <w:p>
            <w:pPr>
              <w:spacing w:after="0"/>
              <w:rPr>
                <w:sz w:val="4"/>
                <w:szCs w:val="4"/>
                <w:color w:val="auto"/>
              </w:rPr>
            </w:pPr>
          </w:p>
        </w:tc>
        <w:tc>
          <w:tcPr>
            <w:tcW w:w="1020" w:type="dxa"/>
            <w:vAlign w:val="bottom"/>
            <w:shd w:val="clear" w:color="auto" w:fill="2B338D"/>
          </w:tcPr>
          <w:p>
            <w:pPr>
              <w:spacing w:after="0"/>
              <w:rPr>
                <w:sz w:val="4"/>
                <w:szCs w:val="4"/>
                <w:color w:val="auto"/>
              </w:rPr>
            </w:pPr>
          </w:p>
        </w:tc>
        <w:tc>
          <w:tcPr>
            <w:tcW w:w="100" w:type="dxa"/>
            <w:vAlign w:val="bottom"/>
            <w:shd w:val="clear" w:color="auto" w:fill="2B338D"/>
          </w:tcPr>
          <w:p>
            <w:pPr>
              <w:spacing w:after="0"/>
              <w:rPr>
                <w:sz w:val="4"/>
                <w:szCs w:val="4"/>
                <w:color w:val="auto"/>
              </w:rPr>
            </w:pPr>
          </w:p>
        </w:tc>
        <w:tc>
          <w:tcPr>
            <w:tcW w:w="1060" w:type="dxa"/>
            <w:vAlign w:val="bottom"/>
            <w:shd w:val="clear" w:color="auto" w:fill="2B338D"/>
          </w:tcPr>
          <w:p>
            <w:pPr>
              <w:spacing w:after="0"/>
              <w:rPr>
                <w:sz w:val="4"/>
                <w:szCs w:val="4"/>
                <w:color w:val="auto"/>
              </w:rPr>
            </w:pPr>
          </w:p>
        </w:tc>
        <w:tc>
          <w:tcPr>
            <w:tcW w:w="960" w:type="dxa"/>
            <w:vAlign w:val="bottom"/>
            <w:shd w:val="clear" w:color="auto" w:fill="2B338D"/>
          </w:tcPr>
          <w:p>
            <w:pPr>
              <w:spacing w:after="0"/>
              <w:rPr>
                <w:sz w:val="4"/>
                <w:szCs w:val="4"/>
                <w:color w:val="auto"/>
              </w:rPr>
            </w:pPr>
          </w:p>
        </w:tc>
        <w:tc>
          <w:tcPr>
            <w:tcW w:w="940" w:type="dxa"/>
            <w:vAlign w:val="bottom"/>
            <w:shd w:val="clear" w:color="auto" w:fill="2B338D"/>
          </w:tcPr>
          <w:p>
            <w:pPr>
              <w:spacing w:after="0"/>
              <w:rPr>
                <w:sz w:val="4"/>
                <w:szCs w:val="4"/>
                <w:color w:val="auto"/>
              </w:rPr>
            </w:pPr>
          </w:p>
        </w:tc>
        <w:tc>
          <w:tcPr>
            <w:tcW w:w="1000" w:type="dxa"/>
            <w:vAlign w:val="bottom"/>
            <w:shd w:val="clear" w:color="auto" w:fill="2B338D"/>
          </w:tcPr>
          <w:p>
            <w:pPr>
              <w:spacing w:after="0"/>
              <w:rPr>
                <w:sz w:val="4"/>
                <w:szCs w:val="4"/>
                <w:color w:val="auto"/>
              </w:rPr>
            </w:pPr>
          </w:p>
        </w:tc>
        <w:tc>
          <w:tcPr>
            <w:tcW w:w="960" w:type="dxa"/>
            <w:vAlign w:val="bottom"/>
            <w:shd w:val="clear" w:color="auto" w:fill="2B338D"/>
          </w:tcPr>
          <w:p>
            <w:pPr>
              <w:spacing w:after="0"/>
              <w:rPr>
                <w:sz w:val="4"/>
                <w:szCs w:val="4"/>
                <w:color w:val="auto"/>
              </w:rPr>
            </w:pPr>
          </w:p>
        </w:tc>
        <w:tc>
          <w:tcPr>
            <w:tcW w:w="1020" w:type="dxa"/>
            <w:vAlign w:val="bottom"/>
            <w:shd w:val="clear" w:color="auto" w:fill="2B338D"/>
          </w:tcPr>
          <w:p>
            <w:pPr>
              <w:spacing w:after="0"/>
              <w:rPr>
                <w:sz w:val="4"/>
                <w:szCs w:val="4"/>
                <w:color w:val="auto"/>
              </w:rPr>
            </w:pPr>
          </w:p>
        </w:tc>
        <w:tc>
          <w:tcPr>
            <w:tcW w:w="1020" w:type="dxa"/>
            <w:vAlign w:val="bottom"/>
            <w:vMerge w:val="restart"/>
            <w:shd w:val="clear" w:color="auto" w:fill="2B338D"/>
          </w:tcPr>
          <w:p>
            <w:pPr>
              <w:jc w:val="center"/>
              <w:spacing w:after="0"/>
              <w:rPr>
                <w:sz w:val="20"/>
                <w:szCs w:val="20"/>
                <w:color w:val="auto"/>
              </w:rPr>
            </w:pPr>
            <w:r>
              <w:rPr>
                <w:rFonts w:ascii="Arial" w:cs="Arial" w:eastAsia="Arial" w:hAnsi="Arial"/>
                <w:sz w:val="14"/>
                <w:szCs w:val="14"/>
                <w:b w:val="1"/>
                <w:bCs w:val="1"/>
                <w:color w:val="FFFFFF"/>
                <w:w w:val="99"/>
              </w:rPr>
              <w:t>Stock or</w:t>
            </w:r>
          </w:p>
        </w:tc>
        <w:tc>
          <w:tcPr>
            <w:tcW w:w="100" w:type="dxa"/>
            <w:vAlign w:val="bottom"/>
            <w:shd w:val="clear" w:color="auto" w:fill="2B338D"/>
          </w:tcPr>
          <w:p>
            <w:pPr>
              <w:spacing w:after="0"/>
              <w:rPr>
                <w:sz w:val="4"/>
                <w:szCs w:val="4"/>
                <w:color w:val="auto"/>
              </w:rPr>
            </w:pPr>
          </w:p>
        </w:tc>
        <w:tc>
          <w:tcPr>
            <w:tcW w:w="860" w:type="dxa"/>
            <w:vAlign w:val="bottom"/>
            <w:vMerge w:val="restart"/>
            <w:shd w:val="clear" w:color="auto" w:fill="2B338D"/>
          </w:tcPr>
          <w:p>
            <w:pPr>
              <w:jc w:val="right"/>
              <w:spacing w:after="0"/>
              <w:rPr>
                <w:sz w:val="20"/>
                <w:szCs w:val="20"/>
                <w:color w:val="auto"/>
              </w:rPr>
            </w:pPr>
            <w:r>
              <w:rPr>
                <w:rFonts w:ascii="Arial" w:cs="Arial" w:eastAsia="Arial" w:hAnsi="Arial"/>
                <w:sz w:val="14"/>
                <w:szCs w:val="14"/>
                <w:b w:val="1"/>
                <w:bCs w:val="1"/>
                <w:color w:val="FFFFFF"/>
              </w:rPr>
              <w:t>Option</w:t>
            </w:r>
          </w:p>
        </w:tc>
        <w:tc>
          <w:tcPr>
            <w:tcW w:w="100" w:type="dxa"/>
            <w:vAlign w:val="bottom"/>
            <w:shd w:val="clear" w:color="auto" w:fill="2B338D"/>
          </w:tcPr>
          <w:p>
            <w:pPr>
              <w:spacing w:after="0"/>
              <w:rPr>
                <w:sz w:val="4"/>
                <w:szCs w:val="4"/>
                <w:color w:val="auto"/>
              </w:rPr>
            </w:pPr>
          </w:p>
        </w:tc>
        <w:tc>
          <w:tcPr>
            <w:tcW w:w="1020" w:type="dxa"/>
            <w:vAlign w:val="bottom"/>
            <w:vMerge w:val="continue"/>
            <w:shd w:val="clear" w:color="auto" w:fill="2B338D"/>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1080" w:type="dxa"/>
            <w:vAlign w:val="bottom"/>
            <w:shd w:val="clear" w:color="auto" w:fill="000000"/>
          </w:tcPr>
          <w:p>
            <w:pPr>
              <w:spacing w:after="0"/>
              <w:rPr>
                <w:sz w:val="9"/>
                <w:szCs w:val="9"/>
                <w:color w:val="auto"/>
              </w:rPr>
            </w:pPr>
          </w:p>
        </w:tc>
        <w:tc>
          <w:tcPr>
            <w:tcW w:w="1020" w:type="dxa"/>
            <w:vAlign w:val="bottom"/>
            <w:shd w:val="clear" w:color="auto" w:fill="2B338D"/>
          </w:tcPr>
          <w:p>
            <w:pPr>
              <w:spacing w:after="0"/>
              <w:rPr>
                <w:sz w:val="9"/>
                <w:szCs w:val="9"/>
                <w:color w:val="auto"/>
              </w:rPr>
            </w:pPr>
          </w:p>
        </w:tc>
        <w:tc>
          <w:tcPr>
            <w:tcW w:w="100" w:type="dxa"/>
            <w:vAlign w:val="bottom"/>
            <w:shd w:val="clear" w:color="auto" w:fill="2B338D"/>
          </w:tcPr>
          <w:p>
            <w:pPr>
              <w:spacing w:after="0"/>
              <w:rPr>
                <w:sz w:val="9"/>
                <w:szCs w:val="9"/>
                <w:color w:val="auto"/>
              </w:rPr>
            </w:pPr>
          </w:p>
        </w:tc>
        <w:tc>
          <w:tcPr>
            <w:tcW w:w="1060" w:type="dxa"/>
            <w:vAlign w:val="bottom"/>
            <w:shd w:val="clear" w:color="auto" w:fill="2B338D"/>
          </w:tcPr>
          <w:p>
            <w:pPr>
              <w:spacing w:after="0"/>
              <w:rPr>
                <w:sz w:val="9"/>
                <w:szCs w:val="9"/>
                <w:color w:val="auto"/>
              </w:rPr>
            </w:pPr>
          </w:p>
        </w:tc>
        <w:tc>
          <w:tcPr>
            <w:tcW w:w="960" w:type="dxa"/>
            <w:vAlign w:val="bottom"/>
            <w:shd w:val="clear" w:color="auto" w:fill="2B338D"/>
          </w:tcPr>
          <w:p>
            <w:pPr>
              <w:spacing w:after="0"/>
              <w:rPr>
                <w:sz w:val="9"/>
                <w:szCs w:val="9"/>
                <w:color w:val="auto"/>
              </w:rPr>
            </w:pPr>
          </w:p>
        </w:tc>
        <w:tc>
          <w:tcPr>
            <w:tcW w:w="940" w:type="dxa"/>
            <w:vAlign w:val="bottom"/>
            <w:shd w:val="clear" w:color="auto" w:fill="2B338D"/>
          </w:tcPr>
          <w:p>
            <w:pPr>
              <w:spacing w:after="0"/>
              <w:rPr>
                <w:sz w:val="9"/>
                <w:szCs w:val="9"/>
                <w:color w:val="auto"/>
              </w:rPr>
            </w:pPr>
          </w:p>
        </w:tc>
        <w:tc>
          <w:tcPr>
            <w:tcW w:w="1000" w:type="dxa"/>
            <w:vAlign w:val="bottom"/>
            <w:shd w:val="clear" w:color="auto" w:fill="2B338D"/>
          </w:tcPr>
          <w:p>
            <w:pPr>
              <w:spacing w:after="0"/>
              <w:rPr>
                <w:sz w:val="9"/>
                <w:szCs w:val="9"/>
                <w:color w:val="auto"/>
              </w:rPr>
            </w:pPr>
          </w:p>
        </w:tc>
        <w:tc>
          <w:tcPr>
            <w:tcW w:w="960" w:type="dxa"/>
            <w:vAlign w:val="bottom"/>
            <w:shd w:val="clear" w:color="auto" w:fill="2B338D"/>
          </w:tcPr>
          <w:p>
            <w:pPr>
              <w:spacing w:after="0"/>
              <w:rPr>
                <w:sz w:val="9"/>
                <w:szCs w:val="9"/>
                <w:color w:val="auto"/>
              </w:rPr>
            </w:pPr>
          </w:p>
        </w:tc>
        <w:tc>
          <w:tcPr>
            <w:tcW w:w="1020" w:type="dxa"/>
            <w:vAlign w:val="bottom"/>
            <w:shd w:val="clear" w:color="auto" w:fill="2B338D"/>
          </w:tcPr>
          <w:p>
            <w:pPr>
              <w:spacing w:after="0"/>
              <w:rPr>
                <w:sz w:val="9"/>
                <w:szCs w:val="9"/>
                <w:color w:val="auto"/>
              </w:rPr>
            </w:pPr>
          </w:p>
        </w:tc>
        <w:tc>
          <w:tcPr>
            <w:tcW w:w="1020" w:type="dxa"/>
            <w:vAlign w:val="bottom"/>
            <w:vMerge w:val="continue"/>
            <w:shd w:val="clear" w:color="auto" w:fill="2B338D"/>
          </w:tcPr>
          <w:p>
            <w:pPr>
              <w:spacing w:after="0"/>
              <w:rPr>
                <w:sz w:val="9"/>
                <w:szCs w:val="9"/>
                <w:color w:val="auto"/>
              </w:rPr>
            </w:pPr>
          </w:p>
        </w:tc>
        <w:tc>
          <w:tcPr>
            <w:tcW w:w="100" w:type="dxa"/>
            <w:vAlign w:val="bottom"/>
            <w:shd w:val="clear" w:color="auto" w:fill="2B338D"/>
          </w:tcPr>
          <w:p>
            <w:pPr>
              <w:spacing w:after="0"/>
              <w:rPr>
                <w:sz w:val="9"/>
                <w:szCs w:val="9"/>
                <w:color w:val="auto"/>
              </w:rPr>
            </w:pPr>
          </w:p>
        </w:tc>
        <w:tc>
          <w:tcPr>
            <w:tcW w:w="860" w:type="dxa"/>
            <w:vAlign w:val="bottom"/>
            <w:vMerge w:val="continue"/>
            <w:shd w:val="clear" w:color="auto" w:fill="2B338D"/>
          </w:tcPr>
          <w:p>
            <w:pPr>
              <w:spacing w:after="0"/>
              <w:rPr>
                <w:sz w:val="9"/>
                <w:szCs w:val="9"/>
                <w:color w:val="auto"/>
              </w:rPr>
            </w:pPr>
          </w:p>
        </w:tc>
        <w:tc>
          <w:tcPr>
            <w:tcW w:w="100" w:type="dxa"/>
            <w:vAlign w:val="bottom"/>
            <w:shd w:val="clear" w:color="auto" w:fill="2B338D"/>
          </w:tcPr>
          <w:p>
            <w:pPr>
              <w:spacing w:after="0"/>
              <w:rPr>
                <w:sz w:val="9"/>
                <w:szCs w:val="9"/>
                <w:color w:val="auto"/>
              </w:rPr>
            </w:pPr>
          </w:p>
        </w:tc>
        <w:tc>
          <w:tcPr>
            <w:tcW w:w="1020" w:type="dxa"/>
            <w:vAlign w:val="bottom"/>
            <w:vMerge w:val="restart"/>
            <w:shd w:val="clear" w:color="auto" w:fill="2B338D"/>
          </w:tcPr>
          <w:p>
            <w:pPr>
              <w:jc w:val="right"/>
              <w:spacing w:after="0"/>
              <w:rPr>
                <w:sz w:val="20"/>
                <w:szCs w:val="20"/>
                <w:color w:val="auto"/>
              </w:rPr>
            </w:pPr>
            <w:r>
              <w:rPr>
                <w:rFonts w:ascii="Arial" w:cs="Arial" w:eastAsia="Arial" w:hAnsi="Arial"/>
                <w:sz w:val="14"/>
                <w:szCs w:val="14"/>
                <w:b w:val="1"/>
                <w:bCs w:val="1"/>
                <w:color w:val="FFFFFF"/>
              </w:rPr>
              <w:t>Awards</w:t>
            </w:r>
          </w:p>
        </w:tc>
        <w:tc>
          <w:tcPr>
            <w:tcW w:w="0" w:type="dxa"/>
            <w:vAlign w:val="bottom"/>
          </w:tcPr>
          <w:p>
            <w:pPr>
              <w:spacing w:after="0"/>
              <w:rPr>
                <w:sz w:val="1"/>
                <w:szCs w:val="1"/>
                <w:color w:val="auto"/>
              </w:rPr>
            </w:pPr>
          </w:p>
        </w:tc>
      </w:tr>
      <w:tr>
        <w:trPr>
          <w:trHeight w:val="82"/>
        </w:trPr>
        <w:tc>
          <w:tcPr>
            <w:tcW w:w="1080" w:type="dxa"/>
            <w:vAlign w:val="bottom"/>
            <w:shd w:val="clear" w:color="auto" w:fill="000000"/>
          </w:tcPr>
          <w:p>
            <w:pPr>
              <w:spacing w:after="0"/>
              <w:rPr>
                <w:sz w:val="7"/>
                <w:szCs w:val="7"/>
                <w:color w:val="auto"/>
              </w:rPr>
            </w:pPr>
          </w:p>
        </w:tc>
        <w:tc>
          <w:tcPr>
            <w:tcW w:w="1020" w:type="dxa"/>
            <w:vAlign w:val="bottom"/>
            <w:shd w:val="clear" w:color="auto" w:fill="2B338D"/>
          </w:tcPr>
          <w:p>
            <w:pPr>
              <w:spacing w:after="0"/>
              <w:rPr>
                <w:sz w:val="7"/>
                <w:szCs w:val="7"/>
                <w:color w:val="auto"/>
              </w:rPr>
            </w:pPr>
          </w:p>
        </w:tc>
        <w:tc>
          <w:tcPr>
            <w:tcW w:w="100" w:type="dxa"/>
            <w:vAlign w:val="bottom"/>
            <w:shd w:val="clear" w:color="auto" w:fill="2B338D"/>
          </w:tcPr>
          <w:p>
            <w:pPr>
              <w:spacing w:after="0"/>
              <w:rPr>
                <w:sz w:val="7"/>
                <w:szCs w:val="7"/>
                <w:color w:val="auto"/>
              </w:rPr>
            </w:pPr>
          </w:p>
        </w:tc>
        <w:tc>
          <w:tcPr>
            <w:tcW w:w="1060" w:type="dxa"/>
            <w:vAlign w:val="bottom"/>
            <w:vMerge w:val="restart"/>
            <w:shd w:val="clear" w:color="auto" w:fill="2B338D"/>
          </w:tcPr>
          <w:p>
            <w:pPr>
              <w:ind w:left="240"/>
              <w:spacing w:after="0"/>
              <w:rPr>
                <w:sz w:val="20"/>
                <w:szCs w:val="20"/>
                <w:color w:val="auto"/>
              </w:rPr>
            </w:pPr>
            <w:r>
              <w:rPr>
                <w:rFonts w:ascii="Arial" w:cs="Arial" w:eastAsia="Arial" w:hAnsi="Arial"/>
                <w:sz w:val="14"/>
                <w:szCs w:val="14"/>
                <w:b w:val="1"/>
                <w:bCs w:val="1"/>
                <w:color w:val="FFFFFF"/>
              </w:rPr>
              <w:t>Threshold</w:t>
            </w:r>
          </w:p>
        </w:tc>
        <w:tc>
          <w:tcPr>
            <w:tcW w:w="960" w:type="dxa"/>
            <w:vAlign w:val="bottom"/>
            <w:shd w:val="clear" w:color="auto" w:fill="2B338D"/>
          </w:tcPr>
          <w:p>
            <w:pPr>
              <w:spacing w:after="0"/>
              <w:rPr>
                <w:sz w:val="7"/>
                <w:szCs w:val="7"/>
                <w:color w:val="auto"/>
              </w:rPr>
            </w:pPr>
          </w:p>
        </w:tc>
        <w:tc>
          <w:tcPr>
            <w:tcW w:w="940" w:type="dxa"/>
            <w:vAlign w:val="bottom"/>
            <w:vMerge w:val="restart"/>
            <w:shd w:val="clear" w:color="auto" w:fill="2B338D"/>
          </w:tcPr>
          <w:p>
            <w:pPr>
              <w:jc w:val="right"/>
              <w:ind w:right="28"/>
              <w:spacing w:after="0"/>
              <w:rPr>
                <w:sz w:val="20"/>
                <w:szCs w:val="20"/>
                <w:color w:val="auto"/>
              </w:rPr>
            </w:pPr>
            <w:r>
              <w:rPr>
                <w:rFonts w:ascii="Arial" w:cs="Arial" w:eastAsia="Arial" w:hAnsi="Arial"/>
                <w:sz w:val="14"/>
                <w:szCs w:val="14"/>
                <w:b w:val="1"/>
                <w:bCs w:val="1"/>
                <w:color w:val="FFFFFF"/>
              </w:rPr>
              <w:t>Maximum</w:t>
            </w:r>
          </w:p>
        </w:tc>
        <w:tc>
          <w:tcPr>
            <w:tcW w:w="1000" w:type="dxa"/>
            <w:vAlign w:val="bottom"/>
            <w:vMerge w:val="restart"/>
            <w:shd w:val="clear" w:color="auto" w:fill="2B338D"/>
          </w:tcPr>
          <w:p>
            <w:pPr>
              <w:jc w:val="center"/>
              <w:spacing w:after="0"/>
              <w:rPr>
                <w:sz w:val="20"/>
                <w:szCs w:val="20"/>
                <w:color w:val="auto"/>
              </w:rPr>
            </w:pPr>
            <w:r>
              <w:rPr>
                <w:rFonts w:ascii="Arial" w:cs="Arial" w:eastAsia="Arial" w:hAnsi="Arial"/>
                <w:sz w:val="14"/>
                <w:szCs w:val="14"/>
                <w:b w:val="1"/>
                <w:bCs w:val="1"/>
                <w:color w:val="FFFFFF"/>
              </w:rPr>
              <w:t>Threshold</w:t>
            </w:r>
          </w:p>
        </w:tc>
        <w:tc>
          <w:tcPr>
            <w:tcW w:w="960" w:type="dxa"/>
            <w:vAlign w:val="bottom"/>
            <w:shd w:val="clear" w:color="auto" w:fill="2B338D"/>
          </w:tcPr>
          <w:p>
            <w:pPr>
              <w:spacing w:after="0"/>
              <w:rPr>
                <w:sz w:val="7"/>
                <w:szCs w:val="7"/>
                <w:color w:val="auto"/>
              </w:rPr>
            </w:pPr>
          </w:p>
        </w:tc>
        <w:tc>
          <w:tcPr>
            <w:tcW w:w="1020" w:type="dxa"/>
            <w:vAlign w:val="bottom"/>
            <w:vMerge w:val="restart"/>
            <w:shd w:val="clear" w:color="auto" w:fill="2B338D"/>
          </w:tcPr>
          <w:p>
            <w:pPr>
              <w:ind w:left="160"/>
              <w:spacing w:after="0"/>
              <w:rPr>
                <w:sz w:val="20"/>
                <w:szCs w:val="20"/>
                <w:color w:val="auto"/>
              </w:rPr>
            </w:pPr>
            <w:r>
              <w:rPr>
                <w:rFonts w:ascii="Arial" w:cs="Arial" w:eastAsia="Arial" w:hAnsi="Arial"/>
                <w:sz w:val="14"/>
                <w:szCs w:val="14"/>
                <w:b w:val="1"/>
                <w:bCs w:val="1"/>
                <w:color w:val="FFFFFF"/>
              </w:rPr>
              <w:t>Maximum</w:t>
            </w:r>
          </w:p>
        </w:tc>
        <w:tc>
          <w:tcPr>
            <w:tcW w:w="1020" w:type="dxa"/>
            <w:vAlign w:val="bottom"/>
            <w:vMerge w:val="restart"/>
            <w:shd w:val="clear" w:color="auto" w:fill="2B338D"/>
          </w:tcPr>
          <w:p>
            <w:pPr>
              <w:jc w:val="center"/>
              <w:spacing w:after="0"/>
              <w:rPr>
                <w:sz w:val="20"/>
                <w:szCs w:val="20"/>
                <w:color w:val="auto"/>
              </w:rPr>
            </w:pPr>
            <w:r>
              <w:rPr>
                <w:rFonts w:ascii="Arial" w:cs="Arial" w:eastAsia="Arial" w:hAnsi="Arial"/>
                <w:sz w:val="14"/>
                <w:szCs w:val="14"/>
                <w:b w:val="1"/>
                <w:bCs w:val="1"/>
                <w:color w:val="FFFFFF"/>
              </w:rPr>
              <w:t>Units</w:t>
            </w:r>
          </w:p>
        </w:tc>
        <w:tc>
          <w:tcPr>
            <w:tcW w:w="100" w:type="dxa"/>
            <w:vAlign w:val="bottom"/>
            <w:shd w:val="clear" w:color="auto" w:fill="2B338D"/>
          </w:tcPr>
          <w:p>
            <w:pPr>
              <w:spacing w:after="0"/>
              <w:rPr>
                <w:sz w:val="7"/>
                <w:szCs w:val="7"/>
                <w:color w:val="auto"/>
              </w:rPr>
            </w:pPr>
          </w:p>
        </w:tc>
        <w:tc>
          <w:tcPr>
            <w:tcW w:w="860" w:type="dxa"/>
            <w:vAlign w:val="bottom"/>
            <w:vMerge w:val="restart"/>
            <w:shd w:val="clear" w:color="auto" w:fill="2B338D"/>
          </w:tcPr>
          <w:p>
            <w:pPr>
              <w:jc w:val="right"/>
              <w:spacing w:after="0"/>
              <w:rPr>
                <w:sz w:val="20"/>
                <w:szCs w:val="20"/>
                <w:color w:val="auto"/>
              </w:rPr>
            </w:pPr>
            <w:r>
              <w:rPr>
                <w:rFonts w:ascii="Arial" w:cs="Arial" w:eastAsia="Arial" w:hAnsi="Arial"/>
                <w:sz w:val="14"/>
                <w:szCs w:val="14"/>
                <w:b w:val="1"/>
                <w:bCs w:val="1"/>
                <w:color w:val="FFFFFF"/>
              </w:rPr>
              <w:t>Awards</w:t>
            </w:r>
          </w:p>
        </w:tc>
        <w:tc>
          <w:tcPr>
            <w:tcW w:w="100" w:type="dxa"/>
            <w:vAlign w:val="bottom"/>
            <w:shd w:val="clear" w:color="auto" w:fill="2B338D"/>
          </w:tcPr>
          <w:p>
            <w:pPr>
              <w:spacing w:after="0"/>
              <w:rPr>
                <w:sz w:val="7"/>
                <w:szCs w:val="7"/>
                <w:color w:val="auto"/>
              </w:rPr>
            </w:pPr>
          </w:p>
        </w:tc>
        <w:tc>
          <w:tcPr>
            <w:tcW w:w="1020" w:type="dxa"/>
            <w:vAlign w:val="bottom"/>
            <w:vMerge w:val="continue"/>
            <w:shd w:val="clear" w:color="auto" w:fill="2B338D"/>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1080" w:type="dxa"/>
            <w:vAlign w:val="bottom"/>
            <w:shd w:val="clear" w:color="auto" w:fill="000000"/>
          </w:tcPr>
          <w:p>
            <w:pPr>
              <w:spacing w:after="0"/>
              <w:rPr>
                <w:sz w:val="6"/>
                <w:szCs w:val="6"/>
                <w:color w:val="auto"/>
              </w:rPr>
            </w:pPr>
          </w:p>
        </w:tc>
        <w:tc>
          <w:tcPr>
            <w:tcW w:w="1020" w:type="dxa"/>
            <w:vAlign w:val="bottom"/>
            <w:shd w:val="clear" w:color="auto" w:fill="2B338D"/>
          </w:tcPr>
          <w:p>
            <w:pPr>
              <w:spacing w:after="0"/>
              <w:rPr>
                <w:sz w:val="6"/>
                <w:szCs w:val="6"/>
                <w:color w:val="auto"/>
              </w:rPr>
            </w:pPr>
          </w:p>
        </w:tc>
        <w:tc>
          <w:tcPr>
            <w:tcW w:w="100" w:type="dxa"/>
            <w:vAlign w:val="bottom"/>
            <w:shd w:val="clear" w:color="auto" w:fill="2B338D"/>
          </w:tcPr>
          <w:p>
            <w:pPr>
              <w:spacing w:after="0"/>
              <w:rPr>
                <w:sz w:val="6"/>
                <w:szCs w:val="6"/>
                <w:color w:val="auto"/>
              </w:rPr>
            </w:pPr>
          </w:p>
        </w:tc>
        <w:tc>
          <w:tcPr>
            <w:tcW w:w="1060" w:type="dxa"/>
            <w:vAlign w:val="bottom"/>
            <w:vMerge w:val="continue"/>
            <w:shd w:val="clear" w:color="auto" w:fill="2B338D"/>
          </w:tcPr>
          <w:p>
            <w:pPr>
              <w:spacing w:after="0"/>
              <w:rPr>
                <w:sz w:val="6"/>
                <w:szCs w:val="6"/>
                <w:color w:val="auto"/>
              </w:rPr>
            </w:pPr>
          </w:p>
        </w:tc>
        <w:tc>
          <w:tcPr>
            <w:tcW w:w="960" w:type="dxa"/>
            <w:vAlign w:val="bottom"/>
            <w:shd w:val="clear" w:color="auto" w:fill="2B338D"/>
          </w:tcPr>
          <w:p>
            <w:pPr>
              <w:spacing w:after="0"/>
              <w:rPr>
                <w:sz w:val="6"/>
                <w:szCs w:val="6"/>
                <w:color w:val="auto"/>
              </w:rPr>
            </w:pPr>
          </w:p>
        </w:tc>
        <w:tc>
          <w:tcPr>
            <w:tcW w:w="940" w:type="dxa"/>
            <w:vAlign w:val="bottom"/>
            <w:vMerge w:val="continue"/>
            <w:shd w:val="clear" w:color="auto" w:fill="2B338D"/>
          </w:tcPr>
          <w:p>
            <w:pPr>
              <w:spacing w:after="0"/>
              <w:rPr>
                <w:sz w:val="6"/>
                <w:szCs w:val="6"/>
                <w:color w:val="auto"/>
              </w:rPr>
            </w:pPr>
          </w:p>
        </w:tc>
        <w:tc>
          <w:tcPr>
            <w:tcW w:w="1000" w:type="dxa"/>
            <w:vAlign w:val="bottom"/>
            <w:vMerge w:val="continue"/>
            <w:shd w:val="clear" w:color="auto" w:fill="2B338D"/>
          </w:tcPr>
          <w:p>
            <w:pPr>
              <w:spacing w:after="0"/>
              <w:rPr>
                <w:sz w:val="6"/>
                <w:szCs w:val="6"/>
                <w:color w:val="auto"/>
              </w:rPr>
            </w:pPr>
          </w:p>
        </w:tc>
        <w:tc>
          <w:tcPr>
            <w:tcW w:w="960" w:type="dxa"/>
            <w:vAlign w:val="bottom"/>
            <w:shd w:val="clear" w:color="auto" w:fill="2B338D"/>
          </w:tcPr>
          <w:p>
            <w:pPr>
              <w:spacing w:after="0"/>
              <w:rPr>
                <w:sz w:val="6"/>
                <w:szCs w:val="6"/>
                <w:color w:val="auto"/>
              </w:rPr>
            </w:pPr>
          </w:p>
        </w:tc>
        <w:tc>
          <w:tcPr>
            <w:tcW w:w="1020" w:type="dxa"/>
            <w:vAlign w:val="bottom"/>
            <w:vMerge w:val="continue"/>
            <w:shd w:val="clear" w:color="auto" w:fill="2B338D"/>
          </w:tcPr>
          <w:p>
            <w:pPr>
              <w:spacing w:after="0"/>
              <w:rPr>
                <w:sz w:val="6"/>
                <w:szCs w:val="6"/>
                <w:color w:val="auto"/>
              </w:rPr>
            </w:pPr>
          </w:p>
        </w:tc>
        <w:tc>
          <w:tcPr>
            <w:tcW w:w="1020" w:type="dxa"/>
            <w:vAlign w:val="bottom"/>
            <w:vMerge w:val="continue"/>
            <w:shd w:val="clear" w:color="auto" w:fill="2B338D"/>
          </w:tcPr>
          <w:p>
            <w:pPr>
              <w:spacing w:after="0"/>
              <w:rPr>
                <w:sz w:val="6"/>
                <w:szCs w:val="6"/>
                <w:color w:val="auto"/>
              </w:rPr>
            </w:pPr>
          </w:p>
        </w:tc>
        <w:tc>
          <w:tcPr>
            <w:tcW w:w="100" w:type="dxa"/>
            <w:vAlign w:val="bottom"/>
            <w:shd w:val="clear" w:color="auto" w:fill="2B338D"/>
          </w:tcPr>
          <w:p>
            <w:pPr>
              <w:spacing w:after="0"/>
              <w:rPr>
                <w:sz w:val="6"/>
                <w:szCs w:val="6"/>
                <w:color w:val="auto"/>
              </w:rPr>
            </w:pPr>
          </w:p>
        </w:tc>
        <w:tc>
          <w:tcPr>
            <w:tcW w:w="860" w:type="dxa"/>
            <w:vAlign w:val="bottom"/>
            <w:vMerge w:val="continue"/>
            <w:shd w:val="clear" w:color="auto" w:fill="2B338D"/>
          </w:tcPr>
          <w:p>
            <w:pPr>
              <w:spacing w:after="0"/>
              <w:rPr>
                <w:sz w:val="6"/>
                <w:szCs w:val="6"/>
                <w:color w:val="auto"/>
              </w:rPr>
            </w:pPr>
          </w:p>
        </w:tc>
        <w:tc>
          <w:tcPr>
            <w:tcW w:w="100" w:type="dxa"/>
            <w:vAlign w:val="bottom"/>
            <w:shd w:val="clear" w:color="auto" w:fill="2B338D"/>
          </w:tcPr>
          <w:p>
            <w:pPr>
              <w:spacing w:after="0"/>
              <w:rPr>
                <w:sz w:val="6"/>
                <w:szCs w:val="6"/>
                <w:color w:val="auto"/>
              </w:rPr>
            </w:pPr>
          </w:p>
        </w:tc>
        <w:tc>
          <w:tcPr>
            <w:tcW w:w="1020" w:type="dxa"/>
            <w:vAlign w:val="bottom"/>
            <w:vMerge w:val="restart"/>
            <w:shd w:val="clear" w:color="auto" w:fill="2B338D"/>
          </w:tcPr>
          <w:p>
            <w:pPr>
              <w:jc w:val="right"/>
              <w:spacing w:after="0" w:line="228" w:lineRule="exact"/>
              <w:rPr>
                <w:sz w:val="20"/>
                <w:szCs w:val="20"/>
                <w:color w:val="auto"/>
              </w:rPr>
            </w:pPr>
            <w:r>
              <w:rPr>
                <w:rFonts w:ascii="Arial" w:cs="Arial" w:eastAsia="Arial" w:hAnsi="Arial"/>
                <w:sz w:val="26"/>
                <w:szCs w:val="26"/>
                <w:b w:val="1"/>
                <w:bCs w:val="1"/>
                <w:color w:val="FFFFFF"/>
                <w:vertAlign w:val="subscript"/>
              </w:rPr>
              <w:t>($)</w:t>
            </w:r>
            <w:r>
              <w:rPr>
                <w:rFonts w:ascii="Arial" w:cs="Arial" w:eastAsia="Arial" w:hAnsi="Arial"/>
                <w:sz w:val="9"/>
                <w:szCs w:val="9"/>
                <w:b w:val="1"/>
                <w:bCs w:val="1"/>
                <w:color w:val="FFFFFF"/>
              </w:rPr>
              <w:t>(3)</w:t>
            </w:r>
          </w:p>
        </w:tc>
        <w:tc>
          <w:tcPr>
            <w:tcW w:w="0" w:type="dxa"/>
            <w:vAlign w:val="bottom"/>
          </w:tcPr>
          <w:p>
            <w:pPr>
              <w:spacing w:after="0"/>
              <w:rPr>
                <w:sz w:val="1"/>
                <w:szCs w:val="1"/>
                <w:color w:val="auto"/>
              </w:rPr>
            </w:pPr>
          </w:p>
        </w:tc>
      </w:tr>
      <w:tr>
        <w:trPr>
          <w:trHeight w:val="148"/>
        </w:trPr>
        <w:tc>
          <w:tcPr>
            <w:tcW w:w="1080" w:type="dxa"/>
            <w:vAlign w:val="bottom"/>
            <w:vMerge w:val="restart"/>
            <w:shd w:val="clear" w:color="auto" w:fill="000000"/>
          </w:tcPr>
          <w:p>
            <w:pPr>
              <w:ind w:left="100"/>
              <w:spacing w:after="0"/>
              <w:rPr>
                <w:sz w:val="20"/>
                <w:szCs w:val="20"/>
                <w:color w:val="auto"/>
              </w:rPr>
            </w:pPr>
            <w:r>
              <w:rPr>
                <w:rFonts w:ascii="Arial" w:cs="Arial" w:eastAsia="Arial" w:hAnsi="Arial"/>
                <w:sz w:val="14"/>
                <w:szCs w:val="14"/>
                <w:b w:val="1"/>
                <w:bCs w:val="1"/>
                <w:color w:val="FFFFFF"/>
              </w:rPr>
              <w:t>Name</w:t>
            </w:r>
          </w:p>
        </w:tc>
        <w:tc>
          <w:tcPr>
            <w:tcW w:w="1020" w:type="dxa"/>
            <w:vAlign w:val="bottom"/>
            <w:vMerge w:val="restart"/>
            <w:shd w:val="clear" w:color="auto" w:fill="2B338D"/>
          </w:tcPr>
          <w:p>
            <w:pPr>
              <w:ind w:left="140"/>
              <w:spacing w:after="0"/>
              <w:rPr>
                <w:sz w:val="20"/>
                <w:szCs w:val="20"/>
                <w:color w:val="auto"/>
              </w:rPr>
            </w:pPr>
            <w:r>
              <w:rPr>
                <w:rFonts w:ascii="Arial" w:cs="Arial" w:eastAsia="Arial" w:hAnsi="Arial"/>
                <w:sz w:val="14"/>
                <w:szCs w:val="14"/>
                <w:b w:val="1"/>
                <w:bCs w:val="1"/>
                <w:color w:val="FFFFFF"/>
              </w:rPr>
              <w:t>Grant Date</w:t>
            </w:r>
          </w:p>
        </w:tc>
        <w:tc>
          <w:tcPr>
            <w:tcW w:w="100" w:type="dxa"/>
            <w:vAlign w:val="bottom"/>
            <w:shd w:val="clear" w:color="auto" w:fill="2B338D"/>
          </w:tcPr>
          <w:p>
            <w:pPr>
              <w:spacing w:after="0"/>
              <w:rPr>
                <w:sz w:val="12"/>
                <w:szCs w:val="12"/>
                <w:color w:val="auto"/>
              </w:rPr>
            </w:pPr>
          </w:p>
        </w:tc>
        <w:tc>
          <w:tcPr>
            <w:tcW w:w="1060" w:type="dxa"/>
            <w:vAlign w:val="bottom"/>
            <w:vMerge w:val="restart"/>
            <w:shd w:val="clear" w:color="auto" w:fill="2B338D"/>
          </w:tcPr>
          <w:p>
            <w:pPr>
              <w:ind w:left="760"/>
              <w:spacing w:after="0"/>
              <w:rPr>
                <w:sz w:val="20"/>
                <w:szCs w:val="20"/>
                <w:color w:val="auto"/>
              </w:rPr>
            </w:pPr>
            <w:r>
              <w:rPr>
                <w:rFonts w:ascii="Arial" w:cs="Arial" w:eastAsia="Arial" w:hAnsi="Arial"/>
                <w:sz w:val="14"/>
                <w:szCs w:val="14"/>
                <w:b w:val="1"/>
                <w:bCs w:val="1"/>
                <w:color w:val="FFFFFF"/>
              </w:rPr>
              <w:t>($)</w:t>
            </w:r>
          </w:p>
        </w:tc>
        <w:tc>
          <w:tcPr>
            <w:tcW w:w="960" w:type="dxa"/>
            <w:vAlign w:val="bottom"/>
            <w:vMerge w:val="restart"/>
            <w:shd w:val="clear" w:color="auto" w:fill="2B338D"/>
          </w:tcPr>
          <w:p>
            <w:pPr>
              <w:jc w:val="center"/>
              <w:spacing w:after="0"/>
              <w:rPr>
                <w:sz w:val="20"/>
                <w:szCs w:val="20"/>
                <w:color w:val="auto"/>
              </w:rPr>
            </w:pPr>
            <w:r>
              <w:rPr>
                <w:rFonts w:ascii="Arial" w:cs="Arial" w:eastAsia="Arial" w:hAnsi="Arial"/>
                <w:sz w:val="14"/>
                <w:szCs w:val="14"/>
                <w:b w:val="1"/>
                <w:bCs w:val="1"/>
                <w:color w:val="FFFFFF"/>
              </w:rPr>
              <w:t>Target ($)</w:t>
            </w:r>
          </w:p>
        </w:tc>
        <w:tc>
          <w:tcPr>
            <w:tcW w:w="940" w:type="dxa"/>
            <w:vAlign w:val="bottom"/>
            <w:vMerge w:val="restart"/>
            <w:shd w:val="clear" w:color="auto" w:fill="2B338D"/>
          </w:tcPr>
          <w:p>
            <w:pPr>
              <w:jc w:val="right"/>
              <w:ind w:right="28"/>
              <w:spacing w:after="0"/>
              <w:rPr>
                <w:sz w:val="20"/>
                <w:szCs w:val="20"/>
                <w:color w:val="auto"/>
              </w:rPr>
            </w:pPr>
            <w:r>
              <w:rPr>
                <w:rFonts w:ascii="Arial" w:cs="Arial" w:eastAsia="Arial" w:hAnsi="Arial"/>
                <w:sz w:val="14"/>
                <w:szCs w:val="14"/>
                <w:b w:val="1"/>
                <w:bCs w:val="1"/>
                <w:color w:val="FFFFFF"/>
              </w:rPr>
              <w:t>($)</w:t>
            </w:r>
          </w:p>
        </w:tc>
        <w:tc>
          <w:tcPr>
            <w:tcW w:w="1000" w:type="dxa"/>
            <w:vAlign w:val="bottom"/>
            <w:vMerge w:val="restart"/>
            <w:shd w:val="clear" w:color="auto" w:fill="2B338D"/>
          </w:tcPr>
          <w:p>
            <w:pPr>
              <w:jc w:val="center"/>
              <w:spacing w:after="0"/>
              <w:rPr>
                <w:sz w:val="20"/>
                <w:szCs w:val="20"/>
                <w:color w:val="auto"/>
              </w:rPr>
            </w:pPr>
            <w:r>
              <w:rPr>
                <w:rFonts w:ascii="Arial" w:cs="Arial" w:eastAsia="Arial" w:hAnsi="Arial"/>
                <w:sz w:val="14"/>
                <w:szCs w:val="14"/>
                <w:b w:val="1"/>
                <w:bCs w:val="1"/>
                <w:color w:val="FFFFFF"/>
              </w:rPr>
              <w:t>(#)</w:t>
            </w:r>
          </w:p>
        </w:tc>
        <w:tc>
          <w:tcPr>
            <w:tcW w:w="960" w:type="dxa"/>
            <w:vAlign w:val="bottom"/>
            <w:vMerge w:val="restart"/>
            <w:shd w:val="clear" w:color="auto" w:fill="2B338D"/>
          </w:tcPr>
          <w:p>
            <w:pPr>
              <w:jc w:val="center"/>
              <w:spacing w:after="0"/>
              <w:rPr>
                <w:sz w:val="20"/>
                <w:szCs w:val="20"/>
                <w:color w:val="auto"/>
              </w:rPr>
            </w:pPr>
            <w:r>
              <w:rPr>
                <w:rFonts w:ascii="Arial" w:cs="Arial" w:eastAsia="Arial" w:hAnsi="Arial"/>
                <w:sz w:val="14"/>
                <w:szCs w:val="14"/>
                <w:b w:val="1"/>
                <w:bCs w:val="1"/>
                <w:color w:val="FFFFFF"/>
              </w:rPr>
              <w:t>Target (#)</w:t>
            </w:r>
          </w:p>
        </w:tc>
        <w:tc>
          <w:tcPr>
            <w:tcW w:w="1020" w:type="dxa"/>
            <w:vAlign w:val="bottom"/>
            <w:vMerge w:val="restart"/>
            <w:shd w:val="clear" w:color="auto" w:fill="2B338D"/>
          </w:tcPr>
          <w:p>
            <w:pPr>
              <w:jc w:val="center"/>
              <w:spacing w:after="0"/>
              <w:rPr>
                <w:sz w:val="20"/>
                <w:szCs w:val="20"/>
                <w:color w:val="auto"/>
              </w:rPr>
            </w:pPr>
            <w:r>
              <w:rPr>
                <w:rFonts w:ascii="Arial" w:cs="Arial" w:eastAsia="Arial" w:hAnsi="Arial"/>
                <w:sz w:val="14"/>
                <w:szCs w:val="14"/>
                <w:b w:val="1"/>
                <w:bCs w:val="1"/>
                <w:color w:val="FFFFFF"/>
                <w:w w:val="93"/>
              </w:rPr>
              <w:t>(#)</w:t>
            </w:r>
          </w:p>
        </w:tc>
        <w:tc>
          <w:tcPr>
            <w:tcW w:w="1020" w:type="dxa"/>
            <w:vAlign w:val="bottom"/>
            <w:vMerge w:val="restart"/>
            <w:shd w:val="clear" w:color="auto" w:fill="2B338D"/>
          </w:tcPr>
          <w:p>
            <w:pPr>
              <w:jc w:val="center"/>
              <w:spacing w:after="0"/>
              <w:rPr>
                <w:sz w:val="20"/>
                <w:szCs w:val="20"/>
                <w:color w:val="auto"/>
              </w:rPr>
            </w:pPr>
            <w:r>
              <w:rPr>
                <w:rFonts w:ascii="Arial" w:cs="Arial" w:eastAsia="Arial" w:hAnsi="Arial"/>
                <w:sz w:val="14"/>
                <w:szCs w:val="14"/>
                <w:b w:val="1"/>
                <w:bCs w:val="1"/>
                <w:color w:val="FFFFFF"/>
                <w:w w:val="93"/>
              </w:rPr>
              <w:t>(#)</w:t>
            </w:r>
          </w:p>
        </w:tc>
        <w:tc>
          <w:tcPr>
            <w:tcW w:w="100" w:type="dxa"/>
            <w:vAlign w:val="bottom"/>
            <w:shd w:val="clear" w:color="auto" w:fill="2B338D"/>
          </w:tcPr>
          <w:p>
            <w:pPr>
              <w:spacing w:after="0"/>
              <w:rPr>
                <w:sz w:val="12"/>
                <w:szCs w:val="12"/>
                <w:color w:val="auto"/>
              </w:rPr>
            </w:pPr>
          </w:p>
        </w:tc>
        <w:tc>
          <w:tcPr>
            <w:tcW w:w="860" w:type="dxa"/>
            <w:vAlign w:val="bottom"/>
            <w:vMerge w:val="restart"/>
            <w:shd w:val="clear" w:color="auto" w:fill="2B338D"/>
          </w:tcPr>
          <w:p>
            <w:pPr>
              <w:ind w:left="660"/>
              <w:spacing w:after="0"/>
              <w:rPr>
                <w:sz w:val="20"/>
                <w:szCs w:val="20"/>
                <w:color w:val="auto"/>
              </w:rPr>
            </w:pPr>
            <w:r>
              <w:rPr>
                <w:rFonts w:ascii="Arial" w:cs="Arial" w:eastAsia="Arial" w:hAnsi="Arial"/>
                <w:sz w:val="14"/>
                <w:szCs w:val="14"/>
                <w:b w:val="1"/>
                <w:bCs w:val="1"/>
                <w:color w:val="FFFFFF"/>
              </w:rPr>
              <w:t>($)</w:t>
            </w:r>
          </w:p>
        </w:tc>
        <w:tc>
          <w:tcPr>
            <w:tcW w:w="100" w:type="dxa"/>
            <w:vAlign w:val="bottom"/>
            <w:shd w:val="clear" w:color="auto" w:fill="2B338D"/>
          </w:tcPr>
          <w:p>
            <w:pPr>
              <w:spacing w:after="0"/>
              <w:rPr>
                <w:sz w:val="12"/>
                <w:szCs w:val="12"/>
                <w:color w:val="auto"/>
              </w:rPr>
            </w:pPr>
          </w:p>
        </w:tc>
        <w:tc>
          <w:tcPr>
            <w:tcW w:w="1020" w:type="dxa"/>
            <w:vAlign w:val="bottom"/>
            <w:vMerge w:val="continue"/>
            <w:shd w:val="clear" w:color="auto" w:fill="2B338D"/>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1080" w:type="dxa"/>
            <w:vAlign w:val="bottom"/>
            <w:vMerge w:val="continue"/>
            <w:shd w:val="clear" w:color="auto" w:fill="000000"/>
          </w:tcPr>
          <w:p>
            <w:pPr>
              <w:spacing w:after="0"/>
              <w:rPr>
                <w:sz w:val="3"/>
                <w:szCs w:val="3"/>
                <w:color w:val="auto"/>
              </w:rPr>
            </w:pPr>
          </w:p>
        </w:tc>
        <w:tc>
          <w:tcPr>
            <w:tcW w:w="1020" w:type="dxa"/>
            <w:vAlign w:val="bottom"/>
            <w:vMerge w:val="continue"/>
            <w:shd w:val="clear" w:color="auto" w:fill="2B338D"/>
          </w:tcPr>
          <w:p>
            <w:pPr>
              <w:spacing w:after="0"/>
              <w:rPr>
                <w:sz w:val="3"/>
                <w:szCs w:val="3"/>
                <w:color w:val="auto"/>
              </w:rPr>
            </w:pPr>
          </w:p>
        </w:tc>
        <w:tc>
          <w:tcPr>
            <w:tcW w:w="100" w:type="dxa"/>
            <w:vAlign w:val="bottom"/>
            <w:shd w:val="clear" w:color="auto" w:fill="2B338D"/>
          </w:tcPr>
          <w:p>
            <w:pPr>
              <w:spacing w:after="0"/>
              <w:rPr>
                <w:sz w:val="3"/>
                <w:szCs w:val="3"/>
                <w:color w:val="auto"/>
              </w:rPr>
            </w:pPr>
          </w:p>
        </w:tc>
        <w:tc>
          <w:tcPr>
            <w:tcW w:w="1060" w:type="dxa"/>
            <w:vAlign w:val="bottom"/>
            <w:vMerge w:val="continue"/>
            <w:shd w:val="clear" w:color="auto" w:fill="2B338D"/>
          </w:tcPr>
          <w:p>
            <w:pPr>
              <w:spacing w:after="0"/>
              <w:rPr>
                <w:sz w:val="3"/>
                <w:szCs w:val="3"/>
                <w:color w:val="auto"/>
              </w:rPr>
            </w:pPr>
          </w:p>
        </w:tc>
        <w:tc>
          <w:tcPr>
            <w:tcW w:w="960" w:type="dxa"/>
            <w:vAlign w:val="bottom"/>
            <w:vMerge w:val="continue"/>
            <w:shd w:val="clear" w:color="auto" w:fill="2B338D"/>
          </w:tcPr>
          <w:p>
            <w:pPr>
              <w:spacing w:after="0"/>
              <w:rPr>
                <w:sz w:val="3"/>
                <w:szCs w:val="3"/>
                <w:color w:val="auto"/>
              </w:rPr>
            </w:pPr>
          </w:p>
        </w:tc>
        <w:tc>
          <w:tcPr>
            <w:tcW w:w="940" w:type="dxa"/>
            <w:vAlign w:val="bottom"/>
            <w:vMerge w:val="continue"/>
            <w:shd w:val="clear" w:color="auto" w:fill="2B338D"/>
          </w:tcPr>
          <w:p>
            <w:pPr>
              <w:spacing w:after="0"/>
              <w:rPr>
                <w:sz w:val="3"/>
                <w:szCs w:val="3"/>
                <w:color w:val="auto"/>
              </w:rPr>
            </w:pPr>
          </w:p>
        </w:tc>
        <w:tc>
          <w:tcPr>
            <w:tcW w:w="1000" w:type="dxa"/>
            <w:vAlign w:val="bottom"/>
            <w:vMerge w:val="continue"/>
            <w:shd w:val="clear" w:color="auto" w:fill="2B338D"/>
          </w:tcPr>
          <w:p>
            <w:pPr>
              <w:spacing w:after="0"/>
              <w:rPr>
                <w:sz w:val="3"/>
                <w:szCs w:val="3"/>
                <w:color w:val="auto"/>
              </w:rPr>
            </w:pPr>
          </w:p>
        </w:tc>
        <w:tc>
          <w:tcPr>
            <w:tcW w:w="960" w:type="dxa"/>
            <w:vAlign w:val="bottom"/>
            <w:vMerge w:val="continue"/>
            <w:shd w:val="clear" w:color="auto" w:fill="2B338D"/>
          </w:tcPr>
          <w:p>
            <w:pPr>
              <w:spacing w:after="0"/>
              <w:rPr>
                <w:sz w:val="3"/>
                <w:szCs w:val="3"/>
                <w:color w:val="auto"/>
              </w:rPr>
            </w:pPr>
          </w:p>
        </w:tc>
        <w:tc>
          <w:tcPr>
            <w:tcW w:w="1020" w:type="dxa"/>
            <w:vAlign w:val="bottom"/>
            <w:vMerge w:val="continue"/>
            <w:shd w:val="clear" w:color="auto" w:fill="2B338D"/>
          </w:tcPr>
          <w:p>
            <w:pPr>
              <w:spacing w:after="0"/>
              <w:rPr>
                <w:sz w:val="3"/>
                <w:szCs w:val="3"/>
                <w:color w:val="auto"/>
              </w:rPr>
            </w:pPr>
          </w:p>
        </w:tc>
        <w:tc>
          <w:tcPr>
            <w:tcW w:w="1020" w:type="dxa"/>
            <w:vAlign w:val="bottom"/>
            <w:vMerge w:val="continue"/>
            <w:shd w:val="clear" w:color="auto" w:fill="2B338D"/>
          </w:tcPr>
          <w:p>
            <w:pPr>
              <w:spacing w:after="0"/>
              <w:rPr>
                <w:sz w:val="3"/>
                <w:szCs w:val="3"/>
                <w:color w:val="auto"/>
              </w:rPr>
            </w:pPr>
          </w:p>
        </w:tc>
        <w:tc>
          <w:tcPr>
            <w:tcW w:w="100" w:type="dxa"/>
            <w:vAlign w:val="bottom"/>
            <w:shd w:val="clear" w:color="auto" w:fill="2B338D"/>
          </w:tcPr>
          <w:p>
            <w:pPr>
              <w:spacing w:after="0"/>
              <w:rPr>
                <w:sz w:val="3"/>
                <w:szCs w:val="3"/>
                <w:color w:val="auto"/>
              </w:rPr>
            </w:pPr>
          </w:p>
        </w:tc>
        <w:tc>
          <w:tcPr>
            <w:tcW w:w="860" w:type="dxa"/>
            <w:vAlign w:val="bottom"/>
            <w:vMerge w:val="continue"/>
            <w:shd w:val="clear" w:color="auto" w:fill="2B338D"/>
          </w:tcPr>
          <w:p>
            <w:pPr>
              <w:spacing w:after="0"/>
              <w:rPr>
                <w:sz w:val="3"/>
                <w:szCs w:val="3"/>
                <w:color w:val="auto"/>
              </w:rPr>
            </w:pPr>
          </w:p>
        </w:tc>
        <w:tc>
          <w:tcPr>
            <w:tcW w:w="100" w:type="dxa"/>
            <w:vAlign w:val="bottom"/>
            <w:shd w:val="clear" w:color="auto" w:fill="2B338D"/>
          </w:tcPr>
          <w:p>
            <w:pPr>
              <w:spacing w:after="0"/>
              <w:rPr>
                <w:sz w:val="3"/>
                <w:szCs w:val="3"/>
                <w:color w:val="auto"/>
              </w:rPr>
            </w:pPr>
          </w:p>
        </w:tc>
        <w:tc>
          <w:tcPr>
            <w:tcW w:w="1020" w:type="dxa"/>
            <w:vAlign w:val="bottom"/>
            <w:shd w:val="clear" w:color="auto" w:fill="2B338D"/>
          </w:tcPr>
          <w:p>
            <w:pPr>
              <w:spacing w:after="0"/>
              <w:rPr>
                <w:sz w:val="3"/>
                <w:szCs w:val="3"/>
                <w:color w:val="auto"/>
              </w:rPr>
            </w:pPr>
          </w:p>
        </w:tc>
        <w:tc>
          <w:tcPr>
            <w:tcW w:w="0" w:type="dxa"/>
            <w:vAlign w:val="bottom"/>
          </w:tcPr>
          <w:p>
            <w:pPr>
              <w:spacing w:after="0"/>
              <w:rPr>
                <w:sz w:val="1"/>
                <w:szCs w:val="1"/>
                <w:color w:val="auto"/>
              </w:rPr>
            </w:pPr>
          </w:p>
        </w:tc>
      </w:tr>
      <w:tr>
        <w:trPr>
          <w:trHeight w:val="66"/>
        </w:trPr>
        <w:tc>
          <w:tcPr>
            <w:tcW w:w="1080" w:type="dxa"/>
            <w:vAlign w:val="bottom"/>
            <w:shd w:val="clear" w:color="auto" w:fill="000000"/>
          </w:tcPr>
          <w:p>
            <w:pPr>
              <w:spacing w:after="0"/>
              <w:rPr>
                <w:sz w:val="5"/>
                <w:szCs w:val="5"/>
                <w:color w:val="auto"/>
              </w:rPr>
            </w:pPr>
          </w:p>
        </w:tc>
        <w:tc>
          <w:tcPr>
            <w:tcW w:w="1020" w:type="dxa"/>
            <w:vAlign w:val="bottom"/>
            <w:shd w:val="clear" w:color="auto" w:fill="2B338D"/>
          </w:tcPr>
          <w:p>
            <w:pPr>
              <w:spacing w:after="0"/>
              <w:rPr>
                <w:sz w:val="5"/>
                <w:szCs w:val="5"/>
                <w:color w:val="auto"/>
              </w:rPr>
            </w:pPr>
          </w:p>
        </w:tc>
        <w:tc>
          <w:tcPr>
            <w:tcW w:w="100" w:type="dxa"/>
            <w:vAlign w:val="bottom"/>
            <w:shd w:val="clear" w:color="auto" w:fill="2B338D"/>
          </w:tcPr>
          <w:p>
            <w:pPr>
              <w:spacing w:after="0"/>
              <w:rPr>
                <w:sz w:val="5"/>
                <w:szCs w:val="5"/>
                <w:color w:val="auto"/>
              </w:rPr>
            </w:pPr>
          </w:p>
        </w:tc>
        <w:tc>
          <w:tcPr>
            <w:tcW w:w="1060" w:type="dxa"/>
            <w:vAlign w:val="bottom"/>
            <w:shd w:val="clear" w:color="auto" w:fill="2B338D"/>
          </w:tcPr>
          <w:p>
            <w:pPr>
              <w:spacing w:after="0"/>
              <w:rPr>
                <w:sz w:val="5"/>
                <w:szCs w:val="5"/>
                <w:color w:val="auto"/>
              </w:rPr>
            </w:pPr>
          </w:p>
        </w:tc>
        <w:tc>
          <w:tcPr>
            <w:tcW w:w="960" w:type="dxa"/>
            <w:vAlign w:val="bottom"/>
            <w:shd w:val="clear" w:color="auto" w:fill="2B338D"/>
          </w:tcPr>
          <w:p>
            <w:pPr>
              <w:spacing w:after="0"/>
              <w:rPr>
                <w:sz w:val="5"/>
                <w:szCs w:val="5"/>
                <w:color w:val="auto"/>
              </w:rPr>
            </w:pPr>
          </w:p>
        </w:tc>
        <w:tc>
          <w:tcPr>
            <w:tcW w:w="940" w:type="dxa"/>
            <w:vAlign w:val="bottom"/>
            <w:shd w:val="clear" w:color="auto" w:fill="2B338D"/>
          </w:tcPr>
          <w:p>
            <w:pPr>
              <w:spacing w:after="0"/>
              <w:rPr>
                <w:sz w:val="5"/>
                <w:szCs w:val="5"/>
                <w:color w:val="auto"/>
              </w:rPr>
            </w:pPr>
          </w:p>
        </w:tc>
        <w:tc>
          <w:tcPr>
            <w:tcW w:w="1000" w:type="dxa"/>
            <w:vAlign w:val="bottom"/>
            <w:shd w:val="clear" w:color="auto" w:fill="2B338D"/>
          </w:tcPr>
          <w:p>
            <w:pPr>
              <w:spacing w:after="0"/>
              <w:rPr>
                <w:sz w:val="5"/>
                <w:szCs w:val="5"/>
                <w:color w:val="auto"/>
              </w:rPr>
            </w:pPr>
          </w:p>
        </w:tc>
        <w:tc>
          <w:tcPr>
            <w:tcW w:w="960" w:type="dxa"/>
            <w:vAlign w:val="bottom"/>
            <w:shd w:val="clear" w:color="auto" w:fill="2B338D"/>
          </w:tcPr>
          <w:p>
            <w:pPr>
              <w:spacing w:after="0"/>
              <w:rPr>
                <w:sz w:val="5"/>
                <w:szCs w:val="5"/>
                <w:color w:val="auto"/>
              </w:rPr>
            </w:pPr>
          </w:p>
        </w:tc>
        <w:tc>
          <w:tcPr>
            <w:tcW w:w="1020" w:type="dxa"/>
            <w:vAlign w:val="bottom"/>
            <w:shd w:val="clear" w:color="auto" w:fill="2B338D"/>
          </w:tcPr>
          <w:p>
            <w:pPr>
              <w:spacing w:after="0"/>
              <w:rPr>
                <w:sz w:val="5"/>
                <w:szCs w:val="5"/>
                <w:color w:val="auto"/>
              </w:rPr>
            </w:pPr>
          </w:p>
        </w:tc>
        <w:tc>
          <w:tcPr>
            <w:tcW w:w="1020" w:type="dxa"/>
            <w:vAlign w:val="bottom"/>
            <w:shd w:val="clear" w:color="auto" w:fill="2B338D"/>
          </w:tcPr>
          <w:p>
            <w:pPr>
              <w:spacing w:after="0"/>
              <w:rPr>
                <w:sz w:val="5"/>
                <w:szCs w:val="5"/>
                <w:color w:val="auto"/>
              </w:rPr>
            </w:pPr>
          </w:p>
        </w:tc>
        <w:tc>
          <w:tcPr>
            <w:tcW w:w="100" w:type="dxa"/>
            <w:vAlign w:val="bottom"/>
            <w:shd w:val="clear" w:color="auto" w:fill="2B338D"/>
          </w:tcPr>
          <w:p>
            <w:pPr>
              <w:spacing w:after="0"/>
              <w:rPr>
                <w:sz w:val="5"/>
                <w:szCs w:val="5"/>
                <w:color w:val="auto"/>
              </w:rPr>
            </w:pPr>
          </w:p>
        </w:tc>
        <w:tc>
          <w:tcPr>
            <w:tcW w:w="860" w:type="dxa"/>
            <w:vAlign w:val="bottom"/>
            <w:shd w:val="clear" w:color="auto" w:fill="2B338D"/>
          </w:tcPr>
          <w:p>
            <w:pPr>
              <w:spacing w:after="0"/>
              <w:rPr>
                <w:sz w:val="5"/>
                <w:szCs w:val="5"/>
                <w:color w:val="auto"/>
              </w:rPr>
            </w:pPr>
          </w:p>
        </w:tc>
        <w:tc>
          <w:tcPr>
            <w:tcW w:w="100" w:type="dxa"/>
            <w:vAlign w:val="bottom"/>
            <w:shd w:val="clear" w:color="auto" w:fill="2B338D"/>
          </w:tcPr>
          <w:p>
            <w:pPr>
              <w:spacing w:after="0"/>
              <w:rPr>
                <w:sz w:val="5"/>
                <w:szCs w:val="5"/>
                <w:color w:val="auto"/>
              </w:rPr>
            </w:pPr>
          </w:p>
        </w:tc>
        <w:tc>
          <w:tcPr>
            <w:tcW w:w="1020" w:type="dxa"/>
            <w:vAlign w:val="bottom"/>
            <w:shd w:val="clear" w:color="auto" w:fill="2B338D"/>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1080" w:type="dxa"/>
            <w:vAlign w:val="bottom"/>
          </w:tcPr>
          <w:p>
            <w:pPr>
              <w:ind w:left="100"/>
              <w:spacing w:after="0"/>
              <w:rPr>
                <w:sz w:val="20"/>
                <w:szCs w:val="20"/>
                <w:color w:val="auto"/>
              </w:rPr>
            </w:pPr>
            <w:r>
              <w:rPr>
                <w:rFonts w:ascii="Arial" w:cs="Arial" w:eastAsia="Arial" w:hAnsi="Arial"/>
                <w:sz w:val="14"/>
                <w:szCs w:val="14"/>
                <w:b w:val="1"/>
                <w:bCs w:val="1"/>
                <w:color w:val="auto"/>
              </w:rPr>
              <w:t>Jay</w:t>
            </w:r>
          </w:p>
        </w:tc>
        <w:tc>
          <w:tcPr>
            <w:tcW w:w="1020" w:type="dxa"/>
            <w:vAlign w:val="bottom"/>
            <w:vMerge w:val="restart"/>
          </w:tcPr>
          <w:p>
            <w:pPr>
              <w:ind w:left="140"/>
              <w:spacing w:after="0"/>
              <w:rPr>
                <w:sz w:val="20"/>
                <w:szCs w:val="20"/>
                <w:color w:val="auto"/>
              </w:rPr>
            </w:pPr>
            <w:r>
              <w:rPr>
                <w:rFonts w:ascii="Arial" w:cs="Arial" w:eastAsia="Arial" w:hAnsi="Arial"/>
                <w:sz w:val="14"/>
                <w:szCs w:val="14"/>
                <w:color w:val="auto"/>
              </w:rPr>
              <w:t>09/08/2020</w:t>
            </w:r>
          </w:p>
        </w:tc>
        <w:tc>
          <w:tcPr>
            <w:tcW w:w="100" w:type="dxa"/>
            <w:vAlign w:val="bottom"/>
          </w:tcPr>
          <w:p>
            <w:pPr>
              <w:spacing w:after="0"/>
              <w:rPr>
                <w:sz w:val="15"/>
                <w:szCs w:val="15"/>
                <w:color w:val="auto"/>
              </w:rPr>
            </w:pPr>
          </w:p>
        </w:tc>
        <w:tc>
          <w:tcPr>
            <w:tcW w:w="1060" w:type="dxa"/>
            <w:vAlign w:val="bottom"/>
            <w:vMerge w:val="restart"/>
          </w:tcPr>
          <w:p>
            <w:pPr>
              <w:ind w:left="740"/>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960" w:type="dxa"/>
            <w:vAlign w:val="bottom"/>
            <w:vMerge w:val="restart"/>
          </w:tcPr>
          <w:p>
            <w:pPr>
              <w:jc w:val="center"/>
              <w:spacing w:after="0"/>
              <w:rPr>
                <w:sz w:val="20"/>
                <w:szCs w:val="20"/>
                <w:color w:val="auto"/>
              </w:rPr>
            </w:pPr>
            <w:r>
              <w:rPr>
                <w:rFonts w:ascii="Arial" w:cs="Arial" w:eastAsia="Arial" w:hAnsi="Arial"/>
                <w:sz w:val="14"/>
                <w:szCs w:val="14"/>
                <w:color w:val="auto"/>
              </w:rPr>
              <w:t>150,000</w:t>
            </w:r>
          </w:p>
        </w:tc>
        <w:tc>
          <w:tcPr>
            <w:tcW w:w="1020" w:type="dxa"/>
            <w:vAlign w:val="bottom"/>
            <w:vMerge w:val="restart"/>
          </w:tcPr>
          <w:p>
            <w:pPr>
              <w:jc w:val="center"/>
              <w:spacing w:after="0"/>
              <w:rPr>
                <w:sz w:val="20"/>
                <w:szCs w:val="20"/>
                <w:color w:val="auto"/>
              </w:rPr>
            </w:pPr>
            <w:r>
              <w:rPr>
                <w:rFonts w:ascii="Arial" w:cs="Arial" w:eastAsia="Arial" w:hAnsi="Arial"/>
                <w:sz w:val="14"/>
                <w:szCs w:val="14"/>
                <w:color w:val="auto"/>
              </w:rPr>
              <w:t>225,000</w:t>
            </w:r>
          </w:p>
        </w:tc>
        <w:tc>
          <w:tcPr>
            <w:tcW w:w="102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5"/>
                <w:szCs w:val="15"/>
                <w:color w:val="auto"/>
              </w:rPr>
            </w:pPr>
          </w:p>
        </w:tc>
        <w:tc>
          <w:tcPr>
            <w:tcW w:w="860" w:type="dxa"/>
            <w:vAlign w:val="bottom"/>
            <w:vMerge w:val="restart"/>
          </w:tcPr>
          <w:p>
            <w:pPr>
              <w:ind w:left="640"/>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tcPr>
          <w:p>
            <w:pPr>
              <w:jc w:val="right"/>
              <w:spacing w:after="0"/>
              <w:rPr>
                <w:sz w:val="20"/>
                <w:szCs w:val="20"/>
                <w:color w:val="auto"/>
              </w:rPr>
            </w:pPr>
            <w:r>
              <w:rPr>
                <w:rFonts w:ascii="Arial" w:cs="Arial" w:eastAsia="Arial" w:hAnsi="Arial"/>
                <w:sz w:val="14"/>
                <w:szCs w:val="14"/>
                <w:color w:val="auto"/>
              </w:rPr>
              <w:t>19,975,500</w:t>
            </w:r>
          </w:p>
        </w:tc>
        <w:tc>
          <w:tcPr>
            <w:tcW w:w="0" w:type="dxa"/>
            <w:vAlign w:val="bottom"/>
          </w:tcPr>
          <w:p>
            <w:pPr>
              <w:spacing w:after="0"/>
              <w:rPr>
                <w:sz w:val="1"/>
                <w:szCs w:val="1"/>
                <w:color w:val="auto"/>
              </w:rPr>
            </w:pPr>
          </w:p>
        </w:tc>
      </w:tr>
      <w:tr>
        <w:trPr>
          <w:trHeight w:val="96"/>
        </w:trPr>
        <w:tc>
          <w:tcPr>
            <w:tcW w:w="108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Chaudhry</w:t>
            </w:r>
          </w:p>
        </w:tc>
        <w:tc>
          <w:tcPr>
            <w:tcW w:w="10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080" w:type="dxa"/>
            <w:vAlign w:val="bottom"/>
            <w:tcBorders>
              <w:bottom w:val="single" w:sz="8" w:color="auto"/>
            </w:tcBorders>
            <w:vMerge w:val="continue"/>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108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Remo</w:t>
            </w:r>
          </w:p>
        </w:tc>
        <w:tc>
          <w:tcPr>
            <w:tcW w:w="1020" w:type="dxa"/>
            <w:vAlign w:val="bottom"/>
          </w:tcPr>
          <w:p>
            <w:pPr>
              <w:ind w:left="140"/>
              <w:spacing w:after="0"/>
              <w:rPr>
                <w:sz w:val="20"/>
                <w:szCs w:val="20"/>
                <w:color w:val="auto"/>
              </w:rPr>
            </w:pPr>
            <w:r>
              <w:rPr>
                <w:rFonts w:ascii="Arial" w:cs="Arial" w:eastAsia="Arial" w:hAnsi="Arial"/>
                <w:sz w:val="14"/>
                <w:szCs w:val="14"/>
                <w:color w:val="auto"/>
              </w:rPr>
              <w:t>09/08/2020</w:t>
            </w:r>
          </w:p>
        </w:tc>
        <w:tc>
          <w:tcPr>
            <w:tcW w:w="100" w:type="dxa"/>
            <w:vAlign w:val="bottom"/>
          </w:tcPr>
          <w:p>
            <w:pPr>
              <w:spacing w:after="0"/>
              <w:rPr>
                <w:sz w:val="24"/>
                <w:szCs w:val="24"/>
                <w:color w:val="auto"/>
              </w:rPr>
            </w:pPr>
          </w:p>
        </w:tc>
        <w:tc>
          <w:tcPr>
            <w:tcW w:w="1060" w:type="dxa"/>
            <w:vAlign w:val="bottom"/>
          </w:tcPr>
          <w:p>
            <w:pPr>
              <w:ind w:left="74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48"/>
              <w:spacing w:after="0"/>
              <w:rPr>
                <w:sz w:val="20"/>
                <w:szCs w:val="20"/>
                <w:color w:val="auto"/>
              </w:rPr>
            </w:pPr>
            <w:r>
              <w:rPr>
                <w:rFonts w:ascii="Arial" w:cs="Arial" w:eastAsia="Arial" w:hAnsi="Arial"/>
                <w:sz w:val="14"/>
                <w:szCs w:val="14"/>
                <w:color w:val="auto"/>
              </w:rPr>
              <w:t>250,000</w:t>
            </w: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375,000</w:t>
            </w:r>
          </w:p>
        </w:tc>
        <w:tc>
          <w:tcPr>
            <w:tcW w:w="10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20" w:type="dxa"/>
            <w:vAlign w:val="bottom"/>
          </w:tcPr>
          <w:p>
            <w:pPr>
              <w:jc w:val="center"/>
              <w:ind w:right="8"/>
              <w:spacing w:after="0"/>
              <w:rPr>
                <w:sz w:val="20"/>
                <w:szCs w:val="20"/>
                <w:color w:val="auto"/>
              </w:rPr>
            </w:pPr>
            <w:r>
              <w:rPr>
                <w:rFonts w:ascii="Arial" w:cs="Arial" w:eastAsia="Arial" w:hAnsi="Arial"/>
                <w:sz w:val="14"/>
                <w:szCs w:val="14"/>
                <w:color w:val="auto"/>
                <w:w w:val="99"/>
              </w:rPr>
              <w:t>—</w:t>
            </w:r>
          </w:p>
        </w:tc>
        <w:tc>
          <w:tcPr>
            <w:tcW w:w="10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24"/>
                <w:szCs w:val="24"/>
                <w:color w:val="auto"/>
              </w:rPr>
            </w:pPr>
          </w:p>
        </w:tc>
        <w:tc>
          <w:tcPr>
            <w:tcW w:w="860" w:type="dxa"/>
            <w:vAlign w:val="bottom"/>
          </w:tcPr>
          <w:p>
            <w:pPr>
              <w:ind w:left="6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0"/>
        </w:trPr>
        <w:tc>
          <w:tcPr>
            <w:tcW w:w="1080" w:type="dxa"/>
            <w:vAlign w:val="bottom"/>
            <w:vMerge w:val="continue"/>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080" w:type="dxa"/>
            <w:vAlign w:val="bottom"/>
          </w:tcPr>
          <w:p>
            <w:pPr>
              <w:ind w:left="100"/>
              <w:spacing w:after="0"/>
              <w:rPr>
                <w:sz w:val="20"/>
                <w:szCs w:val="20"/>
                <w:color w:val="auto"/>
              </w:rPr>
            </w:pPr>
            <w:r>
              <w:rPr>
                <w:rFonts w:ascii="Arial" w:cs="Arial" w:eastAsia="Arial" w:hAnsi="Arial"/>
                <w:sz w:val="14"/>
                <w:szCs w:val="14"/>
                <w:b w:val="1"/>
                <w:bCs w:val="1"/>
                <w:color w:val="auto"/>
              </w:rPr>
              <w:t>Canessa</w:t>
            </w:r>
          </w:p>
        </w:tc>
        <w:tc>
          <w:tcPr>
            <w:tcW w:w="1020" w:type="dxa"/>
            <w:vAlign w:val="bottom"/>
            <w:vMerge w:val="restart"/>
          </w:tcPr>
          <w:p>
            <w:pPr>
              <w:ind w:left="140"/>
              <w:spacing w:after="0"/>
              <w:rPr>
                <w:sz w:val="20"/>
                <w:szCs w:val="20"/>
                <w:color w:val="auto"/>
              </w:rPr>
            </w:pPr>
            <w:r>
              <w:rPr>
                <w:rFonts w:ascii="Arial" w:cs="Arial" w:eastAsia="Arial" w:hAnsi="Arial"/>
                <w:sz w:val="14"/>
                <w:szCs w:val="14"/>
                <w:color w:val="auto"/>
              </w:rPr>
              <w:t>04/13/2021</w:t>
            </w:r>
          </w:p>
        </w:tc>
        <w:tc>
          <w:tcPr>
            <w:tcW w:w="100" w:type="dxa"/>
            <w:vAlign w:val="bottom"/>
          </w:tcPr>
          <w:p>
            <w:pPr>
              <w:spacing w:after="0"/>
              <w:rPr>
                <w:sz w:val="14"/>
                <w:szCs w:val="14"/>
                <w:color w:val="auto"/>
              </w:rPr>
            </w:pPr>
          </w:p>
        </w:tc>
        <w:tc>
          <w:tcPr>
            <w:tcW w:w="1060" w:type="dxa"/>
            <w:vAlign w:val="bottom"/>
            <w:vMerge w:val="restart"/>
          </w:tcPr>
          <w:p>
            <w:pPr>
              <w:ind w:left="740"/>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96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1020" w:type="dxa"/>
            <w:vAlign w:val="bottom"/>
            <w:vMerge w:val="restart"/>
          </w:tcPr>
          <w:p>
            <w:pPr>
              <w:jc w:val="center"/>
              <w:ind w:right="8"/>
              <w:spacing w:after="0"/>
              <w:rPr>
                <w:sz w:val="20"/>
                <w:szCs w:val="20"/>
                <w:color w:val="auto"/>
              </w:rPr>
            </w:pPr>
            <w:r>
              <w:rPr>
                <w:rFonts w:ascii="Arial" w:cs="Arial" w:eastAsia="Arial" w:hAnsi="Arial"/>
                <w:sz w:val="14"/>
                <w:szCs w:val="14"/>
                <w:color w:val="auto"/>
                <w:w w:val="99"/>
              </w:rPr>
              <w:t>—</w:t>
            </w:r>
          </w:p>
        </w:tc>
        <w:tc>
          <w:tcPr>
            <w:tcW w:w="1020" w:type="dxa"/>
            <w:vAlign w:val="bottom"/>
            <w:vMerge w:val="restart"/>
          </w:tcPr>
          <w:p>
            <w:pPr>
              <w:jc w:val="center"/>
              <w:spacing w:after="0"/>
              <w:rPr>
                <w:sz w:val="20"/>
                <w:szCs w:val="20"/>
                <w:color w:val="auto"/>
              </w:rPr>
            </w:pPr>
            <w:r>
              <w:rPr>
                <w:rFonts w:ascii="Arial" w:cs="Arial" w:eastAsia="Arial" w:hAnsi="Arial"/>
                <w:sz w:val="14"/>
                <w:szCs w:val="14"/>
                <w:color w:val="auto"/>
                <w:w w:val="97"/>
              </w:rPr>
              <w:t>13,830</w:t>
            </w:r>
            <w:r>
              <w:rPr>
                <w:rFonts w:ascii="Arial" w:cs="Arial" w:eastAsia="Arial" w:hAnsi="Arial"/>
                <w:sz w:val="18"/>
                <w:szCs w:val="18"/>
                <w:color w:val="auto"/>
                <w:w w:val="97"/>
                <w:vertAlign w:val="superscript"/>
              </w:rPr>
              <w:t>(4)</w:t>
            </w:r>
          </w:p>
        </w:tc>
        <w:tc>
          <w:tcPr>
            <w:tcW w:w="100" w:type="dxa"/>
            <w:vAlign w:val="bottom"/>
          </w:tcPr>
          <w:p>
            <w:pPr>
              <w:spacing w:after="0"/>
              <w:rPr>
                <w:sz w:val="14"/>
                <w:szCs w:val="14"/>
                <w:color w:val="auto"/>
              </w:rPr>
            </w:pPr>
          </w:p>
        </w:tc>
        <w:tc>
          <w:tcPr>
            <w:tcW w:w="860" w:type="dxa"/>
            <w:vAlign w:val="bottom"/>
            <w:vMerge w:val="restart"/>
          </w:tcPr>
          <w:p>
            <w:pPr>
              <w:ind w:left="640"/>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tcPr>
          <w:p>
            <w:pPr>
              <w:jc w:val="right"/>
              <w:spacing w:after="0"/>
              <w:rPr>
                <w:sz w:val="20"/>
                <w:szCs w:val="20"/>
                <w:color w:val="auto"/>
              </w:rPr>
            </w:pPr>
            <w:r>
              <w:rPr>
                <w:rFonts w:ascii="Arial" w:cs="Arial" w:eastAsia="Arial" w:hAnsi="Arial"/>
                <w:sz w:val="14"/>
                <w:szCs w:val="14"/>
                <w:color w:val="auto"/>
              </w:rPr>
              <w:t>2,719,670</w:t>
            </w:r>
          </w:p>
        </w:tc>
        <w:tc>
          <w:tcPr>
            <w:tcW w:w="0" w:type="dxa"/>
            <w:vAlign w:val="bottom"/>
          </w:tcPr>
          <w:p>
            <w:pPr>
              <w:spacing w:after="0"/>
              <w:rPr>
                <w:sz w:val="1"/>
                <w:szCs w:val="1"/>
                <w:color w:val="auto"/>
              </w:rPr>
            </w:pPr>
          </w:p>
        </w:tc>
      </w:tr>
      <w:tr>
        <w:trPr>
          <w:trHeight w:val="154"/>
        </w:trPr>
        <w:tc>
          <w:tcPr>
            <w:tcW w:w="10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940" w:type="dxa"/>
            <w:vAlign w:val="bottom"/>
            <w:vMerge w:val="continue"/>
          </w:tcPr>
          <w:p>
            <w:pPr>
              <w:spacing w:after="0"/>
              <w:rPr>
                <w:sz w:val="13"/>
                <w:szCs w:val="13"/>
                <w:color w:val="auto"/>
              </w:rPr>
            </w:pPr>
          </w:p>
        </w:tc>
        <w:tc>
          <w:tcPr>
            <w:tcW w:w="100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020" w:type="dxa"/>
            <w:vAlign w:val="bottom"/>
            <w:vMerge w:val="continue"/>
          </w:tcPr>
          <w:p>
            <w:pPr>
              <w:spacing w:after="0"/>
              <w:rPr>
                <w:sz w:val="13"/>
                <w:szCs w:val="13"/>
                <w:color w:val="auto"/>
              </w:rPr>
            </w:pPr>
          </w:p>
        </w:tc>
        <w:tc>
          <w:tcPr>
            <w:tcW w:w="10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108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2"/>
        </w:trPr>
        <w:tc>
          <w:tcPr>
            <w:tcW w:w="108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Amit Sinha,</w:t>
            </w:r>
          </w:p>
        </w:tc>
        <w:tc>
          <w:tcPr>
            <w:tcW w:w="1020" w:type="dxa"/>
            <w:vAlign w:val="bottom"/>
          </w:tcPr>
          <w:p>
            <w:pPr>
              <w:ind w:left="140"/>
              <w:spacing w:after="0"/>
              <w:rPr>
                <w:sz w:val="20"/>
                <w:szCs w:val="20"/>
                <w:color w:val="auto"/>
              </w:rPr>
            </w:pPr>
            <w:r>
              <w:rPr>
                <w:rFonts w:ascii="Arial" w:cs="Arial" w:eastAsia="Arial" w:hAnsi="Arial"/>
                <w:sz w:val="14"/>
                <w:szCs w:val="14"/>
                <w:color w:val="auto"/>
              </w:rPr>
              <w:t>09/08/2020</w:t>
            </w:r>
          </w:p>
        </w:tc>
        <w:tc>
          <w:tcPr>
            <w:tcW w:w="100" w:type="dxa"/>
            <w:vAlign w:val="bottom"/>
          </w:tcPr>
          <w:p>
            <w:pPr>
              <w:spacing w:after="0"/>
              <w:rPr>
                <w:sz w:val="24"/>
                <w:szCs w:val="24"/>
                <w:color w:val="auto"/>
              </w:rPr>
            </w:pPr>
          </w:p>
        </w:tc>
        <w:tc>
          <w:tcPr>
            <w:tcW w:w="1060" w:type="dxa"/>
            <w:vAlign w:val="bottom"/>
          </w:tcPr>
          <w:p>
            <w:pPr>
              <w:ind w:left="74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48"/>
              <w:spacing w:after="0"/>
              <w:rPr>
                <w:sz w:val="20"/>
                <w:szCs w:val="20"/>
                <w:color w:val="auto"/>
              </w:rPr>
            </w:pPr>
            <w:r>
              <w:rPr>
                <w:rFonts w:ascii="Arial" w:cs="Arial" w:eastAsia="Arial" w:hAnsi="Arial"/>
                <w:sz w:val="14"/>
                <w:szCs w:val="14"/>
                <w:color w:val="auto"/>
              </w:rPr>
              <w:t>250,000</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375,000</w:t>
            </w:r>
          </w:p>
        </w:tc>
        <w:tc>
          <w:tcPr>
            <w:tcW w:w="10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20" w:type="dxa"/>
            <w:vAlign w:val="bottom"/>
          </w:tcPr>
          <w:p>
            <w:pPr>
              <w:jc w:val="center"/>
              <w:ind w:right="8"/>
              <w:spacing w:after="0"/>
              <w:rPr>
                <w:sz w:val="20"/>
                <w:szCs w:val="20"/>
                <w:color w:val="auto"/>
              </w:rPr>
            </w:pPr>
            <w:r>
              <w:rPr>
                <w:rFonts w:ascii="Arial" w:cs="Arial" w:eastAsia="Arial" w:hAnsi="Arial"/>
                <w:sz w:val="14"/>
                <w:szCs w:val="14"/>
                <w:color w:val="auto"/>
                <w:w w:val="99"/>
              </w:rPr>
              <w:t>—</w:t>
            </w:r>
          </w:p>
        </w:tc>
        <w:tc>
          <w:tcPr>
            <w:tcW w:w="10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24"/>
                <w:szCs w:val="24"/>
                <w:color w:val="auto"/>
              </w:rPr>
            </w:pPr>
          </w:p>
        </w:tc>
        <w:tc>
          <w:tcPr>
            <w:tcW w:w="860" w:type="dxa"/>
            <w:vAlign w:val="bottom"/>
          </w:tcPr>
          <w:p>
            <w:pPr>
              <w:ind w:left="6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0"/>
        </w:trPr>
        <w:tc>
          <w:tcPr>
            <w:tcW w:w="1080" w:type="dxa"/>
            <w:vAlign w:val="bottom"/>
            <w:vMerge w:val="continue"/>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080" w:type="dxa"/>
            <w:vAlign w:val="bottom"/>
          </w:tcPr>
          <w:p>
            <w:pPr>
              <w:ind w:left="100"/>
              <w:spacing w:after="0"/>
              <w:rPr>
                <w:sz w:val="20"/>
                <w:szCs w:val="20"/>
                <w:color w:val="auto"/>
              </w:rPr>
            </w:pPr>
            <w:r>
              <w:rPr>
                <w:rFonts w:ascii="Arial" w:cs="Arial" w:eastAsia="Arial" w:hAnsi="Arial"/>
                <w:sz w:val="14"/>
                <w:szCs w:val="14"/>
                <w:b w:val="1"/>
                <w:bCs w:val="1"/>
                <w:color w:val="auto"/>
              </w:rPr>
              <w:t>Ph.D.</w:t>
            </w:r>
          </w:p>
        </w:tc>
        <w:tc>
          <w:tcPr>
            <w:tcW w:w="1020" w:type="dxa"/>
            <w:vAlign w:val="bottom"/>
            <w:vMerge w:val="restart"/>
          </w:tcPr>
          <w:p>
            <w:pPr>
              <w:ind w:left="140"/>
              <w:spacing w:after="0"/>
              <w:rPr>
                <w:sz w:val="20"/>
                <w:szCs w:val="20"/>
                <w:color w:val="auto"/>
              </w:rPr>
            </w:pPr>
            <w:r>
              <w:rPr>
                <w:rFonts w:ascii="Arial" w:cs="Arial" w:eastAsia="Arial" w:hAnsi="Arial"/>
                <w:sz w:val="14"/>
                <w:szCs w:val="14"/>
                <w:color w:val="auto"/>
              </w:rPr>
              <w:t>04/13/2021</w:t>
            </w:r>
          </w:p>
        </w:tc>
        <w:tc>
          <w:tcPr>
            <w:tcW w:w="100" w:type="dxa"/>
            <w:vAlign w:val="bottom"/>
          </w:tcPr>
          <w:p>
            <w:pPr>
              <w:spacing w:after="0"/>
              <w:rPr>
                <w:sz w:val="14"/>
                <w:szCs w:val="14"/>
                <w:color w:val="auto"/>
              </w:rPr>
            </w:pPr>
          </w:p>
        </w:tc>
        <w:tc>
          <w:tcPr>
            <w:tcW w:w="1060" w:type="dxa"/>
            <w:vAlign w:val="bottom"/>
            <w:vMerge w:val="restart"/>
          </w:tcPr>
          <w:p>
            <w:pPr>
              <w:ind w:left="740"/>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96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1020" w:type="dxa"/>
            <w:vAlign w:val="bottom"/>
            <w:vMerge w:val="restart"/>
          </w:tcPr>
          <w:p>
            <w:pPr>
              <w:jc w:val="center"/>
              <w:ind w:right="8"/>
              <w:spacing w:after="0"/>
              <w:rPr>
                <w:sz w:val="20"/>
                <w:szCs w:val="20"/>
                <w:color w:val="auto"/>
              </w:rPr>
            </w:pPr>
            <w:r>
              <w:rPr>
                <w:rFonts w:ascii="Arial" w:cs="Arial" w:eastAsia="Arial" w:hAnsi="Arial"/>
                <w:sz w:val="14"/>
                <w:szCs w:val="14"/>
                <w:color w:val="auto"/>
                <w:w w:val="99"/>
              </w:rPr>
              <w:t>—</w:t>
            </w:r>
          </w:p>
        </w:tc>
        <w:tc>
          <w:tcPr>
            <w:tcW w:w="1020" w:type="dxa"/>
            <w:vAlign w:val="bottom"/>
            <w:vMerge w:val="restart"/>
          </w:tcPr>
          <w:p>
            <w:pPr>
              <w:jc w:val="center"/>
              <w:spacing w:after="0"/>
              <w:rPr>
                <w:sz w:val="20"/>
                <w:szCs w:val="20"/>
                <w:color w:val="auto"/>
              </w:rPr>
            </w:pPr>
            <w:r>
              <w:rPr>
                <w:rFonts w:ascii="Arial" w:cs="Arial" w:eastAsia="Arial" w:hAnsi="Arial"/>
                <w:sz w:val="14"/>
                <w:szCs w:val="14"/>
                <w:color w:val="auto"/>
                <w:w w:val="97"/>
              </w:rPr>
              <w:t>27,659</w:t>
            </w:r>
            <w:r>
              <w:rPr>
                <w:rFonts w:ascii="Arial" w:cs="Arial" w:eastAsia="Arial" w:hAnsi="Arial"/>
                <w:sz w:val="18"/>
                <w:szCs w:val="18"/>
                <w:color w:val="auto"/>
                <w:w w:val="97"/>
                <w:vertAlign w:val="superscript"/>
              </w:rPr>
              <w:t>(4)</w:t>
            </w:r>
          </w:p>
        </w:tc>
        <w:tc>
          <w:tcPr>
            <w:tcW w:w="100" w:type="dxa"/>
            <w:vAlign w:val="bottom"/>
          </w:tcPr>
          <w:p>
            <w:pPr>
              <w:spacing w:after="0"/>
              <w:rPr>
                <w:sz w:val="14"/>
                <w:szCs w:val="14"/>
                <w:color w:val="auto"/>
              </w:rPr>
            </w:pPr>
          </w:p>
        </w:tc>
        <w:tc>
          <w:tcPr>
            <w:tcW w:w="860" w:type="dxa"/>
            <w:vAlign w:val="bottom"/>
            <w:vMerge w:val="restart"/>
          </w:tcPr>
          <w:p>
            <w:pPr>
              <w:ind w:left="640"/>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tcPr>
          <w:p>
            <w:pPr>
              <w:jc w:val="right"/>
              <w:spacing w:after="0"/>
              <w:rPr>
                <w:sz w:val="20"/>
                <w:szCs w:val="20"/>
                <w:color w:val="auto"/>
              </w:rPr>
            </w:pPr>
            <w:r>
              <w:rPr>
                <w:rFonts w:ascii="Arial" w:cs="Arial" w:eastAsia="Arial" w:hAnsi="Arial"/>
                <w:sz w:val="14"/>
                <w:szCs w:val="14"/>
                <w:color w:val="auto"/>
              </w:rPr>
              <w:t>5,439,142</w:t>
            </w:r>
          </w:p>
        </w:tc>
        <w:tc>
          <w:tcPr>
            <w:tcW w:w="0" w:type="dxa"/>
            <w:vAlign w:val="bottom"/>
          </w:tcPr>
          <w:p>
            <w:pPr>
              <w:spacing w:after="0"/>
              <w:rPr>
                <w:sz w:val="1"/>
                <w:szCs w:val="1"/>
                <w:color w:val="auto"/>
              </w:rPr>
            </w:pPr>
          </w:p>
        </w:tc>
      </w:tr>
      <w:tr>
        <w:trPr>
          <w:trHeight w:val="154"/>
        </w:trPr>
        <w:tc>
          <w:tcPr>
            <w:tcW w:w="10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940" w:type="dxa"/>
            <w:vAlign w:val="bottom"/>
            <w:vMerge w:val="continue"/>
          </w:tcPr>
          <w:p>
            <w:pPr>
              <w:spacing w:after="0"/>
              <w:rPr>
                <w:sz w:val="13"/>
                <w:szCs w:val="13"/>
                <w:color w:val="auto"/>
              </w:rPr>
            </w:pPr>
          </w:p>
        </w:tc>
        <w:tc>
          <w:tcPr>
            <w:tcW w:w="100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020" w:type="dxa"/>
            <w:vAlign w:val="bottom"/>
            <w:vMerge w:val="continue"/>
          </w:tcPr>
          <w:p>
            <w:pPr>
              <w:spacing w:after="0"/>
              <w:rPr>
                <w:sz w:val="13"/>
                <w:szCs w:val="13"/>
                <w:color w:val="auto"/>
              </w:rPr>
            </w:pPr>
          </w:p>
        </w:tc>
        <w:tc>
          <w:tcPr>
            <w:tcW w:w="10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108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2"/>
        </w:trPr>
        <w:tc>
          <w:tcPr>
            <w:tcW w:w="1080" w:type="dxa"/>
            <w:vAlign w:val="bottom"/>
          </w:tcPr>
          <w:p>
            <w:pPr>
              <w:spacing w:after="0"/>
              <w:rPr>
                <w:sz w:val="24"/>
                <w:szCs w:val="24"/>
                <w:color w:val="auto"/>
              </w:rPr>
            </w:pPr>
          </w:p>
        </w:tc>
        <w:tc>
          <w:tcPr>
            <w:tcW w:w="1020" w:type="dxa"/>
            <w:vAlign w:val="bottom"/>
          </w:tcPr>
          <w:p>
            <w:pPr>
              <w:ind w:left="140"/>
              <w:spacing w:after="0"/>
              <w:rPr>
                <w:sz w:val="20"/>
                <w:szCs w:val="20"/>
                <w:color w:val="auto"/>
              </w:rPr>
            </w:pPr>
            <w:r>
              <w:rPr>
                <w:rFonts w:ascii="Arial" w:cs="Arial" w:eastAsia="Arial" w:hAnsi="Arial"/>
                <w:sz w:val="14"/>
                <w:szCs w:val="14"/>
                <w:color w:val="auto"/>
              </w:rPr>
              <w:t>09/08/2020</w:t>
            </w:r>
          </w:p>
        </w:tc>
        <w:tc>
          <w:tcPr>
            <w:tcW w:w="100" w:type="dxa"/>
            <w:vAlign w:val="bottom"/>
          </w:tcPr>
          <w:p>
            <w:pPr>
              <w:spacing w:after="0"/>
              <w:rPr>
                <w:sz w:val="24"/>
                <w:szCs w:val="24"/>
                <w:color w:val="auto"/>
              </w:rPr>
            </w:pPr>
          </w:p>
        </w:tc>
        <w:tc>
          <w:tcPr>
            <w:tcW w:w="1060" w:type="dxa"/>
            <w:vAlign w:val="bottom"/>
          </w:tcPr>
          <w:p>
            <w:pPr>
              <w:ind w:left="74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48"/>
              <w:spacing w:after="0"/>
              <w:rPr>
                <w:sz w:val="20"/>
                <w:szCs w:val="20"/>
                <w:color w:val="auto"/>
              </w:rPr>
            </w:pPr>
            <w:r>
              <w:rPr>
                <w:rFonts w:ascii="Arial" w:cs="Arial" w:eastAsia="Arial" w:hAnsi="Arial"/>
                <w:sz w:val="14"/>
                <w:szCs w:val="14"/>
                <w:color w:val="auto"/>
              </w:rPr>
              <w:t>400,000</w:t>
            </w: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600,000</w:t>
            </w:r>
          </w:p>
        </w:tc>
        <w:tc>
          <w:tcPr>
            <w:tcW w:w="10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20" w:type="dxa"/>
            <w:vAlign w:val="bottom"/>
          </w:tcPr>
          <w:p>
            <w:pPr>
              <w:jc w:val="center"/>
              <w:ind w:right="8"/>
              <w:spacing w:after="0"/>
              <w:rPr>
                <w:sz w:val="20"/>
                <w:szCs w:val="20"/>
                <w:color w:val="auto"/>
              </w:rPr>
            </w:pPr>
            <w:r>
              <w:rPr>
                <w:rFonts w:ascii="Arial" w:cs="Arial" w:eastAsia="Arial" w:hAnsi="Arial"/>
                <w:sz w:val="14"/>
                <w:szCs w:val="14"/>
                <w:color w:val="auto"/>
                <w:w w:val="99"/>
              </w:rPr>
              <w:t>—</w:t>
            </w:r>
          </w:p>
        </w:tc>
        <w:tc>
          <w:tcPr>
            <w:tcW w:w="10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24"/>
                <w:szCs w:val="24"/>
                <w:color w:val="auto"/>
              </w:rPr>
            </w:pPr>
          </w:p>
        </w:tc>
        <w:tc>
          <w:tcPr>
            <w:tcW w:w="860" w:type="dxa"/>
            <w:vAlign w:val="bottom"/>
          </w:tcPr>
          <w:p>
            <w:pPr>
              <w:ind w:left="6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0"/>
        </w:trPr>
        <w:tc>
          <w:tcPr>
            <w:tcW w:w="108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Dalibor Rajic</w:t>
            </w:r>
          </w:p>
        </w:tc>
        <w:tc>
          <w:tcPr>
            <w:tcW w:w="10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gridSpan w:val="2"/>
          </w:tcPr>
          <w:p>
            <w:pPr>
              <w:spacing w:after="0"/>
              <w:rPr>
                <w:sz w:val="10"/>
                <w:szCs w:val="10"/>
                <w:color w:val="auto"/>
              </w:rPr>
            </w:pPr>
          </w:p>
        </w:tc>
        <w:tc>
          <w:tcPr>
            <w:tcW w:w="0" w:type="dxa"/>
            <w:vAlign w:val="bottom"/>
          </w:tcPr>
          <w:p>
            <w:pPr>
              <w:spacing w:after="0"/>
              <w:rPr>
                <w:sz w:val="1"/>
                <w:szCs w:val="1"/>
                <w:color w:val="auto"/>
              </w:rPr>
            </w:pPr>
          </w:p>
        </w:tc>
      </w:tr>
      <w:tr>
        <w:trPr>
          <w:trHeight w:val="292"/>
        </w:trPr>
        <w:tc>
          <w:tcPr>
            <w:tcW w:w="1080" w:type="dxa"/>
            <w:vAlign w:val="bottom"/>
            <w:vMerge w:val="continue"/>
          </w:tcPr>
          <w:p>
            <w:pPr>
              <w:spacing w:after="0"/>
              <w:rPr>
                <w:sz w:val="24"/>
                <w:szCs w:val="24"/>
                <w:color w:val="auto"/>
              </w:rPr>
            </w:pPr>
          </w:p>
        </w:tc>
        <w:tc>
          <w:tcPr>
            <w:tcW w:w="1020" w:type="dxa"/>
            <w:vAlign w:val="bottom"/>
          </w:tcPr>
          <w:p>
            <w:pPr>
              <w:ind w:left="140"/>
              <w:spacing w:after="0"/>
              <w:rPr>
                <w:sz w:val="20"/>
                <w:szCs w:val="20"/>
                <w:color w:val="auto"/>
              </w:rPr>
            </w:pPr>
            <w:r>
              <w:rPr>
                <w:rFonts w:ascii="Arial" w:cs="Arial" w:eastAsia="Arial" w:hAnsi="Arial"/>
                <w:sz w:val="14"/>
                <w:szCs w:val="14"/>
                <w:color w:val="auto"/>
              </w:rPr>
              <w:t>09/08/2020</w:t>
            </w:r>
          </w:p>
        </w:tc>
        <w:tc>
          <w:tcPr>
            <w:tcW w:w="100" w:type="dxa"/>
            <w:vAlign w:val="bottom"/>
          </w:tcPr>
          <w:p>
            <w:pPr>
              <w:spacing w:after="0"/>
              <w:rPr>
                <w:sz w:val="24"/>
                <w:szCs w:val="24"/>
                <w:color w:val="auto"/>
              </w:rPr>
            </w:pPr>
          </w:p>
        </w:tc>
        <w:tc>
          <w:tcPr>
            <w:tcW w:w="1060" w:type="dxa"/>
            <w:vAlign w:val="bottom"/>
          </w:tcPr>
          <w:p>
            <w:pPr>
              <w:ind w:left="74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60" w:type="dxa"/>
            <w:vAlign w:val="bottom"/>
          </w:tcPr>
          <w:p>
            <w:pPr>
              <w:jc w:val="center"/>
              <w:spacing w:after="0"/>
              <w:rPr>
                <w:sz w:val="20"/>
                <w:szCs w:val="20"/>
                <w:color w:val="auto"/>
              </w:rPr>
            </w:pPr>
            <w:r>
              <w:rPr>
                <w:rFonts w:ascii="Arial" w:cs="Arial" w:eastAsia="Arial" w:hAnsi="Arial"/>
                <w:sz w:val="14"/>
                <w:szCs w:val="14"/>
                <w:color w:val="auto"/>
              </w:rPr>
              <w:t>23,182</w:t>
            </w:r>
          </w:p>
        </w:tc>
        <w:tc>
          <w:tcPr>
            <w:tcW w:w="1020" w:type="dxa"/>
            <w:vAlign w:val="bottom"/>
          </w:tcPr>
          <w:p>
            <w:pPr>
              <w:jc w:val="center"/>
              <w:spacing w:after="0"/>
              <w:rPr>
                <w:sz w:val="20"/>
                <w:szCs w:val="20"/>
                <w:color w:val="auto"/>
              </w:rPr>
            </w:pPr>
            <w:r>
              <w:rPr>
                <w:rFonts w:ascii="Arial" w:cs="Arial" w:eastAsia="Arial" w:hAnsi="Arial"/>
                <w:sz w:val="14"/>
                <w:szCs w:val="14"/>
                <w:color w:val="auto"/>
              </w:rPr>
              <w:t>34,773</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ind w:left="64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3,087,147</w:t>
            </w:r>
          </w:p>
        </w:tc>
        <w:tc>
          <w:tcPr>
            <w:tcW w:w="0" w:type="dxa"/>
            <w:vAlign w:val="bottom"/>
          </w:tcPr>
          <w:p>
            <w:pPr>
              <w:spacing w:after="0"/>
              <w:rPr>
                <w:sz w:val="1"/>
                <w:szCs w:val="1"/>
                <w:color w:val="auto"/>
              </w:rPr>
            </w:pPr>
          </w:p>
        </w:tc>
      </w:tr>
      <w:tr>
        <w:trPr>
          <w:trHeight w:val="120"/>
        </w:trPr>
        <w:tc>
          <w:tcPr>
            <w:tcW w:w="1080" w:type="dxa"/>
            <w:vAlign w:val="bottom"/>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gridSpan w:val="2"/>
          </w:tcPr>
          <w:p>
            <w:pPr>
              <w:spacing w:after="0"/>
              <w:rPr>
                <w:sz w:val="10"/>
                <w:szCs w:val="10"/>
                <w:color w:val="auto"/>
              </w:rPr>
            </w:pPr>
          </w:p>
        </w:tc>
        <w:tc>
          <w:tcPr>
            <w:tcW w:w="0" w:type="dxa"/>
            <w:vAlign w:val="bottom"/>
          </w:tcPr>
          <w:p>
            <w:pPr>
              <w:spacing w:after="0"/>
              <w:rPr>
                <w:sz w:val="1"/>
                <w:szCs w:val="1"/>
                <w:color w:val="auto"/>
              </w:rPr>
            </w:pPr>
          </w:p>
        </w:tc>
      </w:tr>
      <w:tr>
        <w:trPr>
          <w:trHeight w:val="324"/>
        </w:trPr>
        <w:tc>
          <w:tcPr>
            <w:tcW w:w="1080" w:type="dxa"/>
            <w:vAlign w:val="bottom"/>
          </w:tcPr>
          <w:p>
            <w:pPr>
              <w:spacing w:after="0"/>
              <w:rPr>
                <w:sz w:val="24"/>
                <w:szCs w:val="24"/>
                <w:color w:val="auto"/>
              </w:rPr>
            </w:pPr>
          </w:p>
        </w:tc>
        <w:tc>
          <w:tcPr>
            <w:tcW w:w="1020" w:type="dxa"/>
            <w:vAlign w:val="bottom"/>
          </w:tcPr>
          <w:p>
            <w:pPr>
              <w:ind w:left="140"/>
              <w:spacing w:after="0"/>
              <w:rPr>
                <w:sz w:val="20"/>
                <w:szCs w:val="20"/>
                <w:color w:val="auto"/>
              </w:rPr>
            </w:pPr>
            <w:r>
              <w:rPr>
                <w:rFonts w:ascii="Arial" w:cs="Arial" w:eastAsia="Arial" w:hAnsi="Arial"/>
                <w:sz w:val="14"/>
                <w:szCs w:val="14"/>
                <w:color w:val="auto"/>
              </w:rPr>
              <w:t>04/13/2021</w:t>
            </w:r>
          </w:p>
        </w:tc>
        <w:tc>
          <w:tcPr>
            <w:tcW w:w="100" w:type="dxa"/>
            <w:vAlign w:val="bottom"/>
          </w:tcPr>
          <w:p>
            <w:pPr>
              <w:spacing w:after="0"/>
              <w:rPr>
                <w:sz w:val="24"/>
                <w:szCs w:val="24"/>
                <w:color w:val="auto"/>
              </w:rPr>
            </w:pPr>
          </w:p>
        </w:tc>
        <w:tc>
          <w:tcPr>
            <w:tcW w:w="1060" w:type="dxa"/>
            <w:vAlign w:val="bottom"/>
          </w:tcPr>
          <w:p>
            <w:pPr>
              <w:ind w:left="74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20" w:type="dxa"/>
            <w:vAlign w:val="bottom"/>
          </w:tcPr>
          <w:p>
            <w:pPr>
              <w:jc w:val="center"/>
              <w:ind w:right="8"/>
              <w:spacing w:after="0"/>
              <w:rPr>
                <w:sz w:val="20"/>
                <w:szCs w:val="20"/>
                <w:color w:val="auto"/>
              </w:rPr>
            </w:pPr>
            <w:r>
              <w:rPr>
                <w:rFonts w:ascii="Arial" w:cs="Arial" w:eastAsia="Arial" w:hAnsi="Arial"/>
                <w:sz w:val="14"/>
                <w:szCs w:val="14"/>
                <w:color w:val="auto"/>
                <w:w w:val="99"/>
              </w:rPr>
              <w:t>—</w:t>
            </w:r>
          </w:p>
        </w:tc>
        <w:tc>
          <w:tcPr>
            <w:tcW w:w="1020" w:type="dxa"/>
            <w:vAlign w:val="bottom"/>
          </w:tcPr>
          <w:p>
            <w:pPr>
              <w:jc w:val="center"/>
              <w:spacing w:after="0"/>
              <w:rPr>
                <w:sz w:val="20"/>
                <w:szCs w:val="20"/>
                <w:color w:val="auto"/>
              </w:rPr>
            </w:pPr>
            <w:r>
              <w:rPr>
                <w:rFonts w:ascii="Arial" w:cs="Arial" w:eastAsia="Arial" w:hAnsi="Arial"/>
                <w:sz w:val="14"/>
                <w:szCs w:val="14"/>
                <w:color w:val="auto"/>
                <w:w w:val="97"/>
              </w:rPr>
              <w:t>27,659</w:t>
            </w:r>
            <w:r>
              <w:rPr>
                <w:rFonts w:ascii="Arial" w:cs="Arial" w:eastAsia="Arial" w:hAnsi="Arial"/>
                <w:sz w:val="18"/>
                <w:szCs w:val="18"/>
                <w:color w:val="auto"/>
                <w:w w:val="97"/>
                <w:vertAlign w:val="superscript"/>
              </w:rPr>
              <w:t>(4)</w:t>
            </w:r>
          </w:p>
        </w:tc>
        <w:tc>
          <w:tcPr>
            <w:tcW w:w="100" w:type="dxa"/>
            <w:vAlign w:val="bottom"/>
          </w:tcPr>
          <w:p>
            <w:pPr>
              <w:spacing w:after="0"/>
              <w:rPr>
                <w:sz w:val="24"/>
                <w:szCs w:val="24"/>
                <w:color w:val="auto"/>
              </w:rPr>
            </w:pPr>
          </w:p>
        </w:tc>
        <w:tc>
          <w:tcPr>
            <w:tcW w:w="860" w:type="dxa"/>
            <w:vAlign w:val="bottom"/>
          </w:tcPr>
          <w:p>
            <w:pPr>
              <w:ind w:left="64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5,439,142</w:t>
            </w:r>
          </w:p>
        </w:tc>
        <w:tc>
          <w:tcPr>
            <w:tcW w:w="0" w:type="dxa"/>
            <w:vAlign w:val="bottom"/>
          </w:tcPr>
          <w:p>
            <w:pPr>
              <w:spacing w:after="0"/>
              <w:rPr>
                <w:sz w:val="1"/>
                <w:szCs w:val="1"/>
                <w:color w:val="auto"/>
              </w:rPr>
            </w:pPr>
          </w:p>
        </w:tc>
      </w:tr>
      <w:tr>
        <w:trPr>
          <w:trHeight w:val="88"/>
        </w:trPr>
        <w:tc>
          <w:tcPr>
            <w:tcW w:w="108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2"/>
        </w:trPr>
        <w:tc>
          <w:tcPr>
            <w:tcW w:w="108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Robert</w:t>
            </w:r>
          </w:p>
        </w:tc>
        <w:tc>
          <w:tcPr>
            <w:tcW w:w="1020" w:type="dxa"/>
            <w:vAlign w:val="bottom"/>
          </w:tcPr>
          <w:p>
            <w:pPr>
              <w:ind w:left="140"/>
              <w:spacing w:after="0"/>
              <w:rPr>
                <w:sz w:val="20"/>
                <w:szCs w:val="20"/>
                <w:color w:val="auto"/>
              </w:rPr>
            </w:pPr>
            <w:r>
              <w:rPr>
                <w:rFonts w:ascii="Arial" w:cs="Arial" w:eastAsia="Arial" w:hAnsi="Arial"/>
                <w:sz w:val="14"/>
                <w:szCs w:val="14"/>
                <w:color w:val="auto"/>
              </w:rPr>
              <w:t>09/08/2020</w:t>
            </w:r>
          </w:p>
        </w:tc>
        <w:tc>
          <w:tcPr>
            <w:tcW w:w="100" w:type="dxa"/>
            <w:vAlign w:val="bottom"/>
          </w:tcPr>
          <w:p>
            <w:pPr>
              <w:spacing w:after="0"/>
              <w:rPr>
                <w:sz w:val="24"/>
                <w:szCs w:val="24"/>
                <w:color w:val="auto"/>
              </w:rPr>
            </w:pPr>
          </w:p>
        </w:tc>
        <w:tc>
          <w:tcPr>
            <w:tcW w:w="1060" w:type="dxa"/>
            <w:vAlign w:val="bottom"/>
          </w:tcPr>
          <w:p>
            <w:pPr>
              <w:ind w:left="74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48"/>
              <w:spacing w:after="0"/>
              <w:rPr>
                <w:sz w:val="20"/>
                <w:szCs w:val="20"/>
                <w:color w:val="auto"/>
              </w:rPr>
            </w:pPr>
            <w:r>
              <w:rPr>
                <w:rFonts w:ascii="Arial" w:cs="Arial" w:eastAsia="Arial" w:hAnsi="Arial"/>
                <w:sz w:val="14"/>
                <w:szCs w:val="14"/>
                <w:color w:val="auto"/>
              </w:rPr>
              <w:t>165,000</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247,500</w:t>
            </w:r>
          </w:p>
        </w:tc>
        <w:tc>
          <w:tcPr>
            <w:tcW w:w="10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20" w:type="dxa"/>
            <w:vAlign w:val="bottom"/>
          </w:tcPr>
          <w:p>
            <w:pPr>
              <w:jc w:val="center"/>
              <w:ind w:right="8"/>
              <w:spacing w:after="0"/>
              <w:rPr>
                <w:sz w:val="20"/>
                <w:szCs w:val="20"/>
                <w:color w:val="auto"/>
              </w:rPr>
            </w:pPr>
            <w:r>
              <w:rPr>
                <w:rFonts w:ascii="Arial" w:cs="Arial" w:eastAsia="Arial" w:hAnsi="Arial"/>
                <w:sz w:val="14"/>
                <w:szCs w:val="14"/>
                <w:color w:val="auto"/>
                <w:w w:val="99"/>
              </w:rPr>
              <w:t>—</w:t>
            </w:r>
          </w:p>
        </w:tc>
        <w:tc>
          <w:tcPr>
            <w:tcW w:w="10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24"/>
                <w:szCs w:val="24"/>
                <w:color w:val="auto"/>
              </w:rPr>
            </w:pPr>
          </w:p>
        </w:tc>
        <w:tc>
          <w:tcPr>
            <w:tcW w:w="860" w:type="dxa"/>
            <w:vAlign w:val="bottom"/>
          </w:tcPr>
          <w:p>
            <w:pPr>
              <w:ind w:left="6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0"/>
        </w:trPr>
        <w:tc>
          <w:tcPr>
            <w:tcW w:w="1080" w:type="dxa"/>
            <w:vAlign w:val="bottom"/>
            <w:vMerge w:val="continue"/>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080" w:type="dxa"/>
            <w:vAlign w:val="bottom"/>
          </w:tcPr>
          <w:p>
            <w:pPr>
              <w:ind w:left="100"/>
              <w:spacing w:after="0"/>
              <w:rPr>
                <w:sz w:val="20"/>
                <w:szCs w:val="20"/>
                <w:color w:val="auto"/>
              </w:rPr>
            </w:pPr>
            <w:r>
              <w:rPr>
                <w:rFonts w:ascii="Arial" w:cs="Arial" w:eastAsia="Arial" w:hAnsi="Arial"/>
                <w:sz w:val="14"/>
                <w:szCs w:val="14"/>
                <w:b w:val="1"/>
                <w:bCs w:val="1"/>
                <w:color w:val="auto"/>
              </w:rPr>
              <w:t>Schlossman</w:t>
            </w:r>
          </w:p>
        </w:tc>
        <w:tc>
          <w:tcPr>
            <w:tcW w:w="1020" w:type="dxa"/>
            <w:vAlign w:val="bottom"/>
            <w:vMerge w:val="restart"/>
          </w:tcPr>
          <w:p>
            <w:pPr>
              <w:ind w:left="140"/>
              <w:spacing w:after="0"/>
              <w:rPr>
                <w:sz w:val="20"/>
                <w:szCs w:val="20"/>
                <w:color w:val="auto"/>
              </w:rPr>
            </w:pPr>
            <w:r>
              <w:rPr>
                <w:rFonts w:ascii="Arial" w:cs="Arial" w:eastAsia="Arial" w:hAnsi="Arial"/>
                <w:sz w:val="14"/>
                <w:szCs w:val="14"/>
                <w:color w:val="auto"/>
              </w:rPr>
              <w:t>04/13/2021</w:t>
            </w:r>
          </w:p>
        </w:tc>
        <w:tc>
          <w:tcPr>
            <w:tcW w:w="100" w:type="dxa"/>
            <w:vAlign w:val="bottom"/>
          </w:tcPr>
          <w:p>
            <w:pPr>
              <w:spacing w:after="0"/>
              <w:rPr>
                <w:sz w:val="14"/>
                <w:szCs w:val="14"/>
                <w:color w:val="auto"/>
              </w:rPr>
            </w:pPr>
          </w:p>
        </w:tc>
        <w:tc>
          <w:tcPr>
            <w:tcW w:w="1060" w:type="dxa"/>
            <w:vAlign w:val="bottom"/>
            <w:vMerge w:val="restart"/>
          </w:tcPr>
          <w:p>
            <w:pPr>
              <w:ind w:left="740"/>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ind w:right="148"/>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96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1020" w:type="dxa"/>
            <w:vAlign w:val="bottom"/>
            <w:vMerge w:val="restart"/>
          </w:tcPr>
          <w:p>
            <w:pPr>
              <w:jc w:val="center"/>
              <w:ind w:right="8"/>
              <w:spacing w:after="0"/>
              <w:rPr>
                <w:sz w:val="20"/>
                <w:szCs w:val="20"/>
                <w:color w:val="auto"/>
              </w:rPr>
            </w:pPr>
            <w:r>
              <w:rPr>
                <w:rFonts w:ascii="Arial" w:cs="Arial" w:eastAsia="Arial" w:hAnsi="Arial"/>
                <w:sz w:val="14"/>
                <w:szCs w:val="14"/>
                <w:color w:val="auto"/>
                <w:w w:val="99"/>
              </w:rPr>
              <w:t>—</w:t>
            </w:r>
          </w:p>
        </w:tc>
        <w:tc>
          <w:tcPr>
            <w:tcW w:w="1020" w:type="dxa"/>
            <w:vAlign w:val="bottom"/>
            <w:vMerge w:val="restart"/>
          </w:tcPr>
          <w:p>
            <w:pPr>
              <w:jc w:val="center"/>
              <w:spacing w:after="0"/>
              <w:rPr>
                <w:sz w:val="20"/>
                <w:szCs w:val="20"/>
                <w:color w:val="auto"/>
              </w:rPr>
            </w:pPr>
            <w:r>
              <w:rPr>
                <w:rFonts w:ascii="Arial" w:cs="Arial" w:eastAsia="Arial" w:hAnsi="Arial"/>
                <w:sz w:val="14"/>
                <w:szCs w:val="14"/>
                <w:color w:val="auto"/>
                <w:w w:val="97"/>
              </w:rPr>
              <w:t>11,064</w:t>
            </w:r>
            <w:r>
              <w:rPr>
                <w:rFonts w:ascii="Arial" w:cs="Arial" w:eastAsia="Arial" w:hAnsi="Arial"/>
                <w:sz w:val="18"/>
                <w:szCs w:val="18"/>
                <w:color w:val="auto"/>
                <w:w w:val="97"/>
                <w:vertAlign w:val="superscript"/>
              </w:rPr>
              <w:t>(4)</w:t>
            </w:r>
          </w:p>
        </w:tc>
        <w:tc>
          <w:tcPr>
            <w:tcW w:w="100" w:type="dxa"/>
            <w:vAlign w:val="bottom"/>
          </w:tcPr>
          <w:p>
            <w:pPr>
              <w:spacing w:after="0"/>
              <w:rPr>
                <w:sz w:val="14"/>
                <w:szCs w:val="14"/>
                <w:color w:val="auto"/>
              </w:rPr>
            </w:pPr>
          </w:p>
        </w:tc>
        <w:tc>
          <w:tcPr>
            <w:tcW w:w="860" w:type="dxa"/>
            <w:vAlign w:val="bottom"/>
            <w:vMerge w:val="restart"/>
          </w:tcPr>
          <w:p>
            <w:pPr>
              <w:ind w:left="640"/>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tcPr>
          <w:p>
            <w:pPr>
              <w:jc w:val="right"/>
              <w:spacing w:after="0"/>
              <w:rPr>
                <w:sz w:val="20"/>
                <w:szCs w:val="20"/>
                <w:color w:val="auto"/>
              </w:rPr>
            </w:pPr>
            <w:r>
              <w:rPr>
                <w:rFonts w:ascii="Arial" w:cs="Arial" w:eastAsia="Arial" w:hAnsi="Arial"/>
                <w:sz w:val="14"/>
                <w:szCs w:val="14"/>
                <w:color w:val="auto"/>
              </w:rPr>
              <w:t>2,175,736</w:t>
            </w:r>
          </w:p>
        </w:tc>
        <w:tc>
          <w:tcPr>
            <w:tcW w:w="0" w:type="dxa"/>
            <w:vAlign w:val="bottom"/>
          </w:tcPr>
          <w:p>
            <w:pPr>
              <w:spacing w:after="0"/>
              <w:rPr>
                <w:sz w:val="1"/>
                <w:szCs w:val="1"/>
                <w:color w:val="auto"/>
              </w:rPr>
            </w:pPr>
          </w:p>
        </w:tc>
      </w:tr>
      <w:tr>
        <w:trPr>
          <w:trHeight w:val="154"/>
        </w:trPr>
        <w:tc>
          <w:tcPr>
            <w:tcW w:w="10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940" w:type="dxa"/>
            <w:vAlign w:val="bottom"/>
            <w:vMerge w:val="continue"/>
          </w:tcPr>
          <w:p>
            <w:pPr>
              <w:spacing w:after="0"/>
              <w:rPr>
                <w:sz w:val="13"/>
                <w:szCs w:val="13"/>
                <w:color w:val="auto"/>
              </w:rPr>
            </w:pPr>
          </w:p>
        </w:tc>
        <w:tc>
          <w:tcPr>
            <w:tcW w:w="100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020" w:type="dxa"/>
            <w:vAlign w:val="bottom"/>
            <w:vMerge w:val="continue"/>
          </w:tcPr>
          <w:p>
            <w:pPr>
              <w:spacing w:after="0"/>
              <w:rPr>
                <w:sz w:val="13"/>
                <w:szCs w:val="13"/>
                <w:color w:val="auto"/>
              </w:rPr>
            </w:pPr>
          </w:p>
        </w:tc>
        <w:tc>
          <w:tcPr>
            <w:tcW w:w="10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108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-3436620</wp:posOffset>
            </wp:positionV>
            <wp:extent cx="8890" cy="7200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8890" cy="720090"/>
                    </a:xfrm>
                    <a:prstGeom prst="rect">
                      <a:avLst/>
                    </a:prstGeom>
                    <a:noFill/>
                  </pic:spPr>
                </pic:pic>
              </a:graphicData>
            </a:graphic>
          </wp:anchor>
        </w:drawing>
      </w:r>
    </w:p>
    <w:p>
      <w:pPr>
        <w:spacing w:after="0" w:line="177" w:lineRule="exact"/>
        <w:rPr>
          <w:sz w:val="20"/>
          <w:szCs w:val="20"/>
          <w:color w:val="auto"/>
        </w:rPr>
      </w:pPr>
    </w:p>
    <w:p>
      <w:pPr>
        <w:ind w:left="260" w:right="40" w:hanging="252"/>
        <w:spacing w:after="0" w:line="239" w:lineRule="auto"/>
        <w:tabs>
          <w:tab w:leader="none" w:pos="252" w:val="left"/>
        </w:tabs>
        <w:numPr>
          <w:ilvl w:val="0"/>
          <w:numId w:val="48"/>
        </w:numPr>
        <w:rPr>
          <w:rFonts w:ascii="Arial" w:cs="Arial" w:eastAsia="Arial" w:hAnsi="Arial"/>
          <w:sz w:val="13"/>
          <w:szCs w:val="13"/>
          <w:color w:val="auto"/>
        </w:rPr>
      </w:pPr>
      <w:r>
        <w:rPr>
          <w:rFonts w:ascii="Arial" w:cs="Arial" w:eastAsia="Arial" w:hAnsi="Arial"/>
          <w:sz w:val="13"/>
          <w:szCs w:val="13"/>
          <w:color w:val="auto"/>
        </w:rPr>
        <w:t>These amounts reflect the fiscal 2021 target cash bonus amounts for each of our Named Executive Officers under our Incentive Compensation Plan. Mr. Chaudhry did not participate in the Incentive Compensation Plan. There are no threshold bonus amounts under the Incentive Compensation Plan. As set forth in the Summary Compensation Table, bonuses were earned for fiscal 2021 at a combined 139% of target. . As such, the amounts set forth do not represent actual compensation earned or earnable by the Named Executive Officers for fiscal 2021. For a description of the Incentive Compensation Plan, see “Compensation Discussion and Analysis –Annual Cash Bonuses” above.</w:t>
      </w:r>
    </w:p>
    <w:p>
      <w:pPr>
        <w:spacing w:after="0" w:line="52" w:lineRule="exact"/>
        <w:rPr>
          <w:rFonts w:ascii="Arial" w:cs="Arial" w:eastAsia="Arial" w:hAnsi="Arial"/>
          <w:sz w:val="13"/>
          <w:szCs w:val="13"/>
          <w:color w:val="auto"/>
        </w:rPr>
      </w:pPr>
    </w:p>
    <w:p>
      <w:pPr>
        <w:ind w:left="260" w:hanging="252"/>
        <w:spacing w:after="0" w:line="239" w:lineRule="auto"/>
        <w:tabs>
          <w:tab w:leader="none" w:pos="252" w:val="left"/>
        </w:tabs>
        <w:numPr>
          <w:ilvl w:val="0"/>
          <w:numId w:val="48"/>
        </w:numPr>
        <w:rPr>
          <w:rFonts w:ascii="Arial" w:cs="Arial" w:eastAsia="Arial" w:hAnsi="Arial"/>
          <w:sz w:val="13"/>
          <w:szCs w:val="13"/>
          <w:color w:val="auto"/>
        </w:rPr>
      </w:pPr>
      <w:r>
        <w:rPr>
          <w:rFonts w:ascii="Arial" w:cs="Arial" w:eastAsia="Arial" w:hAnsi="Arial"/>
          <w:sz w:val="13"/>
          <w:szCs w:val="13"/>
          <w:color w:val="auto"/>
        </w:rPr>
        <w:t>These amounts reflect PSUs for the 2021 fiscal year performance period for which performance metrics were established during the 2021 fiscal year under our 2018 Equity Incentive Plan. The PSUs were eligible to be earned based on the achievement of 2021 fiscal year revenue and calculated billing targets established by the compensation committee. There were no threshold amounts for the 2021 fiscal year performance period. The amounts set forth do not represent actual compensation earned or earnable by the Named Executive Officers for fiscal 2021. For a description of the fiscal 2021 PSU program, see “Compensation Discussion and Analysis –Long-Term Incentive Compensation” above.</w:t>
      </w:r>
    </w:p>
    <w:p>
      <w:pPr>
        <w:spacing w:after="0" w:line="52" w:lineRule="exact"/>
        <w:rPr>
          <w:rFonts w:ascii="Arial" w:cs="Arial" w:eastAsia="Arial" w:hAnsi="Arial"/>
          <w:sz w:val="13"/>
          <w:szCs w:val="13"/>
          <w:color w:val="auto"/>
        </w:rPr>
      </w:pPr>
    </w:p>
    <w:p>
      <w:pPr>
        <w:ind w:left="260" w:right="160" w:hanging="252"/>
        <w:spacing w:after="0"/>
        <w:tabs>
          <w:tab w:leader="none" w:pos="252" w:val="left"/>
        </w:tabs>
        <w:numPr>
          <w:ilvl w:val="0"/>
          <w:numId w:val="48"/>
        </w:numPr>
        <w:rPr>
          <w:rFonts w:ascii="Arial" w:cs="Arial" w:eastAsia="Arial" w:hAnsi="Arial"/>
          <w:sz w:val="13"/>
          <w:szCs w:val="13"/>
          <w:color w:val="auto"/>
        </w:rPr>
      </w:pPr>
      <w:r>
        <w:rPr>
          <w:rFonts w:ascii="Arial" w:cs="Arial" w:eastAsia="Arial" w:hAnsi="Arial"/>
          <w:sz w:val="13"/>
          <w:szCs w:val="13"/>
          <w:color w:val="auto"/>
        </w:rPr>
        <w:t>The amounts reported represent the aggregate grant date fair value of the stock awards granted to our Named Executive Officers in fiscal 2021, calculated in accordance with ASC Topic 718. The assumptions used in calculating the grant date fair value are set forth in the notes to our consolidated financial statements included in the Annual Report. These amounts do not necessarily correspond to the actual value recognized by the Named Executive Officers.</w:t>
      </w:r>
    </w:p>
    <w:p>
      <w:pPr>
        <w:spacing w:after="0" w:line="51" w:lineRule="exact"/>
        <w:rPr>
          <w:rFonts w:ascii="Arial" w:cs="Arial" w:eastAsia="Arial" w:hAnsi="Arial"/>
          <w:sz w:val="13"/>
          <w:szCs w:val="13"/>
          <w:color w:val="auto"/>
        </w:rPr>
      </w:pPr>
    </w:p>
    <w:p>
      <w:pPr>
        <w:ind w:left="260" w:right="540" w:hanging="252"/>
        <w:spacing w:after="0" w:line="242" w:lineRule="auto"/>
        <w:tabs>
          <w:tab w:leader="none" w:pos="252" w:val="left"/>
        </w:tabs>
        <w:numPr>
          <w:ilvl w:val="0"/>
          <w:numId w:val="48"/>
        </w:numPr>
        <w:rPr>
          <w:rFonts w:ascii="Arial" w:cs="Arial" w:eastAsia="Arial" w:hAnsi="Arial"/>
          <w:sz w:val="13"/>
          <w:szCs w:val="13"/>
          <w:color w:val="auto"/>
        </w:rPr>
      </w:pPr>
      <w:r>
        <w:rPr>
          <w:rFonts w:ascii="Arial" w:cs="Arial" w:eastAsia="Arial" w:hAnsi="Arial"/>
          <w:sz w:val="13"/>
          <w:szCs w:val="13"/>
          <w:color w:val="auto"/>
        </w:rPr>
        <w:t>The RSUs vest as follows: (i) 10% of the RSUs vest in four equal quarterly installments beginning on December 15, 2022, (ii) 40% of the RSUs vest in eight equal installments beginning on December 15, 2023 and (iii) 50% of the RSUs vest in eight equal installments beginning on December 15,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215265</wp:posOffset>
            </wp:positionV>
            <wp:extent cx="342900" cy="21463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342900" cy="214630"/>
                    </a:xfrm>
                    <a:prstGeom prst="rect">
                      <a:avLst/>
                    </a:prstGeom>
                    <a:noFill/>
                  </pic:spPr>
                </pic:pic>
              </a:graphicData>
            </a:graphic>
          </wp:anchor>
        </w:drawing>
      </w:r>
    </w:p>
    <w:p>
      <w:pPr>
        <w:spacing w:after="0" w:line="257" w:lineRule="exact"/>
        <w:rPr>
          <w:sz w:val="20"/>
          <w:szCs w:val="20"/>
          <w:color w:val="auto"/>
        </w:rPr>
      </w:pPr>
    </w:p>
    <w:p>
      <w:pPr>
        <w:ind w:left="5540"/>
        <w:spacing w:after="0"/>
        <w:tabs>
          <w:tab w:leader="none" w:pos="9780" w:val="left"/>
        </w:tabs>
        <w:rPr>
          <w:sz w:val="20"/>
          <w:szCs w:val="20"/>
          <w:color w:val="auto"/>
        </w:rPr>
      </w:pPr>
      <w:r>
        <w:rPr>
          <w:rFonts w:ascii="Arial" w:cs="Arial" w:eastAsia="Arial" w:hAnsi="Arial"/>
          <w:sz w:val="29"/>
          <w:szCs w:val="29"/>
          <w:color w:val="auto"/>
          <w:vertAlign w:val="superscript"/>
        </w:rPr>
        <w:t>59</w:t>
      </w:r>
      <w:r>
        <w:rPr>
          <w:sz w:val="20"/>
          <w:szCs w:val="20"/>
          <w:color w:val="auto"/>
        </w:rPr>
        <w:tab/>
      </w:r>
      <w:r>
        <w:rPr>
          <w:rFonts w:ascii="Arial" w:cs="Arial" w:eastAsia="Arial" w:hAnsi="Arial"/>
          <w:sz w:val="14"/>
          <w:szCs w:val="14"/>
          <w:color w:val="auto"/>
        </w:rPr>
        <w:t>2021 Proxy Statement</w:t>
      </w:r>
    </w:p>
    <w:p>
      <w:pPr>
        <w:sectPr>
          <w:pgSz w:w="11900" w:h="16838" w:orient="portrait"/>
          <w:cols w:equalWidth="0" w:num="1">
            <w:col w:w="11240"/>
          </w:cols>
          <w:pgMar w:left="320" w:top="172" w:right="339" w:bottom="1440" w:gutter="0" w:footer="0" w:header="0"/>
        </w:sectPr>
      </w:pPr>
    </w:p>
    <w:bookmarkStart w:id="63" w:name="page64"/>
    <w:bookmarkEnd w:id="63"/>
    <w:p>
      <w:pPr>
        <w:ind w:left="280"/>
        <w:spacing w:after="0"/>
        <w:rPr>
          <w:sz w:val="20"/>
          <w:szCs w:val="20"/>
          <w:color w:val="auto"/>
        </w:rPr>
      </w:pPr>
      <w:r>
        <w:rPr>
          <w:rFonts w:ascii="Arial" w:cs="Arial" w:eastAsia="Arial" w:hAnsi="Arial"/>
          <w:sz w:val="13"/>
          <w:szCs w:val="13"/>
          <w:b w:val="1"/>
          <w:bCs w:val="1"/>
          <w:color w:val="929292"/>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7470" cy="6032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7470" cy="60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b w:val="1"/>
          <w:bCs w:val="1"/>
          <w:color w:val="009ADA"/>
        </w:rPr>
        <w:t>Fiscal 2021 Outstanding Equity Awards at Fiscal Year End Table</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information regarding outstanding equity awards held by our Named Executive Officers as of July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1590675</wp:posOffset>
            </wp:positionH>
            <wp:positionV relativeFrom="paragraph">
              <wp:posOffset>45085</wp:posOffset>
            </wp:positionV>
            <wp:extent cx="5546090" cy="10369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546090" cy="1036955"/>
                    </a:xfrm>
                    <a:prstGeom prst="rect">
                      <a:avLst/>
                    </a:prstGeom>
                    <a:noFill/>
                  </pic:spPr>
                </pic:pic>
              </a:graphicData>
            </a:graphic>
          </wp:anchor>
        </w:drawing>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shd w:val="clear" w:color="auto" w:fill="009ADA"/>
          </w:tcPr>
          <w:p>
            <w:pPr>
              <w:spacing w:after="0"/>
              <w:rPr>
                <w:sz w:val="18"/>
                <w:szCs w:val="18"/>
                <w:color w:val="auto"/>
              </w:rPr>
            </w:pPr>
          </w:p>
        </w:tc>
        <w:tc>
          <w:tcPr>
            <w:tcW w:w="2180" w:type="dxa"/>
            <w:vAlign w:val="bottom"/>
            <w:gridSpan w:val="2"/>
            <w:shd w:val="clear" w:color="auto" w:fill="009ADA"/>
          </w:tcPr>
          <w:p>
            <w:pPr>
              <w:jc w:val="right"/>
              <w:ind w:right="608"/>
              <w:spacing w:after="0"/>
              <w:rPr>
                <w:sz w:val="20"/>
                <w:szCs w:val="20"/>
                <w:color w:val="auto"/>
              </w:rPr>
            </w:pPr>
            <w:r>
              <w:rPr>
                <w:rFonts w:ascii="Arial" w:cs="Arial" w:eastAsia="Arial" w:hAnsi="Arial"/>
                <w:sz w:val="14"/>
                <w:szCs w:val="14"/>
                <w:b w:val="1"/>
                <w:bCs w:val="1"/>
                <w:color w:val="FFFFFF"/>
              </w:rPr>
              <w:t>Option Awards</w:t>
            </w:r>
          </w:p>
        </w:tc>
        <w:tc>
          <w:tcPr>
            <w:tcW w:w="860" w:type="dxa"/>
            <w:vAlign w:val="bottom"/>
            <w:shd w:val="clear" w:color="auto" w:fill="009ADA"/>
          </w:tcPr>
          <w:p>
            <w:pPr>
              <w:spacing w:after="0"/>
              <w:rPr>
                <w:sz w:val="18"/>
                <w:szCs w:val="18"/>
                <w:color w:val="auto"/>
              </w:rPr>
            </w:pPr>
          </w:p>
        </w:tc>
        <w:tc>
          <w:tcPr>
            <w:tcW w:w="880" w:type="dxa"/>
            <w:vAlign w:val="bottom"/>
            <w:shd w:val="clear" w:color="auto" w:fill="009ADA"/>
          </w:tcPr>
          <w:p>
            <w:pPr>
              <w:spacing w:after="0"/>
              <w:rPr>
                <w:sz w:val="18"/>
                <w:szCs w:val="18"/>
                <w:color w:val="auto"/>
              </w:rPr>
            </w:pPr>
          </w:p>
        </w:tc>
        <w:tc>
          <w:tcPr>
            <w:tcW w:w="2420" w:type="dxa"/>
            <w:vAlign w:val="bottom"/>
            <w:gridSpan w:val="2"/>
            <w:shd w:val="clear" w:color="auto" w:fill="009ADA"/>
          </w:tcPr>
          <w:p>
            <w:pPr>
              <w:ind w:left="920"/>
              <w:spacing w:after="0"/>
              <w:rPr>
                <w:sz w:val="20"/>
                <w:szCs w:val="20"/>
                <w:color w:val="auto"/>
              </w:rPr>
            </w:pPr>
            <w:r>
              <w:rPr>
                <w:rFonts w:ascii="Arial" w:cs="Arial" w:eastAsia="Arial" w:hAnsi="Arial"/>
                <w:sz w:val="14"/>
                <w:szCs w:val="14"/>
                <w:b w:val="1"/>
                <w:bCs w:val="1"/>
                <w:color w:val="FFFFFF"/>
              </w:rPr>
              <w:t>Stock Awards</w:t>
            </w:r>
          </w:p>
        </w:tc>
        <w:tc>
          <w:tcPr>
            <w:tcW w:w="1320" w:type="dxa"/>
            <w:vAlign w:val="bottom"/>
            <w:shd w:val="clear" w:color="auto" w:fill="009ADA"/>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1100" w:type="dxa"/>
            <w:vAlign w:val="bottom"/>
            <w:shd w:val="clear" w:color="auto" w:fill="000000"/>
          </w:tcPr>
          <w:p>
            <w:pPr>
              <w:spacing w:after="0"/>
              <w:rPr>
                <w:sz w:val="16"/>
                <w:szCs w:val="16"/>
                <w:color w:val="auto"/>
              </w:rPr>
            </w:pPr>
          </w:p>
        </w:tc>
        <w:tc>
          <w:tcPr>
            <w:tcW w:w="960" w:type="dxa"/>
            <w:vAlign w:val="bottom"/>
            <w:shd w:val="clear" w:color="auto" w:fill="2B338D"/>
          </w:tcPr>
          <w:p>
            <w:pPr>
              <w:spacing w:after="0"/>
              <w:rPr>
                <w:sz w:val="16"/>
                <w:szCs w:val="16"/>
                <w:color w:val="auto"/>
              </w:rPr>
            </w:pPr>
          </w:p>
        </w:tc>
        <w:tc>
          <w:tcPr>
            <w:tcW w:w="440" w:type="dxa"/>
            <w:vAlign w:val="bottom"/>
            <w:shd w:val="clear" w:color="auto" w:fill="2B338D"/>
          </w:tcPr>
          <w:p>
            <w:pPr>
              <w:spacing w:after="0"/>
              <w:rPr>
                <w:sz w:val="16"/>
                <w:szCs w:val="16"/>
                <w:color w:val="auto"/>
              </w:rPr>
            </w:pPr>
          </w:p>
        </w:tc>
        <w:tc>
          <w:tcPr>
            <w:tcW w:w="1080" w:type="dxa"/>
            <w:vAlign w:val="bottom"/>
            <w:shd w:val="clear" w:color="auto" w:fill="2B338D"/>
          </w:tcPr>
          <w:p>
            <w:pPr>
              <w:spacing w:after="0"/>
              <w:rPr>
                <w:sz w:val="16"/>
                <w:szCs w:val="16"/>
                <w:color w:val="auto"/>
              </w:rPr>
            </w:pPr>
          </w:p>
        </w:tc>
        <w:tc>
          <w:tcPr>
            <w:tcW w:w="1240" w:type="dxa"/>
            <w:vAlign w:val="bottom"/>
            <w:shd w:val="clear" w:color="auto" w:fill="2B338D"/>
          </w:tcPr>
          <w:p>
            <w:pPr>
              <w:spacing w:after="0"/>
              <w:rPr>
                <w:sz w:val="16"/>
                <w:szCs w:val="16"/>
                <w:color w:val="auto"/>
              </w:rPr>
            </w:pPr>
          </w:p>
        </w:tc>
        <w:tc>
          <w:tcPr>
            <w:tcW w:w="940" w:type="dxa"/>
            <w:vAlign w:val="bottom"/>
            <w:shd w:val="clear" w:color="auto" w:fill="2B338D"/>
          </w:tcPr>
          <w:p>
            <w:pPr>
              <w:spacing w:after="0"/>
              <w:rPr>
                <w:sz w:val="16"/>
                <w:szCs w:val="16"/>
                <w:color w:val="auto"/>
              </w:rPr>
            </w:pPr>
          </w:p>
        </w:tc>
        <w:tc>
          <w:tcPr>
            <w:tcW w:w="860" w:type="dxa"/>
            <w:vAlign w:val="bottom"/>
            <w:shd w:val="clear" w:color="auto" w:fill="2B338D"/>
          </w:tcPr>
          <w:p>
            <w:pPr>
              <w:spacing w:after="0"/>
              <w:rPr>
                <w:sz w:val="16"/>
                <w:szCs w:val="16"/>
                <w:color w:val="auto"/>
              </w:rPr>
            </w:pPr>
          </w:p>
        </w:tc>
        <w:tc>
          <w:tcPr>
            <w:tcW w:w="880" w:type="dxa"/>
            <w:vAlign w:val="bottom"/>
            <w:shd w:val="clear" w:color="auto" w:fill="2B338D"/>
          </w:tcPr>
          <w:p>
            <w:pPr>
              <w:spacing w:after="0"/>
              <w:rPr>
                <w:sz w:val="16"/>
                <w:szCs w:val="16"/>
                <w:color w:val="auto"/>
              </w:rPr>
            </w:pPr>
          </w:p>
        </w:tc>
        <w:tc>
          <w:tcPr>
            <w:tcW w:w="1100" w:type="dxa"/>
            <w:vAlign w:val="bottom"/>
            <w:shd w:val="clear" w:color="auto" w:fill="2B338D"/>
          </w:tcPr>
          <w:p>
            <w:pPr>
              <w:spacing w:after="0"/>
              <w:rPr>
                <w:sz w:val="16"/>
                <w:szCs w:val="16"/>
                <w:color w:val="auto"/>
              </w:rPr>
            </w:pPr>
          </w:p>
        </w:tc>
        <w:tc>
          <w:tcPr>
            <w:tcW w:w="1320" w:type="dxa"/>
            <w:vAlign w:val="bottom"/>
            <w:shd w:val="clear" w:color="auto" w:fill="2B338D"/>
          </w:tcPr>
          <w:p>
            <w:pPr>
              <w:spacing w:after="0"/>
              <w:rPr>
                <w:sz w:val="16"/>
                <w:szCs w:val="16"/>
                <w:color w:val="auto"/>
              </w:rPr>
            </w:pPr>
          </w:p>
        </w:tc>
        <w:tc>
          <w:tcPr>
            <w:tcW w:w="1320" w:type="dxa"/>
            <w:vAlign w:val="bottom"/>
            <w:shd w:val="clear" w:color="auto" w:fill="2B338D"/>
          </w:tcPr>
          <w:p>
            <w:pPr>
              <w:jc w:val="right"/>
              <w:ind w:right="48"/>
              <w:spacing w:after="0"/>
              <w:rPr>
                <w:sz w:val="20"/>
                <w:szCs w:val="20"/>
                <w:color w:val="auto"/>
              </w:rPr>
            </w:pPr>
            <w:r>
              <w:rPr>
                <w:rFonts w:ascii="Arial" w:cs="Arial" w:eastAsia="Arial" w:hAnsi="Arial"/>
                <w:sz w:val="14"/>
                <w:szCs w:val="14"/>
                <w:b w:val="1"/>
                <w:bCs w:val="1"/>
                <w:color w:val="FFFFFF"/>
              </w:rPr>
              <w:t>Equity Incentive</w:t>
            </w:r>
          </w:p>
        </w:tc>
        <w:tc>
          <w:tcPr>
            <w:tcW w:w="0" w:type="dxa"/>
            <w:vAlign w:val="bottom"/>
          </w:tcPr>
          <w:p>
            <w:pPr>
              <w:spacing w:after="0"/>
              <w:rPr>
                <w:sz w:val="1"/>
                <w:szCs w:val="1"/>
                <w:color w:val="auto"/>
              </w:rPr>
            </w:pPr>
          </w:p>
        </w:tc>
      </w:tr>
      <w:tr>
        <w:trPr>
          <w:trHeight w:val="162"/>
        </w:trPr>
        <w:tc>
          <w:tcPr>
            <w:tcW w:w="1100" w:type="dxa"/>
            <w:vAlign w:val="bottom"/>
            <w:shd w:val="clear" w:color="auto" w:fill="000000"/>
          </w:tcPr>
          <w:p>
            <w:pPr>
              <w:spacing w:after="0"/>
              <w:rPr>
                <w:sz w:val="14"/>
                <w:szCs w:val="14"/>
                <w:color w:val="auto"/>
              </w:rPr>
            </w:pPr>
          </w:p>
        </w:tc>
        <w:tc>
          <w:tcPr>
            <w:tcW w:w="960" w:type="dxa"/>
            <w:vAlign w:val="bottom"/>
            <w:shd w:val="clear" w:color="auto" w:fill="2B338D"/>
          </w:tcPr>
          <w:p>
            <w:pPr>
              <w:spacing w:after="0"/>
              <w:rPr>
                <w:sz w:val="14"/>
                <w:szCs w:val="14"/>
                <w:color w:val="auto"/>
              </w:rPr>
            </w:pPr>
          </w:p>
        </w:tc>
        <w:tc>
          <w:tcPr>
            <w:tcW w:w="440" w:type="dxa"/>
            <w:vAlign w:val="bottom"/>
            <w:shd w:val="clear" w:color="auto" w:fill="2B338D"/>
          </w:tcPr>
          <w:p>
            <w:pPr>
              <w:spacing w:after="0"/>
              <w:rPr>
                <w:sz w:val="14"/>
                <w:szCs w:val="14"/>
                <w:color w:val="auto"/>
              </w:rPr>
            </w:pPr>
          </w:p>
        </w:tc>
        <w:tc>
          <w:tcPr>
            <w:tcW w:w="1080" w:type="dxa"/>
            <w:vAlign w:val="bottom"/>
            <w:shd w:val="clear" w:color="auto" w:fill="2B338D"/>
          </w:tcPr>
          <w:p>
            <w:pPr>
              <w:jc w:val="center"/>
              <w:spacing w:after="0"/>
              <w:rPr>
                <w:sz w:val="20"/>
                <w:szCs w:val="20"/>
                <w:color w:val="auto"/>
              </w:rPr>
            </w:pPr>
            <w:r>
              <w:rPr>
                <w:rFonts w:ascii="Arial" w:cs="Arial" w:eastAsia="Arial" w:hAnsi="Arial"/>
                <w:sz w:val="14"/>
                <w:szCs w:val="14"/>
                <w:b w:val="1"/>
                <w:bCs w:val="1"/>
                <w:color w:val="FFFFFF"/>
              </w:rPr>
              <w:t>Number of</w:t>
            </w:r>
          </w:p>
        </w:tc>
        <w:tc>
          <w:tcPr>
            <w:tcW w:w="1240" w:type="dxa"/>
            <w:vAlign w:val="bottom"/>
            <w:shd w:val="clear" w:color="auto" w:fill="2B338D"/>
          </w:tcPr>
          <w:p>
            <w:pPr>
              <w:jc w:val="center"/>
              <w:spacing w:after="0"/>
              <w:rPr>
                <w:sz w:val="20"/>
                <w:szCs w:val="20"/>
                <w:color w:val="auto"/>
              </w:rPr>
            </w:pPr>
            <w:r>
              <w:rPr>
                <w:rFonts w:ascii="Arial" w:cs="Arial" w:eastAsia="Arial" w:hAnsi="Arial"/>
                <w:sz w:val="14"/>
                <w:szCs w:val="14"/>
                <w:b w:val="1"/>
                <w:bCs w:val="1"/>
                <w:color w:val="FFFFFF"/>
              </w:rPr>
              <w:t>Number of</w:t>
            </w:r>
          </w:p>
        </w:tc>
        <w:tc>
          <w:tcPr>
            <w:tcW w:w="940" w:type="dxa"/>
            <w:vAlign w:val="bottom"/>
            <w:shd w:val="clear" w:color="auto" w:fill="2B338D"/>
          </w:tcPr>
          <w:p>
            <w:pPr>
              <w:spacing w:after="0"/>
              <w:rPr>
                <w:sz w:val="14"/>
                <w:szCs w:val="14"/>
                <w:color w:val="auto"/>
              </w:rPr>
            </w:pPr>
          </w:p>
        </w:tc>
        <w:tc>
          <w:tcPr>
            <w:tcW w:w="860" w:type="dxa"/>
            <w:vAlign w:val="bottom"/>
            <w:shd w:val="clear" w:color="auto" w:fill="2B338D"/>
          </w:tcPr>
          <w:p>
            <w:pPr>
              <w:spacing w:after="0"/>
              <w:rPr>
                <w:sz w:val="14"/>
                <w:szCs w:val="14"/>
                <w:color w:val="auto"/>
              </w:rPr>
            </w:pPr>
          </w:p>
        </w:tc>
        <w:tc>
          <w:tcPr>
            <w:tcW w:w="880" w:type="dxa"/>
            <w:vAlign w:val="bottom"/>
            <w:shd w:val="clear" w:color="auto" w:fill="2B338D"/>
          </w:tcPr>
          <w:p>
            <w:pPr>
              <w:jc w:val="center"/>
              <w:spacing w:after="0"/>
              <w:rPr>
                <w:sz w:val="20"/>
                <w:szCs w:val="20"/>
                <w:color w:val="auto"/>
              </w:rPr>
            </w:pPr>
            <w:r>
              <w:rPr>
                <w:rFonts w:ascii="Arial" w:cs="Arial" w:eastAsia="Arial" w:hAnsi="Arial"/>
                <w:sz w:val="14"/>
                <w:szCs w:val="14"/>
                <w:b w:val="1"/>
                <w:bCs w:val="1"/>
                <w:color w:val="FFFFFF"/>
              </w:rPr>
              <w:t>Number of</w:t>
            </w:r>
          </w:p>
        </w:tc>
        <w:tc>
          <w:tcPr>
            <w:tcW w:w="1100" w:type="dxa"/>
            <w:vAlign w:val="bottom"/>
            <w:vMerge w:val="restart"/>
            <w:shd w:val="clear" w:color="auto" w:fill="2B338D"/>
          </w:tcPr>
          <w:p>
            <w:pPr>
              <w:jc w:val="right"/>
              <w:ind w:right="29"/>
              <w:spacing w:after="0"/>
              <w:rPr>
                <w:sz w:val="20"/>
                <w:szCs w:val="20"/>
                <w:color w:val="auto"/>
              </w:rPr>
            </w:pPr>
            <w:r>
              <w:rPr>
                <w:rFonts w:ascii="Arial" w:cs="Arial" w:eastAsia="Arial" w:hAnsi="Arial"/>
                <w:sz w:val="14"/>
                <w:szCs w:val="14"/>
                <w:b w:val="1"/>
                <w:bCs w:val="1"/>
                <w:color w:val="FFFFFF"/>
              </w:rPr>
              <w:t>Market Value</w:t>
            </w:r>
          </w:p>
        </w:tc>
        <w:tc>
          <w:tcPr>
            <w:tcW w:w="1320" w:type="dxa"/>
            <w:vAlign w:val="bottom"/>
            <w:shd w:val="clear" w:color="auto" w:fill="2B338D"/>
          </w:tcPr>
          <w:p>
            <w:pPr>
              <w:jc w:val="center"/>
              <w:spacing w:after="0"/>
              <w:rPr>
                <w:sz w:val="20"/>
                <w:szCs w:val="20"/>
                <w:color w:val="auto"/>
              </w:rPr>
            </w:pPr>
            <w:r>
              <w:rPr>
                <w:rFonts w:ascii="Arial" w:cs="Arial" w:eastAsia="Arial" w:hAnsi="Arial"/>
                <w:sz w:val="14"/>
                <w:szCs w:val="14"/>
                <w:b w:val="1"/>
                <w:bCs w:val="1"/>
                <w:color w:val="FFFFFF"/>
              </w:rPr>
              <w:t>Equity Incentive</w:t>
            </w:r>
          </w:p>
        </w:tc>
        <w:tc>
          <w:tcPr>
            <w:tcW w:w="1320" w:type="dxa"/>
            <w:vAlign w:val="bottom"/>
            <w:shd w:val="clear" w:color="auto" w:fill="2B338D"/>
          </w:tcPr>
          <w:p>
            <w:pPr>
              <w:jc w:val="right"/>
              <w:ind w:right="48"/>
              <w:spacing w:after="0"/>
              <w:rPr>
                <w:sz w:val="20"/>
                <w:szCs w:val="20"/>
                <w:color w:val="auto"/>
              </w:rPr>
            </w:pPr>
            <w:r>
              <w:rPr>
                <w:rFonts w:ascii="Arial" w:cs="Arial" w:eastAsia="Arial" w:hAnsi="Arial"/>
                <w:sz w:val="14"/>
                <w:szCs w:val="14"/>
                <w:b w:val="1"/>
                <w:bCs w:val="1"/>
                <w:color w:val="FFFFFF"/>
              </w:rPr>
              <w:t>Plan Awards:</w:t>
            </w:r>
          </w:p>
        </w:tc>
        <w:tc>
          <w:tcPr>
            <w:tcW w:w="0" w:type="dxa"/>
            <w:vAlign w:val="bottom"/>
          </w:tcPr>
          <w:p>
            <w:pPr>
              <w:spacing w:after="0"/>
              <w:rPr>
                <w:sz w:val="1"/>
                <w:szCs w:val="1"/>
                <w:color w:val="auto"/>
              </w:rPr>
            </w:pPr>
          </w:p>
        </w:tc>
      </w:tr>
      <w:tr>
        <w:trPr>
          <w:trHeight w:val="54"/>
        </w:trPr>
        <w:tc>
          <w:tcPr>
            <w:tcW w:w="1100" w:type="dxa"/>
            <w:vAlign w:val="bottom"/>
            <w:shd w:val="clear" w:color="auto" w:fill="000000"/>
          </w:tcPr>
          <w:p>
            <w:pPr>
              <w:spacing w:after="0"/>
              <w:rPr>
                <w:sz w:val="4"/>
                <w:szCs w:val="4"/>
                <w:color w:val="auto"/>
              </w:rPr>
            </w:pPr>
          </w:p>
        </w:tc>
        <w:tc>
          <w:tcPr>
            <w:tcW w:w="960" w:type="dxa"/>
            <w:vAlign w:val="bottom"/>
            <w:shd w:val="clear" w:color="auto" w:fill="2B338D"/>
          </w:tcPr>
          <w:p>
            <w:pPr>
              <w:spacing w:after="0"/>
              <w:rPr>
                <w:sz w:val="4"/>
                <w:szCs w:val="4"/>
                <w:color w:val="auto"/>
              </w:rPr>
            </w:pPr>
          </w:p>
        </w:tc>
        <w:tc>
          <w:tcPr>
            <w:tcW w:w="440" w:type="dxa"/>
            <w:vAlign w:val="bottom"/>
            <w:shd w:val="clear" w:color="auto" w:fill="2B338D"/>
          </w:tcPr>
          <w:p>
            <w:pPr>
              <w:spacing w:after="0"/>
              <w:rPr>
                <w:sz w:val="4"/>
                <w:szCs w:val="4"/>
                <w:color w:val="auto"/>
              </w:rPr>
            </w:pPr>
          </w:p>
        </w:tc>
        <w:tc>
          <w:tcPr>
            <w:tcW w:w="1080" w:type="dxa"/>
            <w:vAlign w:val="bottom"/>
            <w:vMerge w:val="restart"/>
            <w:shd w:val="clear" w:color="auto" w:fill="2B338D"/>
          </w:tcPr>
          <w:p>
            <w:pPr>
              <w:jc w:val="center"/>
              <w:spacing w:after="0"/>
              <w:rPr>
                <w:sz w:val="20"/>
                <w:szCs w:val="20"/>
                <w:color w:val="auto"/>
              </w:rPr>
            </w:pPr>
            <w:r>
              <w:rPr>
                <w:rFonts w:ascii="Arial" w:cs="Arial" w:eastAsia="Arial" w:hAnsi="Arial"/>
                <w:sz w:val="14"/>
                <w:szCs w:val="14"/>
                <w:b w:val="1"/>
                <w:bCs w:val="1"/>
                <w:color w:val="FFFFFF"/>
              </w:rPr>
              <w:t>Securities</w:t>
            </w:r>
          </w:p>
        </w:tc>
        <w:tc>
          <w:tcPr>
            <w:tcW w:w="1240" w:type="dxa"/>
            <w:vAlign w:val="bottom"/>
            <w:vMerge w:val="restart"/>
            <w:shd w:val="clear" w:color="auto" w:fill="2B338D"/>
          </w:tcPr>
          <w:p>
            <w:pPr>
              <w:jc w:val="center"/>
              <w:spacing w:after="0"/>
              <w:rPr>
                <w:sz w:val="20"/>
                <w:szCs w:val="20"/>
                <w:color w:val="auto"/>
              </w:rPr>
            </w:pPr>
            <w:r>
              <w:rPr>
                <w:rFonts w:ascii="Arial" w:cs="Arial" w:eastAsia="Arial" w:hAnsi="Arial"/>
                <w:sz w:val="14"/>
                <w:szCs w:val="14"/>
                <w:b w:val="1"/>
                <w:bCs w:val="1"/>
                <w:color w:val="FFFFFF"/>
              </w:rPr>
              <w:t>Securities</w:t>
            </w:r>
          </w:p>
        </w:tc>
        <w:tc>
          <w:tcPr>
            <w:tcW w:w="940" w:type="dxa"/>
            <w:vAlign w:val="bottom"/>
            <w:shd w:val="clear" w:color="auto" w:fill="2B338D"/>
          </w:tcPr>
          <w:p>
            <w:pPr>
              <w:spacing w:after="0"/>
              <w:rPr>
                <w:sz w:val="4"/>
                <w:szCs w:val="4"/>
                <w:color w:val="auto"/>
              </w:rPr>
            </w:pPr>
          </w:p>
        </w:tc>
        <w:tc>
          <w:tcPr>
            <w:tcW w:w="860" w:type="dxa"/>
            <w:vAlign w:val="bottom"/>
            <w:shd w:val="clear" w:color="auto" w:fill="2B338D"/>
          </w:tcPr>
          <w:p>
            <w:pPr>
              <w:spacing w:after="0"/>
              <w:rPr>
                <w:sz w:val="4"/>
                <w:szCs w:val="4"/>
                <w:color w:val="auto"/>
              </w:rPr>
            </w:pPr>
          </w:p>
        </w:tc>
        <w:tc>
          <w:tcPr>
            <w:tcW w:w="880" w:type="dxa"/>
            <w:vAlign w:val="bottom"/>
            <w:vMerge w:val="restart"/>
            <w:shd w:val="clear" w:color="auto" w:fill="2B338D"/>
          </w:tcPr>
          <w:p>
            <w:pPr>
              <w:jc w:val="center"/>
              <w:spacing w:after="0"/>
              <w:rPr>
                <w:sz w:val="20"/>
                <w:szCs w:val="20"/>
                <w:color w:val="auto"/>
              </w:rPr>
            </w:pPr>
            <w:r>
              <w:rPr>
                <w:rFonts w:ascii="Arial" w:cs="Arial" w:eastAsia="Arial" w:hAnsi="Arial"/>
                <w:sz w:val="14"/>
                <w:szCs w:val="14"/>
                <w:b w:val="1"/>
                <w:bCs w:val="1"/>
                <w:color w:val="FFFFFF"/>
              </w:rPr>
              <w:t>Shares or</w:t>
            </w:r>
          </w:p>
        </w:tc>
        <w:tc>
          <w:tcPr>
            <w:tcW w:w="1100" w:type="dxa"/>
            <w:vAlign w:val="bottom"/>
            <w:vMerge w:val="continue"/>
            <w:shd w:val="clear" w:color="auto" w:fill="2B338D"/>
          </w:tcPr>
          <w:p>
            <w:pPr>
              <w:spacing w:after="0"/>
              <w:rPr>
                <w:sz w:val="4"/>
                <w:szCs w:val="4"/>
                <w:color w:val="auto"/>
              </w:rPr>
            </w:pPr>
          </w:p>
        </w:tc>
        <w:tc>
          <w:tcPr>
            <w:tcW w:w="1320" w:type="dxa"/>
            <w:vAlign w:val="bottom"/>
            <w:vMerge w:val="restart"/>
            <w:shd w:val="clear" w:color="auto" w:fill="2B338D"/>
          </w:tcPr>
          <w:p>
            <w:pPr>
              <w:jc w:val="center"/>
              <w:spacing w:after="0"/>
              <w:rPr>
                <w:sz w:val="20"/>
                <w:szCs w:val="20"/>
                <w:color w:val="auto"/>
              </w:rPr>
            </w:pPr>
            <w:r>
              <w:rPr>
                <w:rFonts w:ascii="Arial" w:cs="Arial" w:eastAsia="Arial" w:hAnsi="Arial"/>
                <w:sz w:val="14"/>
                <w:szCs w:val="14"/>
                <w:b w:val="1"/>
                <w:bCs w:val="1"/>
                <w:color w:val="FFFFFF"/>
              </w:rPr>
              <w:t>Plan Awards:</w:t>
            </w:r>
          </w:p>
        </w:tc>
        <w:tc>
          <w:tcPr>
            <w:tcW w:w="1320" w:type="dxa"/>
            <w:vAlign w:val="bottom"/>
            <w:vMerge w:val="restart"/>
            <w:shd w:val="clear" w:color="auto" w:fill="2B338D"/>
          </w:tcPr>
          <w:p>
            <w:pPr>
              <w:jc w:val="right"/>
              <w:ind w:right="48"/>
              <w:spacing w:after="0"/>
              <w:rPr>
                <w:sz w:val="20"/>
                <w:szCs w:val="20"/>
                <w:color w:val="auto"/>
              </w:rPr>
            </w:pPr>
            <w:r>
              <w:rPr>
                <w:rFonts w:ascii="Arial" w:cs="Arial" w:eastAsia="Arial" w:hAnsi="Arial"/>
                <w:sz w:val="14"/>
                <w:szCs w:val="14"/>
                <w:b w:val="1"/>
                <w:bCs w:val="1"/>
                <w:color w:val="FFFFFF"/>
              </w:rPr>
              <w:t>Market Value of</w:t>
            </w:r>
          </w:p>
        </w:tc>
        <w:tc>
          <w:tcPr>
            <w:tcW w:w="0" w:type="dxa"/>
            <w:vAlign w:val="bottom"/>
          </w:tcPr>
          <w:p>
            <w:pPr>
              <w:spacing w:after="0"/>
              <w:rPr>
                <w:sz w:val="1"/>
                <w:szCs w:val="1"/>
                <w:color w:val="auto"/>
              </w:rPr>
            </w:pPr>
          </w:p>
        </w:tc>
      </w:tr>
      <w:tr>
        <w:trPr>
          <w:trHeight w:val="108"/>
        </w:trPr>
        <w:tc>
          <w:tcPr>
            <w:tcW w:w="1100" w:type="dxa"/>
            <w:vAlign w:val="bottom"/>
            <w:shd w:val="clear" w:color="auto" w:fill="000000"/>
          </w:tcPr>
          <w:p>
            <w:pPr>
              <w:spacing w:after="0"/>
              <w:rPr>
                <w:sz w:val="9"/>
                <w:szCs w:val="9"/>
                <w:color w:val="auto"/>
              </w:rPr>
            </w:pPr>
          </w:p>
        </w:tc>
        <w:tc>
          <w:tcPr>
            <w:tcW w:w="960" w:type="dxa"/>
            <w:vAlign w:val="bottom"/>
            <w:shd w:val="clear" w:color="auto" w:fill="2B338D"/>
          </w:tcPr>
          <w:p>
            <w:pPr>
              <w:spacing w:after="0"/>
              <w:rPr>
                <w:sz w:val="9"/>
                <w:szCs w:val="9"/>
                <w:color w:val="auto"/>
              </w:rPr>
            </w:pPr>
          </w:p>
        </w:tc>
        <w:tc>
          <w:tcPr>
            <w:tcW w:w="440" w:type="dxa"/>
            <w:vAlign w:val="bottom"/>
            <w:shd w:val="clear" w:color="auto" w:fill="2B338D"/>
          </w:tcPr>
          <w:p>
            <w:pPr>
              <w:spacing w:after="0"/>
              <w:rPr>
                <w:sz w:val="9"/>
                <w:szCs w:val="9"/>
                <w:color w:val="auto"/>
              </w:rPr>
            </w:pPr>
          </w:p>
        </w:tc>
        <w:tc>
          <w:tcPr>
            <w:tcW w:w="1080" w:type="dxa"/>
            <w:vAlign w:val="bottom"/>
            <w:vMerge w:val="continue"/>
            <w:shd w:val="clear" w:color="auto" w:fill="2B338D"/>
          </w:tcPr>
          <w:p>
            <w:pPr>
              <w:spacing w:after="0"/>
              <w:rPr>
                <w:sz w:val="9"/>
                <w:szCs w:val="9"/>
                <w:color w:val="auto"/>
              </w:rPr>
            </w:pPr>
          </w:p>
        </w:tc>
        <w:tc>
          <w:tcPr>
            <w:tcW w:w="1240" w:type="dxa"/>
            <w:vAlign w:val="bottom"/>
            <w:vMerge w:val="continue"/>
            <w:shd w:val="clear" w:color="auto" w:fill="2B338D"/>
          </w:tcPr>
          <w:p>
            <w:pPr>
              <w:spacing w:after="0"/>
              <w:rPr>
                <w:sz w:val="9"/>
                <w:szCs w:val="9"/>
                <w:color w:val="auto"/>
              </w:rPr>
            </w:pPr>
          </w:p>
        </w:tc>
        <w:tc>
          <w:tcPr>
            <w:tcW w:w="940" w:type="dxa"/>
            <w:vAlign w:val="bottom"/>
            <w:shd w:val="clear" w:color="auto" w:fill="2B338D"/>
          </w:tcPr>
          <w:p>
            <w:pPr>
              <w:spacing w:after="0"/>
              <w:rPr>
                <w:sz w:val="9"/>
                <w:szCs w:val="9"/>
                <w:color w:val="auto"/>
              </w:rPr>
            </w:pPr>
          </w:p>
        </w:tc>
        <w:tc>
          <w:tcPr>
            <w:tcW w:w="860" w:type="dxa"/>
            <w:vAlign w:val="bottom"/>
            <w:shd w:val="clear" w:color="auto" w:fill="2B338D"/>
          </w:tcPr>
          <w:p>
            <w:pPr>
              <w:spacing w:after="0"/>
              <w:rPr>
                <w:sz w:val="9"/>
                <w:szCs w:val="9"/>
                <w:color w:val="auto"/>
              </w:rPr>
            </w:pPr>
          </w:p>
        </w:tc>
        <w:tc>
          <w:tcPr>
            <w:tcW w:w="880" w:type="dxa"/>
            <w:vAlign w:val="bottom"/>
            <w:vMerge w:val="continue"/>
            <w:shd w:val="clear" w:color="auto" w:fill="2B338D"/>
          </w:tcPr>
          <w:p>
            <w:pPr>
              <w:spacing w:after="0"/>
              <w:rPr>
                <w:sz w:val="9"/>
                <w:szCs w:val="9"/>
                <w:color w:val="auto"/>
              </w:rPr>
            </w:pPr>
          </w:p>
        </w:tc>
        <w:tc>
          <w:tcPr>
            <w:tcW w:w="1100" w:type="dxa"/>
            <w:vAlign w:val="bottom"/>
            <w:vMerge w:val="restart"/>
            <w:shd w:val="clear" w:color="auto" w:fill="2B338D"/>
          </w:tcPr>
          <w:p>
            <w:pPr>
              <w:jc w:val="right"/>
              <w:ind w:right="29"/>
              <w:spacing w:after="0"/>
              <w:rPr>
                <w:sz w:val="20"/>
                <w:szCs w:val="20"/>
                <w:color w:val="auto"/>
              </w:rPr>
            </w:pPr>
            <w:r>
              <w:rPr>
                <w:rFonts w:ascii="Arial" w:cs="Arial" w:eastAsia="Arial" w:hAnsi="Arial"/>
                <w:sz w:val="14"/>
                <w:szCs w:val="14"/>
                <w:b w:val="1"/>
                <w:bCs w:val="1"/>
                <w:color w:val="FFFFFF"/>
              </w:rPr>
              <w:t>of Shares or</w:t>
            </w:r>
          </w:p>
        </w:tc>
        <w:tc>
          <w:tcPr>
            <w:tcW w:w="1320" w:type="dxa"/>
            <w:vAlign w:val="bottom"/>
            <w:vMerge w:val="continue"/>
            <w:shd w:val="clear" w:color="auto" w:fill="2B338D"/>
          </w:tcPr>
          <w:p>
            <w:pPr>
              <w:spacing w:after="0"/>
              <w:rPr>
                <w:sz w:val="9"/>
                <w:szCs w:val="9"/>
                <w:color w:val="auto"/>
              </w:rPr>
            </w:pPr>
          </w:p>
        </w:tc>
        <w:tc>
          <w:tcPr>
            <w:tcW w:w="1320" w:type="dxa"/>
            <w:vAlign w:val="bottom"/>
            <w:vMerge w:val="continue"/>
            <w:shd w:val="clear" w:color="auto" w:fill="2B338D"/>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1100" w:type="dxa"/>
            <w:vAlign w:val="bottom"/>
            <w:shd w:val="clear" w:color="auto" w:fill="000000"/>
          </w:tcPr>
          <w:p>
            <w:pPr>
              <w:spacing w:after="0"/>
              <w:rPr>
                <w:sz w:val="4"/>
                <w:szCs w:val="4"/>
                <w:color w:val="auto"/>
              </w:rPr>
            </w:pPr>
          </w:p>
        </w:tc>
        <w:tc>
          <w:tcPr>
            <w:tcW w:w="960" w:type="dxa"/>
            <w:vAlign w:val="bottom"/>
            <w:shd w:val="clear" w:color="auto" w:fill="2B338D"/>
          </w:tcPr>
          <w:p>
            <w:pPr>
              <w:spacing w:after="0"/>
              <w:rPr>
                <w:sz w:val="4"/>
                <w:szCs w:val="4"/>
                <w:color w:val="auto"/>
              </w:rPr>
            </w:pPr>
          </w:p>
        </w:tc>
        <w:tc>
          <w:tcPr>
            <w:tcW w:w="440" w:type="dxa"/>
            <w:vAlign w:val="bottom"/>
            <w:shd w:val="clear" w:color="auto" w:fill="2B338D"/>
          </w:tcPr>
          <w:p>
            <w:pPr>
              <w:spacing w:after="0"/>
              <w:rPr>
                <w:sz w:val="4"/>
                <w:szCs w:val="4"/>
                <w:color w:val="auto"/>
              </w:rPr>
            </w:pPr>
          </w:p>
        </w:tc>
        <w:tc>
          <w:tcPr>
            <w:tcW w:w="1080" w:type="dxa"/>
            <w:vAlign w:val="bottom"/>
            <w:vMerge w:val="restart"/>
            <w:shd w:val="clear" w:color="auto" w:fill="2B338D"/>
          </w:tcPr>
          <w:p>
            <w:pPr>
              <w:jc w:val="center"/>
              <w:spacing w:after="0"/>
              <w:rPr>
                <w:sz w:val="20"/>
                <w:szCs w:val="20"/>
                <w:color w:val="auto"/>
              </w:rPr>
            </w:pPr>
            <w:r>
              <w:rPr>
                <w:rFonts w:ascii="Arial" w:cs="Arial" w:eastAsia="Arial" w:hAnsi="Arial"/>
                <w:sz w:val="14"/>
                <w:szCs w:val="14"/>
                <w:b w:val="1"/>
                <w:bCs w:val="1"/>
                <w:color w:val="FFFFFF"/>
              </w:rPr>
              <w:t>Underlying</w:t>
            </w:r>
          </w:p>
        </w:tc>
        <w:tc>
          <w:tcPr>
            <w:tcW w:w="1240" w:type="dxa"/>
            <w:vAlign w:val="bottom"/>
            <w:vMerge w:val="restart"/>
            <w:shd w:val="clear" w:color="auto" w:fill="2B338D"/>
          </w:tcPr>
          <w:p>
            <w:pPr>
              <w:jc w:val="center"/>
              <w:spacing w:after="0"/>
              <w:rPr>
                <w:sz w:val="20"/>
                <w:szCs w:val="20"/>
                <w:color w:val="auto"/>
              </w:rPr>
            </w:pPr>
            <w:r>
              <w:rPr>
                <w:rFonts w:ascii="Arial" w:cs="Arial" w:eastAsia="Arial" w:hAnsi="Arial"/>
                <w:sz w:val="14"/>
                <w:szCs w:val="14"/>
                <w:b w:val="1"/>
                <w:bCs w:val="1"/>
                <w:color w:val="FFFFFF"/>
              </w:rPr>
              <w:t>Underlying</w:t>
            </w:r>
          </w:p>
        </w:tc>
        <w:tc>
          <w:tcPr>
            <w:tcW w:w="940" w:type="dxa"/>
            <w:vAlign w:val="bottom"/>
            <w:shd w:val="clear" w:color="auto" w:fill="2B338D"/>
          </w:tcPr>
          <w:p>
            <w:pPr>
              <w:spacing w:after="0"/>
              <w:rPr>
                <w:sz w:val="4"/>
                <w:szCs w:val="4"/>
                <w:color w:val="auto"/>
              </w:rPr>
            </w:pPr>
          </w:p>
        </w:tc>
        <w:tc>
          <w:tcPr>
            <w:tcW w:w="860" w:type="dxa"/>
            <w:vAlign w:val="bottom"/>
            <w:shd w:val="clear" w:color="auto" w:fill="2B338D"/>
          </w:tcPr>
          <w:p>
            <w:pPr>
              <w:spacing w:after="0"/>
              <w:rPr>
                <w:sz w:val="4"/>
                <w:szCs w:val="4"/>
                <w:color w:val="auto"/>
              </w:rPr>
            </w:pPr>
          </w:p>
        </w:tc>
        <w:tc>
          <w:tcPr>
            <w:tcW w:w="880" w:type="dxa"/>
            <w:vAlign w:val="bottom"/>
            <w:vMerge w:val="restart"/>
            <w:shd w:val="clear" w:color="auto" w:fill="2B338D"/>
          </w:tcPr>
          <w:p>
            <w:pPr>
              <w:jc w:val="center"/>
              <w:spacing w:after="0"/>
              <w:rPr>
                <w:sz w:val="20"/>
                <w:szCs w:val="20"/>
                <w:color w:val="auto"/>
              </w:rPr>
            </w:pPr>
            <w:r>
              <w:rPr>
                <w:rFonts w:ascii="Arial" w:cs="Arial" w:eastAsia="Arial" w:hAnsi="Arial"/>
                <w:sz w:val="14"/>
                <w:szCs w:val="14"/>
                <w:b w:val="1"/>
                <w:bCs w:val="1"/>
                <w:color w:val="FFFFFF"/>
                <w:w w:val="99"/>
              </w:rPr>
              <w:t>Units of</w:t>
            </w:r>
          </w:p>
        </w:tc>
        <w:tc>
          <w:tcPr>
            <w:tcW w:w="1100" w:type="dxa"/>
            <w:vAlign w:val="bottom"/>
            <w:vMerge w:val="continue"/>
            <w:shd w:val="clear" w:color="auto" w:fill="2B338D"/>
          </w:tcPr>
          <w:p>
            <w:pPr>
              <w:spacing w:after="0"/>
              <w:rPr>
                <w:sz w:val="4"/>
                <w:szCs w:val="4"/>
                <w:color w:val="auto"/>
              </w:rPr>
            </w:pPr>
          </w:p>
        </w:tc>
        <w:tc>
          <w:tcPr>
            <w:tcW w:w="1320" w:type="dxa"/>
            <w:vAlign w:val="bottom"/>
            <w:vMerge w:val="restart"/>
            <w:shd w:val="clear" w:color="auto" w:fill="2B338D"/>
          </w:tcPr>
          <w:p>
            <w:pPr>
              <w:jc w:val="center"/>
              <w:spacing w:after="0"/>
              <w:rPr>
                <w:sz w:val="20"/>
                <w:szCs w:val="20"/>
                <w:color w:val="auto"/>
              </w:rPr>
            </w:pPr>
            <w:r>
              <w:rPr>
                <w:rFonts w:ascii="Arial" w:cs="Arial" w:eastAsia="Arial" w:hAnsi="Arial"/>
                <w:sz w:val="14"/>
                <w:szCs w:val="14"/>
                <w:b w:val="1"/>
                <w:bCs w:val="1"/>
                <w:color w:val="FFFFFF"/>
              </w:rPr>
              <w:t>Number of</w:t>
            </w:r>
          </w:p>
        </w:tc>
        <w:tc>
          <w:tcPr>
            <w:tcW w:w="1320" w:type="dxa"/>
            <w:vAlign w:val="bottom"/>
            <w:vMerge w:val="restart"/>
            <w:shd w:val="clear" w:color="auto" w:fill="2B338D"/>
          </w:tcPr>
          <w:p>
            <w:pPr>
              <w:jc w:val="right"/>
              <w:ind w:right="48"/>
              <w:spacing w:after="0"/>
              <w:rPr>
                <w:sz w:val="20"/>
                <w:szCs w:val="20"/>
                <w:color w:val="auto"/>
              </w:rPr>
            </w:pPr>
            <w:r>
              <w:rPr>
                <w:rFonts w:ascii="Arial" w:cs="Arial" w:eastAsia="Arial" w:hAnsi="Arial"/>
                <w:sz w:val="14"/>
                <w:szCs w:val="14"/>
                <w:b w:val="1"/>
                <w:bCs w:val="1"/>
                <w:color w:val="FFFFFF"/>
              </w:rPr>
              <w:t>Unearned</w:t>
            </w:r>
          </w:p>
        </w:tc>
        <w:tc>
          <w:tcPr>
            <w:tcW w:w="0" w:type="dxa"/>
            <w:vAlign w:val="bottom"/>
          </w:tcPr>
          <w:p>
            <w:pPr>
              <w:spacing w:after="0"/>
              <w:rPr>
                <w:sz w:val="1"/>
                <w:szCs w:val="1"/>
                <w:color w:val="auto"/>
              </w:rPr>
            </w:pPr>
          </w:p>
        </w:tc>
      </w:tr>
      <w:tr>
        <w:trPr>
          <w:trHeight w:val="108"/>
        </w:trPr>
        <w:tc>
          <w:tcPr>
            <w:tcW w:w="1100" w:type="dxa"/>
            <w:vAlign w:val="bottom"/>
            <w:shd w:val="clear" w:color="auto" w:fill="000000"/>
          </w:tcPr>
          <w:p>
            <w:pPr>
              <w:spacing w:after="0"/>
              <w:rPr>
                <w:sz w:val="9"/>
                <w:szCs w:val="9"/>
                <w:color w:val="auto"/>
              </w:rPr>
            </w:pPr>
          </w:p>
        </w:tc>
        <w:tc>
          <w:tcPr>
            <w:tcW w:w="960" w:type="dxa"/>
            <w:vAlign w:val="bottom"/>
            <w:shd w:val="clear" w:color="auto" w:fill="2B338D"/>
          </w:tcPr>
          <w:p>
            <w:pPr>
              <w:spacing w:after="0"/>
              <w:rPr>
                <w:sz w:val="9"/>
                <w:szCs w:val="9"/>
                <w:color w:val="auto"/>
              </w:rPr>
            </w:pPr>
          </w:p>
        </w:tc>
        <w:tc>
          <w:tcPr>
            <w:tcW w:w="440" w:type="dxa"/>
            <w:vAlign w:val="bottom"/>
            <w:shd w:val="clear" w:color="auto" w:fill="2B338D"/>
          </w:tcPr>
          <w:p>
            <w:pPr>
              <w:spacing w:after="0"/>
              <w:rPr>
                <w:sz w:val="9"/>
                <w:szCs w:val="9"/>
                <w:color w:val="auto"/>
              </w:rPr>
            </w:pPr>
          </w:p>
        </w:tc>
        <w:tc>
          <w:tcPr>
            <w:tcW w:w="1080" w:type="dxa"/>
            <w:vAlign w:val="bottom"/>
            <w:vMerge w:val="continue"/>
            <w:shd w:val="clear" w:color="auto" w:fill="2B338D"/>
          </w:tcPr>
          <w:p>
            <w:pPr>
              <w:spacing w:after="0"/>
              <w:rPr>
                <w:sz w:val="9"/>
                <w:szCs w:val="9"/>
                <w:color w:val="auto"/>
              </w:rPr>
            </w:pPr>
          </w:p>
        </w:tc>
        <w:tc>
          <w:tcPr>
            <w:tcW w:w="1240" w:type="dxa"/>
            <w:vAlign w:val="bottom"/>
            <w:vMerge w:val="continue"/>
            <w:shd w:val="clear" w:color="auto" w:fill="2B338D"/>
          </w:tcPr>
          <w:p>
            <w:pPr>
              <w:spacing w:after="0"/>
              <w:rPr>
                <w:sz w:val="9"/>
                <w:szCs w:val="9"/>
                <w:color w:val="auto"/>
              </w:rPr>
            </w:pPr>
          </w:p>
        </w:tc>
        <w:tc>
          <w:tcPr>
            <w:tcW w:w="940" w:type="dxa"/>
            <w:vAlign w:val="bottom"/>
            <w:shd w:val="clear" w:color="auto" w:fill="2B338D"/>
          </w:tcPr>
          <w:p>
            <w:pPr>
              <w:spacing w:after="0"/>
              <w:rPr>
                <w:sz w:val="9"/>
                <w:szCs w:val="9"/>
                <w:color w:val="auto"/>
              </w:rPr>
            </w:pPr>
          </w:p>
        </w:tc>
        <w:tc>
          <w:tcPr>
            <w:tcW w:w="860" w:type="dxa"/>
            <w:vAlign w:val="bottom"/>
            <w:shd w:val="clear" w:color="auto" w:fill="2B338D"/>
          </w:tcPr>
          <w:p>
            <w:pPr>
              <w:spacing w:after="0"/>
              <w:rPr>
                <w:sz w:val="9"/>
                <w:szCs w:val="9"/>
                <w:color w:val="auto"/>
              </w:rPr>
            </w:pPr>
          </w:p>
        </w:tc>
        <w:tc>
          <w:tcPr>
            <w:tcW w:w="880" w:type="dxa"/>
            <w:vAlign w:val="bottom"/>
            <w:vMerge w:val="continue"/>
            <w:shd w:val="clear" w:color="auto" w:fill="2B338D"/>
          </w:tcPr>
          <w:p>
            <w:pPr>
              <w:spacing w:after="0"/>
              <w:rPr>
                <w:sz w:val="9"/>
                <w:szCs w:val="9"/>
                <w:color w:val="auto"/>
              </w:rPr>
            </w:pPr>
          </w:p>
        </w:tc>
        <w:tc>
          <w:tcPr>
            <w:tcW w:w="1100" w:type="dxa"/>
            <w:vAlign w:val="bottom"/>
            <w:vMerge w:val="restart"/>
            <w:shd w:val="clear" w:color="auto" w:fill="2B338D"/>
          </w:tcPr>
          <w:p>
            <w:pPr>
              <w:jc w:val="right"/>
              <w:ind w:right="29"/>
              <w:spacing w:after="0" w:line="148" w:lineRule="exact"/>
              <w:rPr>
                <w:sz w:val="20"/>
                <w:szCs w:val="20"/>
                <w:color w:val="auto"/>
              </w:rPr>
            </w:pPr>
            <w:r>
              <w:rPr>
                <w:rFonts w:ascii="Arial" w:cs="Arial" w:eastAsia="Arial" w:hAnsi="Arial"/>
                <w:sz w:val="14"/>
                <w:szCs w:val="14"/>
                <w:b w:val="1"/>
                <w:bCs w:val="1"/>
                <w:color w:val="FFFFFF"/>
              </w:rPr>
              <w:t>Units of Stock</w:t>
            </w:r>
          </w:p>
        </w:tc>
        <w:tc>
          <w:tcPr>
            <w:tcW w:w="1320" w:type="dxa"/>
            <w:vAlign w:val="bottom"/>
            <w:vMerge w:val="continue"/>
            <w:shd w:val="clear" w:color="auto" w:fill="2B338D"/>
          </w:tcPr>
          <w:p>
            <w:pPr>
              <w:spacing w:after="0"/>
              <w:rPr>
                <w:sz w:val="9"/>
                <w:szCs w:val="9"/>
                <w:color w:val="auto"/>
              </w:rPr>
            </w:pPr>
          </w:p>
        </w:tc>
        <w:tc>
          <w:tcPr>
            <w:tcW w:w="1320" w:type="dxa"/>
            <w:vAlign w:val="bottom"/>
            <w:vMerge w:val="continue"/>
            <w:shd w:val="clear" w:color="auto" w:fill="2B338D"/>
          </w:tcPr>
          <w:p>
            <w:pPr>
              <w:spacing w:after="0"/>
              <w:rPr>
                <w:sz w:val="9"/>
                <w:szCs w:val="9"/>
                <w:color w:val="auto"/>
              </w:rPr>
            </w:pPr>
          </w:p>
        </w:tc>
        <w:tc>
          <w:tcPr>
            <w:tcW w:w="0" w:type="dxa"/>
            <w:vAlign w:val="bottom"/>
          </w:tcPr>
          <w:p>
            <w:pPr>
              <w:spacing w:after="0"/>
              <w:rPr>
                <w:sz w:val="1"/>
                <w:szCs w:val="1"/>
                <w:color w:val="auto"/>
              </w:rPr>
            </w:pPr>
          </w:p>
        </w:tc>
      </w:tr>
      <w:tr>
        <w:trPr>
          <w:trHeight w:val="40"/>
        </w:trPr>
        <w:tc>
          <w:tcPr>
            <w:tcW w:w="1100" w:type="dxa"/>
            <w:vAlign w:val="bottom"/>
            <w:shd w:val="clear" w:color="auto" w:fill="000000"/>
          </w:tcPr>
          <w:p>
            <w:pPr>
              <w:spacing w:after="0"/>
              <w:rPr>
                <w:sz w:val="3"/>
                <w:szCs w:val="3"/>
                <w:color w:val="auto"/>
              </w:rPr>
            </w:pPr>
          </w:p>
        </w:tc>
        <w:tc>
          <w:tcPr>
            <w:tcW w:w="960" w:type="dxa"/>
            <w:vAlign w:val="bottom"/>
            <w:shd w:val="clear" w:color="auto" w:fill="2B338D"/>
          </w:tcPr>
          <w:p>
            <w:pPr>
              <w:spacing w:after="0"/>
              <w:rPr>
                <w:sz w:val="3"/>
                <w:szCs w:val="3"/>
                <w:color w:val="auto"/>
              </w:rPr>
            </w:pPr>
          </w:p>
        </w:tc>
        <w:tc>
          <w:tcPr>
            <w:tcW w:w="440" w:type="dxa"/>
            <w:vAlign w:val="bottom"/>
            <w:shd w:val="clear" w:color="auto" w:fill="2B338D"/>
          </w:tcPr>
          <w:p>
            <w:pPr>
              <w:spacing w:after="0"/>
              <w:rPr>
                <w:sz w:val="3"/>
                <w:szCs w:val="3"/>
                <w:color w:val="auto"/>
              </w:rPr>
            </w:pPr>
          </w:p>
        </w:tc>
        <w:tc>
          <w:tcPr>
            <w:tcW w:w="1080" w:type="dxa"/>
            <w:vAlign w:val="bottom"/>
            <w:vMerge w:val="restart"/>
            <w:shd w:val="clear" w:color="auto" w:fill="2B338D"/>
          </w:tcPr>
          <w:p>
            <w:pPr>
              <w:jc w:val="center"/>
              <w:spacing w:after="0"/>
              <w:rPr>
                <w:sz w:val="20"/>
                <w:szCs w:val="20"/>
                <w:color w:val="auto"/>
              </w:rPr>
            </w:pPr>
            <w:r>
              <w:rPr>
                <w:rFonts w:ascii="Arial" w:cs="Arial" w:eastAsia="Arial" w:hAnsi="Arial"/>
                <w:sz w:val="14"/>
                <w:szCs w:val="14"/>
                <w:b w:val="1"/>
                <w:bCs w:val="1"/>
                <w:color w:val="FFFFFF"/>
              </w:rPr>
              <w:t>Unexercised</w:t>
            </w:r>
          </w:p>
        </w:tc>
        <w:tc>
          <w:tcPr>
            <w:tcW w:w="1240" w:type="dxa"/>
            <w:vAlign w:val="bottom"/>
            <w:vMerge w:val="restart"/>
            <w:shd w:val="clear" w:color="auto" w:fill="2B338D"/>
          </w:tcPr>
          <w:p>
            <w:pPr>
              <w:jc w:val="center"/>
              <w:spacing w:after="0"/>
              <w:rPr>
                <w:sz w:val="20"/>
                <w:szCs w:val="20"/>
                <w:color w:val="auto"/>
              </w:rPr>
            </w:pPr>
            <w:r>
              <w:rPr>
                <w:rFonts w:ascii="Arial" w:cs="Arial" w:eastAsia="Arial" w:hAnsi="Arial"/>
                <w:sz w:val="14"/>
                <w:szCs w:val="14"/>
                <w:b w:val="1"/>
                <w:bCs w:val="1"/>
                <w:color w:val="FFFFFF"/>
              </w:rPr>
              <w:t>Unexercised</w:t>
            </w:r>
          </w:p>
        </w:tc>
        <w:tc>
          <w:tcPr>
            <w:tcW w:w="940" w:type="dxa"/>
            <w:vAlign w:val="bottom"/>
            <w:vMerge w:val="restart"/>
            <w:shd w:val="clear" w:color="auto" w:fill="2B338D"/>
          </w:tcPr>
          <w:p>
            <w:pPr>
              <w:jc w:val="right"/>
              <w:ind w:right="128"/>
              <w:spacing w:after="0"/>
              <w:rPr>
                <w:sz w:val="20"/>
                <w:szCs w:val="20"/>
                <w:color w:val="auto"/>
              </w:rPr>
            </w:pPr>
            <w:r>
              <w:rPr>
                <w:rFonts w:ascii="Arial" w:cs="Arial" w:eastAsia="Arial" w:hAnsi="Arial"/>
                <w:sz w:val="14"/>
                <w:szCs w:val="14"/>
                <w:b w:val="1"/>
                <w:bCs w:val="1"/>
                <w:color w:val="FFFFFF"/>
              </w:rPr>
              <w:t>Option</w:t>
            </w:r>
          </w:p>
        </w:tc>
        <w:tc>
          <w:tcPr>
            <w:tcW w:w="860" w:type="dxa"/>
            <w:vAlign w:val="bottom"/>
            <w:shd w:val="clear" w:color="auto" w:fill="2B338D"/>
          </w:tcPr>
          <w:p>
            <w:pPr>
              <w:spacing w:after="0"/>
              <w:rPr>
                <w:sz w:val="3"/>
                <w:szCs w:val="3"/>
                <w:color w:val="auto"/>
              </w:rPr>
            </w:pPr>
          </w:p>
        </w:tc>
        <w:tc>
          <w:tcPr>
            <w:tcW w:w="880" w:type="dxa"/>
            <w:vAlign w:val="bottom"/>
            <w:shd w:val="clear" w:color="auto" w:fill="2B338D"/>
          </w:tcPr>
          <w:p>
            <w:pPr>
              <w:spacing w:after="0"/>
              <w:rPr>
                <w:sz w:val="3"/>
                <w:szCs w:val="3"/>
                <w:color w:val="auto"/>
              </w:rPr>
            </w:pPr>
          </w:p>
        </w:tc>
        <w:tc>
          <w:tcPr>
            <w:tcW w:w="1100" w:type="dxa"/>
            <w:vAlign w:val="bottom"/>
            <w:vMerge w:val="continue"/>
            <w:shd w:val="clear" w:color="auto" w:fill="2B338D"/>
          </w:tcPr>
          <w:p>
            <w:pPr>
              <w:spacing w:after="0"/>
              <w:rPr>
                <w:sz w:val="3"/>
                <w:szCs w:val="3"/>
                <w:color w:val="auto"/>
              </w:rPr>
            </w:pPr>
          </w:p>
        </w:tc>
        <w:tc>
          <w:tcPr>
            <w:tcW w:w="1320" w:type="dxa"/>
            <w:vAlign w:val="bottom"/>
            <w:vMerge w:val="restart"/>
            <w:shd w:val="clear" w:color="auto" w:fill="2B338D"/>
          </w:tcPr>
          <w:p>
            <w:pPr>
              <w:jc w:val="center"/>
              <w:spacing w:after="0"/>
              <w:rPr>
                <w:sz w:val="20"/>
                <w:szCs w:val="20"/>
                <w:color w:val="auto"/>
              </w:rPr>
            </w:pPr>
            <w:r>
              <w:rPr>
                <w:rFonts w:ascii="Arial" w:cs="Arial" w:eastAsia="Arial" w:hAnsi="Arial"/>
                <w:sz w:val="14"/>
                <w:szCs w:val="14"/>
                <w:b w:val="1"/>
                <w:bCs w:val="1"/>
                <w:color w:val="FFFFFF"/>
              </w:rPr>
              <w:t>Unearned Shares</w:t>
            </w:r>
          </w:p>
        </w:tc>
        <w:tc>
          <w:tcPr>
            <w:tcW w:w="1320" w:type="dxa"/>
            <w:vAlign w:val="bottom"/>
            <w:vMerge w:val="restart"/>
            <w:shd w:val="clear" w:color="auto" w:fill="2B338D"/>
          </w:tcPr>
          <w:p>
            <w:pPr>
              <w:jc w:val="right"/>
              <w:ind w:right="48"/>
              <w:spacing w:after="0"/>
              <w:rPr>
                <w:sz w:val="20"/>
                <w:szCs w:val="20"/>
                <w:color w:val="auto"/>
              </w:rPr>
            </w:pPr>
            <w:r>
              <w:rPr>
                <w:rFonts w:ascii="Arial" w:cs="Arial" w:eastAsia="Arial" w:hAnsi="Arial"/>
                <w:sz w:val="14"/>
                <w:szCs w:val="14"/>
                <w:b w:val="1"/>
                <w:bCs w:val="1"/>
                <w:color w:val="FFFFFF"/>
              </w:rPr>
              <w:t>Shares or Units</w:t>
            </w:r>
          </w:p>
        </w:tc>
        <w:tc>
          <w:tcPr>
            <w:tcW w:w="0" w:type="dxa"/>
            <w:vAlign w:val="bottom"/>
          </w:tcPr>
          <w:p>
            <w:pPr>
              <w:spacing w:after="0"/>
              <w:rPr>
                <w:sz w:val="1"/>
                <w:szCs w:val="1"/>
                <w:color w:val="auto"/>
              </w:rPr>
            </w:pPr>
          </w:p>
        </w:tc>
      </w:tr>
      <w:tr>
        <w:trPr>
          <w:trHeight w:val="140"/>
        </w:trPr>
        <w:tc>
          <w:tcPr>
            <w:tcW w:w="1100" w:type="dxa"/>
            <w:vAlign w:val="bottom"/>
            <w:shd w:val="clear" w:color="auto" w:fill="000000"/>
          </w:tcPr>
          <w:p>
            <w:pPr>
              <w:spacing w:after="0"/>
              <w:rPr>
                <w:sz w:val="12"/>
                <w:szCs w:val="12"/>
                <w:color w:val="auto"/>
              </w:rPr>
            </w:pPr>
          </w:p>
        </w:tc>
        <w:tc>
          <w:tcPr>
            <w:tcW w:w="960" w:type="dxa"/>
            <w:vAlign w:val="bottom"/>
            <w:shd w:val="clear" w:color="auto" w:fill="2B338D"/>
          </w:tcPr>
          <w:p>
            <w:pPr>
              <w:spacing w:after="0"/>
              <w:rPr>
                <w:sz w:val="12"/>
                <w:szCs w:val="12"/>
                <w:color w:val="auto"/>
              </w:rPr>
            </w:pPr>
          </w:p>
        </w:tc>
        <w:tc>
          <w:tcPr>
            <w:tcW w:w="440" w:type="dxa"/>
            <w:vAlign w:val="bottom"/>
            <w:shd w:val="clear" w:color="auto" w:fill="2B338D"/>
          </w:tcPr>
          <w:p>
            <w:pPr>
              <w:spacing w:after="0"/>
              <w:rPr>
                <w:sz w:val="12"/>
                <w:szCs w:val="12"/>
                <w:color w:val="auto"/>
              </w:rPr>
            </w:pPr>
          </w:p>
        </w:tc>
        <w:tc>
          <w:tcPr>
            <w:tcW w:w="1080" w:type="dxa"/>
            <w:vAlign w:val="bottom"/>
            <w:vMerge w:val="continue"/>
            <w:shd w:val="clear" w:color="auto" w:fill="2B338D"/>
          </w:tcPr>
          <w:p>
            <w:pPr>
              <w:spacing w:after="0"/>
              <w:rPr>
                <w:sz w:val="12"/>
                <w:szCs w:val="12"/>
                <w:color w:val="auto"/>
              </w:rPr>
            </w:pPr>
          </w:p>
        </w:tc>
        <w:tc>
          <w:tcPr>
            <w:tcW w:w="1240" w:type="dxa"/>
            <w:vAlign w:val="bottom"/>
            <w:vMerge w:val="continue"/>
            <w:shd w:val="clear" w:color="auto" w:fill="2B338D"/>
          </w:tcPr>
          <w:p>
            <w:pPr>
              <w:spacing w:after="0"/>
              <w:rPr>
                <w:sz w:val="12"/>
                <w:szCs w:val="12"/>
                <w:color w:val="auto"/>
              </w:rPr>
            </w:pPr>
          </w:p>
        </w:tc>
        <w:tc>
          <w:tcPr>
            <w:tcW w:w="940" w:type="dxa"/>
            <w:vAlign w:val="bottom"/>
            <w:vMerge w:val="continue"/>
            <w:shd w:val="clear" w:color="auto" w:fill="2B338D"/>
          </w:tcPr>
          <w:p>
            <w:pPr>
              <w:spacing w:after="0"/>
              <w:rPr>
                <w:sz w:val="12"/>
                <w:szCs w:val="12"/>
                <w:color w:val="auto"/>
              </w:rPr>
            </w:pPr>
          </w:p>
        </w:tc>
        <w:tc>
          <w:tcPr>
            <w:tcW w:w="860" w:type="dxa"/>
            <w:vAlign w:val="bottom"/>
            <w:vMerge w:val="restart"/>
            <w:shd w:val="clear" w:color="auto" w:fill="2B338D"/>
          </w:tcPr>
          <w:p>
            <w:pPr>
              <w:jc w:val="center"/>
              <w:spacing w:after="0"/>
              <w:rPr>
                <w:sz w:val="20"/>
                <w:szCs w:val="20"/>
                <w:color w:val="auto"/>
              </w:rPr>
            </w:pPr>
            <w:r>
              <w:rPr>
                <w:rFonts w:ascii="Arial" w:cs="Arial" w:eastAsia="Arial" w:hAnsi="Arial"/>
                <w:sz w:val="14"/>
                <w:szCs w:val="14"/>
                <w:b w:val="1"/>
                <w:bCs w:val="1"/>
                <w:color w:val="FFFFFF"/>
              </w:rPr>
              <w:t>Option</w:t>
            </w:r>
          </w:p>
        </w:tc>
        <w:tc>
          <w:tcPr>
            <w:tcW w:w="1980" w:type="dxa"/>
            <w:vAlign w:val="bottom"/>
            <w:gridSpan w:val="2"/>
            <w:shd w:val="clear" w:color="auto" w:fill="2B338D"/>
          </w:tcPr>
          <w:p>
            <w:pPr>
              <w:jc w:val="right"/>
              <w:ind w:right="29"/>
              <w:spacing w:after="0" w:line="140" w:lineRule="exact"/>
              <w:rPr>
                <w:sz w:val="20"/>
                <w:szCs w:val="20"/>
                <w:color w:val="auto"/>
              </w:rPr>
            </w:pPr>
            <w:r>
              <w:rPr>
                <w:rFonts w:ascii="Arial" w:cs="Arial" w:eastAsia="Arial" w:hAnsi="Arial"/>
                <w:sz w:val="16"/>
                <w:szCs w:val="16"/>
                <w:b w:val="1"/>
                <w:bCs w:val="1"/>
                <w:color w:val="FFFFFF"/>
                <w:vertAlign w:val="superscript"/>
              </w:rPr>
              <w:t>Stock That</w:t>
            </w:r>
            <w:r>
              <w:rPr>
                <w:rFonts w:ascii="Arial" w:cs="Arial" w:eastAsia="Arial" w:hAnsi="Arial"/>
                <w:sz w:val="10"/>
                <w:szCs w:val="10"/>
                <w:b w:val="1"/>
                <w:bCs w:val="1"/>
                <w:color w:val="FFFFFF"/>
              </w:rPr>
              <w:t xml:space="preserve"> That Have Not</w:t>
            </w:r>
          </w:p>
        </w:tc>
        <w:tc>
          <w:tcPr>
            <w:tcW w:w="1320" w:type="dxa"/>
            <w:vAlign w:val="bottom"/>
            <w:vMerge w:val="continue"/>
            <w:shd w:val="clear" w:color="auto" w:fill="2B338D"/>
          </w:tcPr>
          <w:p>
            <w:pPr>
              <w:spacing w:after="0"/>
              <w:rPr>
                <w:sz w:val="12"/>
                <w:szCs w:val="12"/>
                <w:color w:val="auto"/>
              </w:rPr>
            </w:pPr>
          </w:p>
        </w:tc>
        <w:tc>
          <w:tcPr>
            <w:tcW w:w="1320" w:type="dxa"/>
            <w:vAlign w:val="bottom"/>
            <w:vMerge w:val="continue"/>
            <w:shd w:val="clear" w:color="auto" w:fill="2B338D"/>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100" w:type="dxa"/>
            <w:vAlign w:val="bottom"/>
            <w:shd w:val="clear" w:color="auto" w:fill="000000"/>
          </w:tcPr>
          <w:p>
            <w:pPr>
              <w:spacing w:after="0"/>
              <w:rPr>
                <w:sz w:val="12"/>
                <w:szCs w:val="12"/>
                <w:color w:val="auto"/>
              </w:rPr>
            </w:pPr>
          </w:p>
        </w:tc>
        <w:tc>
          <w:tcPr>
            <w:tcW w:w="960" w:type="dxa"/>
            <w:vAlign w:val="bottom"/>
            <w:shd w:val="clear" w:color="auto" w:fill="2B338D"/>
          </w:tcPr>
          <w:p>
            <w:pPr>
              <w:spacing w:after="0"/>
              <w:rPr>
                <w:sz w:val="12"/>
                <w:szCs w:val="12"/>
                <w:color w:val="auto"/>
              </w:rPr>
            </w:pPr>
          </w:p>
        </w:tc>
        <w:tc>
          <w:tcPr>
            <w:tcW w:w="440" w:type="dxa"/>
            <w:vAlign w:val="bottom"/>
            <w:shd w:val="clear" w:color="auto" w:fill="2B338D"/>
          </w:tcPr>
          <w:p>
            <w:pPr>
              <w:spacing w:after="0"/>
              <w:rPr>
                <w:sz w:val="12"/>
                <w:szCs w:val="12"/>
                <w:color w:val="auto"/>
              </w:rPr>
            </w:pPr>
          </w:p>
        </w:tc>
        <w:tc>
          <w:tcPr>
            <w:tcW w:w="1080" w:type="dxa"/>
            <w:vAlign w:val="bottom"/>
            <w:shd w:val="clear" w:color="auto" w:fill="2B338D"/>
          </w:tcPr>
          <w:p>
            <w:pPr>
              <w:jc w:val="center"/>
              <w:spacing w:after="0" w:line="144" w:lineRule="exact"/>
              <w:rPr>
                <w:sz w:val="20"/>
                <w:szCs w:val="20"/>
                <w:color w:val="auto"/>
              </w:rPr>
            </w:pPr>
            <w:r>
              <w:rPr>
                <w:rFonts w:ascii="Arial" w:cs="Arial" w:eastAsia="Arial" w:hAnsi="Arial"/>
                <w:sz w:val="14"/>
                <w:szCs w:val="14"/>
                <w:b w:val="1"/>
                <w:bCs w:val="1"/>
                <w:color w:val="FFFFFF"/>
              </w:rPr>
              <w:t>Options</w:t>
            </w:r>
          </w:p>
        </w:tc>
        <w:tc>
          <w:tcPr>
            <w:tcW w:w="1240" w:type="dxa"/>
            <w:vAlign w:val="bottom"/>
            <w:shd w:val="clear" w:color="auto" w:fill="2B338D"/>
          </w:tcPr>
          <w:p>
            <w:pPr>
              <w:jc w:val="center"/>
              <w:spacing w:after="0" w:line="144" w:lineRule="exact"/>
              <w:rPr>
                <w:sz w:val="20"/>
                <w:szCs w:val="20"/>
                <w:color w:val="auto"/>
              </w:rPr>
            </w:pPr>
            <w:r>
              <w:rPr>
                <w:rFonts w:ascii="Arial" w:cs="Arial" w:eastAsia="Arial" w:hAnsi="Arial"/>
                <w:sz w:val="14"/>
                <w:szCs w:val="14"/>
                <w:b w:val="1"/>
                <w:bCs w:val="1"/>
                <w:color w:val="FFFFFF"/>
              </w:rPr>
              <w:t>Options</w:t>
            </w:r>
          </w:p>
        </w:tc>
        <w:tc>
          <w:tcPr>
            <w:tcW w:w="940" w:type="dxa"/>
            <w:vAlign w:val="bottom"/>
            <w:shd w:val="clear" w:color="auto" w:fill="2B338D"/>
          </w:tcPr>
          <w:p>
            <w:pPr>
              <w:jc w:val="right"/>
              <w:ind w:right="128"/>
              <w:spacing w:after="0" w:line="144" w:lineRule="exact"/>
              <w:rPr>
                <w:sz w:val="20"/>
                <w:szCs w:val="20"/>
                <w:color w:val="auto"/>
              </w:rPr>
            </w:pPr>
            <w:r>
              <w:rPr>
                <w:rFonts w:ascii="Arial" w:cs="Arial" w:eastAsia="Arial" w:hAnsi="Arial"/>
                <w:sz w:val="14"/>
                <w:szCs w:val="14"/>
                <w:b w:val="1"/>
                <w:bCs w:val="1"/>
                <w:color w:val="FFFFFF"/>
              </w:rPr>
              <w:t>Exercise</w:t>
            </w:r>
          </w:p>
        </w:tc>
        <w:tc>
          <w:tcPr>
            <w:tcW w:w="860" w:type="dxa"/>
            <w:vAlign w:val="bottom"/>
            <w:vMerge w:val="continue"/>
            <w:shd w:val="clear" w:color="auto" w:fill="2B338D"/>
          </w:tcPr>
          <w:p>
            <w:pPr>
              <w:spacing w:after="0"/>
              <w:rPr>
                <w:sz w:val="12"/>
                <w:szCs w:val="12"/>
                <w:color w:val="auto"/>
              </w:rPr>
            </w:pPr>
          </w:p>
        </w:tc>
        <w:tc>
          <w:tcPr>
            <w:tcW w:w="880" w:type="dxa"/>
            <w:vAlign w:val="bottom"/>
            <w:shd w:val="clear" w:color="auto" w:fill="2B338D"/>
          </w:tcPr>
          <w:p>
            <w:pPr>
              <w:jc w:val="center"/>
              <w:spacing w:after="0" w:line="144" w:lineRule="exact"/>
              <w:rPr>
                <w:sz w:val="20"/>
                <w:szCs w:val="20"/>
                <w:color w:val="auto"/>
              </w:rPr>
            </w:pPr>
            <w:r>
              <w:rPr>
                <w:rFonts w:ascii="Arial" w:cs="Arial" w:eastAsia="Arial" w:hAnsi="Arial"/>
                <w:sz w:val="14"/>
                <w:szCs w:val="14"/>
                <w:b w:val="1"/>
                <w:bCs w:val="1"/>
                <w:color w:val="FFFFFF"/>
              </w:rPr>
              <w:t>Have Not</w:t>
            </w:r>
          </w:p>
        </w:tc>
        <w:tc>
          <w:tcPr>
            <w:tcW w:w="1100" w:type="dxa"/>
            <w:vAlign w:val="bottom"/>
            <w:vMerge w:val="restart"/>
            <w:shd w:val="clear" w:color="auto" w:fill="2B338D"/>
          </w:tcPr>
          <w:p>
            <w:pPr>
              <w:jc w:val="right"/>
              <w:ind w:right="29"/>
              <w:spacing w:after="0"/>
              <w:rPr>
                <w:sz w:val="20"/>
                <w:szCs w:val="20"/>
                <w:color w:val="auto"/>
              </w:rPr>
            </w:pPr>
            <w:r>
              <w:rPr>
                <w:rFonts w:ascii="Arial" w:cs="Arial" w:eastAsia="Arial" w:hAnsi="Arial"/>
                <w:sz w:val="14"/>
                <w:szCs w:val="14"/>
                <w:b w:val="1"/>
                <w:bCs w:val="1"/>
                <w:color w:val="FFFFFF"/>
              </w:rPr>
              <w:t>Vested</w:t>
            </w:r>
          </w:p>
        </w:tc>
        <w:tc>
          <w:tcPr>
            <w:tcW w:w="1320" w:type="dxa"/>
            <w:vAlign w:val="bottom"/>
            <w:shd w:val="clear" w:color="auto" w:fill="2B338D"/>
          </w:tcPr>
          <w:p>
            <w:pPr>
              <w:jc w:val="center"/>
              <w:spacing w:after="0" w:line="144" w:lineRule="exact"/>
              <w:rPr>
                <w:sz w:val="20"/>
                <w:szCs w:val="20"/>
                <w:color w:val="auto"/>
              </w:rPr>
            </w:pPr>
            <w:r>
              <w:rPr>
                <w:rFonts w:ascii="Arial" w:cs="Arial" w:eastAsia="Arial" w:hAnsi="Arial"/>
                <w:sz w:val="14"/>
                <w:szCs w:val="14"/>
                <w:b w:val="1"/>
                <w:bCs w:val="1"/>
                <w:color w:val="FFFFFF"/>
              </w:rPr>
              <w:t>or Units That</w:t>
            </w:r>
          </w:p>
        </w:tc>
        <w:tc>
          <w:tcPr>
            <w:tcW w:w="1320" w:type="dxa"/>
            <w:vAlign w:val="bottom"/>
            <w:shd w:val="clear" w:color="auto" w:fill="2B338D"/>
          </w:tcPr>
          <w:p>
            <w:pPr>
              <w:jc w:val="right"/>
              <w:ind w:right="48"/>
              <w:spacing w:after="0" w:line="144" w:lineRule="exact"/>
              <w:rPr>
                <w:sz w:val="20"/>
                <w:szCs w:val="20"/>
                <w:color w:val="auto"/>
              </w:rPr>
            </w:pPr>
            <w:r>
              <w:rPr>
                <w:rFonts w:ascii="Arial" w:cs="Arial" w:eastAsia="Arial" w:hAnsi="Arial"/>
                <w:sz w:val="14"/>
                <w:szCs w:val="14"/>
                <w:b w:val="1"/>
                <w:bCs w:val="1"/>
                <w:color w:val="FFFFFF"/>
              </w:rPr>
              <w:t>or That Have Not</w:t>
            </w:r>
          </w:p>
        </w:tc>
        <w:tc>
          <w:tcPr>
            <w:tcW w:w="0" w:type="dxa"/>
            <w:vAlign w:val="bottom"/>
          </w:tcPr>
          <w:p>
            <w:pPr>
              <w:spacing w:after="0"/>
              <w:rPr>
                <w:sz w:val="1"/>
                <w:szCs w:val="1"/>
                <w:color w:val="auto"/>
              </w:rPr>
            </w:pPr>
          </w:p>
        </w:tc>
      </w:tr>
      <w:tr>
        <w:trPr>
          <w:trHeight w:val="82"/>
        </w:trPr>
        <w:tc>
          <w:tcPr>
            <w:tcW w:w="1100" w:type="dxa"/>
            <w:vAlign w:val="bottom"/>
            <w:shd w:val="clear" w:color="auto" w:fill="000000"/>
          </w:tcPr>
          <w:p>
            <w:pPr>
              <w:spacing w:after="0"/>
              <w:rPr>
                <w:sz w:val="7"/>
                <w:szCs w:val="7"/>
                <w:color w:val="auto"/>
              </w:rPr>
            </w:pPr>
          </w:p>
        </w:tc>
        <w:tc>
          <w:tcPr>
            <w:tcW w:w="960" w:type="dxa"/>
            <w:vAlign w:val="bottom"/>
            <w:shd w:val="clear" w:color="auto" w:fill="2B338D"/>
          </w:tcPr>
          <w:p>
            <w:pPr>
              <w:spacing w:after="0"/>
              <w:rPr>
                <w:sz w:val="7"/>
                <w:szCs w:val="7"/>
                <w:color w:val="auto"/>
              </w:rPr>
            </w:pPr>
          </w:p>
        </w:tc>
        <w:tc>
          <w:tcPr>
            <w:tcW w:w="440" w:type="dxa"/>
            <w:vAlign w:val="bottom"/>
            <w:shd w:val="clear" w:color="auto" w:fill="2B338D"/>
          </w:tcPr>
          <w:p>
            <w:pPr>
              <w:spacing w:after="0"/>
              <w:rPr>
                <w:sz w:val="7"/>
                <w:szCs w:val="7"/>
                <w:color w:val="auto"/>
              </w:rPr>
            </w:pPr>
          </w:p>
        </w:tc>
        <w:tc>
          <w:tcPr>
            <w:tcW w:w="1080" w:type="dxa"/>
            <w:vAlign w:val="bottom"/>
            <w:vMerge w:val="restart"/>
            <w:shd w:val="clear" w:color="auto" w:fill="2B338D"/>
          </w:tcPr>
          <w:p>
            <w:pPr>
              <w:jc w:val="center"/>
              <w:spacing w:after="0"/>
              <w:rPr>
                <w:sz w:val="20"/>
                <w:szCs w:val="20"/>
                <w:color w:val="auto"/>
              </w:rPr>
            </w:pPr>
            <w:r>
              <w:rPr>
                <w:rFonts w:ascii="Arial" w:cs="Arial" w:eastAsia="Arial" w:hAnsi="Arial"/>
                <w:sz w:val="14"/>
                <w:szCs w:val="14"/>
                <w:b w:val="1"/>
                <w:bCs w:val="1"/>
                <w:color w:val="FFFFFF"/>
              </w:rPr>
              <w:t>Exercisable</w:t>
            </w:r>
          </w:p>
        </w:tc>
        <w:tc>
          <w:tcPr>
            <w:tcW w:w="1240" w:type="dxa"/>
            <w:vAlign w:val="bottom"/>
            <w:vMerge w:val="restart"/>
            <w:shd w:val="clear" w:color="auto" w:fill="2B338D"/>
          </w:tcPr>
          <w:p>
            <w:pPr>
              <w:jc w:val="center"/>
              <w:spacing w:after="0"/>
              <w:rPr>
                <w:sz w:val="20"/>
                <w:szCs w:val="20"/>
                <w:color w:val="auto"/>
              </w:rPr>
            </w:pPr>
            <w:r>
              <w:rPr>
                <w:rFonts w:ascii="Arial" w:cs="Arial" w:eastAsia="Arial" w:hAnsi="Arial"/>
                <w:sz w:val="14"/>
                <w:szCs w:val="14"/>
                <w:b w:val="1"/>
                <w:bCs w:val="1"/>
                <w:color w:val="FFFFFF"/>
              </w:rPr>
              <w:t>Unexercisable</w:t>
            </w:r>
          </w:p>
        </w:tc>
        <w:tc>
          <w:tcPr>
            <w:tcW w:w="940" w:type="dxa"/>
            <w:vAlign w:val="bottom"/>
            <w:vMerge w:val="restart"/>
            <w:shd w:val="clear" w:color="auto" w:fill="2B338D"/>
          </w:tcPr>
          <w:p>
            <w:pPr>
              <w:jc w:val="right"/>
              <w:ind w:right="168"/>
              <w:spacing w:after="0"/>
              <w:rPr>
                <w:sz w:val="20"/>
                <w:szCs w:val="20"/>
                <w:color w:val="auto"/>
              </w:rPr>
            </w:pPr>
            <w:r>
              <w:rPr>
                <w:rFonts w:ascii="Arial" w:cs="Arial" w:eastAsia="Arial" w:hAnsi="Arial"/>
                <w:sz w:val="14"/>
                <w:szCs w:val="14"/>
                <w:b w:val="1"/>
                <w:bCs w:val="1"/>
                <w:color w:val="FFFFFF"/>
              </w:rPr>
              <w:t>Price</w:t>
            </w:r>
          </w:p>
        </w:tc>
        <w:tc>
          <w:tcPr>
            <w:tcW w:w="860" w:type="dxa"/>
            <w:vAlign w:val="bottom"/>
            <w:vMerge w:val="restart"/>
            <w:shd w:val="clear" w:color="auto" w:fill="2B338D"/>
          </w:tcPr>
          <w:p>
            <w:pPr>
              <w:jc w:val="center"/>
              <w:spacing w:after="0"/>
              <w:rPr>
                <w:sz w:val="20"/>
                <w:szCs w:val="20"/>
                <w:color w:val="auto"/>
              </w:rPr>
            </w:pPr>
            <w:r>
              <w:rPr>
                <w:rFonts w:ascii="Arial" w:cs="Arial" w:eastAsia="Arial" w:hAnsi="Arial"/>
                <w:sz w:val="14"/>
                <w:szCs w:val="14"/>
                <w:b w:val="1"/>
                <w:bCs w:val="1"/>
                <w:color w:val="FFFFFF"/>
              </w:rPr>
              <w:t>Expiration</w:t>
            </w:r>
          </w:p>
        </w:tc>
        <w:tc>
          <w:tcPr>
            <w:tcW w:w="880" w:type="dxa"/>
            <w:vAlign w:val="bottom"/>
            <w:vMerge w:val="restart"/>
            <w:shd w:val="clear" w:color="auto" w:fill="2B338D"/>
          </w:tcPr>
          <w:p>
            <w:pPr>
              <w:jc w:val="center"/>
              <w:spacing w:after="0"/>
              <w:rPr>
                <w:sz w:val="20"/>
                <w:szCs w:val="20"/>
                <w:color w:val="auto"/>
              </w:rPr>
            </w:pPr>
            <w:r>
              <w:rPr>
                <w:rFonts w:ascii="Arial" w:cs="Arial" w:eastAsia="Arial" w:hAnsi="Arial"/>
                <w:sz w:val="14"/>
                <w:szCs w:val="14"/>
                <w:b w:val="1"/>
                <w:bCs w:val="1"/>
                <w:color w:val="FFFFFF"/>
              </w:rPr>
              <w:t>Vested</w:t>
            </w:r>
          </w:p>
        </w:tc>
        <w:tc>
          <w:tcPr>
            <w:tcW w:w="1100" w:type="dxa"/>
            <w:vAlign w:val="bottom"/>
            <w:vMerge w:val="continue"/>
            <w:shd w:val="clear" w:color="auto" w:fill="2B338D"/>
          </w:tcPr>
          <w:p>
            <w:pPr>
              <w:spacing w:after="0"/>
              <w:rPr>
                <w:sz w:val="7"/>
                <w:szCs w:val="7"/>
                <w:color w:val="auto"/>
              </w:rPr>
            </w:pPr>
          </w:p>
        </w:tc>
        <w:tc>
          <w:tcPr>
            <w:tcW w:w="1320" w:type="dxa"/>
            <w:vAlign w:val="bottom"/>
            <w:vMerge w:val="restart"/>
            <w:shd w:val="clear" w:color="auto" w:fill="2B338D"/>
          </w:tcPr>
          <w:p>
            <w:pPr>
              <w:jc w:val="center"/>
              <w:spacing w:after="0"/>
              <w:rPr>
                <w:sz w:val="20"/>
                <w:szCs w:val="20"/>
                <w:color w:val="auto"/>
              </w:rPr>
            </w:pPr>
            <w:r>
              <w:rPr>
                <w:rFonts w:ascii="Arial" w:cs="Arial" w:eastAsia="Arial" w:hAnsi="Arial"/>
                <w:sz w:val="14"/>
                <w:szCs w:val="14"/>
                <w:b w:val="1"/>
                <w:bCs w:val="1"/>
                <w:color w:val="FFFFFF"/>
              </w:rPr>
              <w:t>Have Not Vested</w:t>
            </w:r>
          </w:p>
        </w:tc>
        <w:tc>
          <w:tcPr>
            <w:tcW w:w="1320" w:type="dxa"/>
            <w:vAlign w:val="bottom"/>
            <w:vMerge w:val="restart"/>
            <w:shd w:val="clear" w:color="auto" w:fill="2B338D"/>
          </w:tcPr>
          <w:p>
            <w:pPr>
              <w:jc w:val="right"/>
              <w:ind w:right="88"/>
              <w:spacing w:after="0"/>
              <w:rPr>
                <w:sz w:val="20"/>
                <w:szCs w:val="20"/>
                <w:color w:val="auto"/>
              </w:rPr>
            </w:pPr>
            <w:r>
              <w:rPr>
                <w:rFonts w:ascii="Arial" w:cs="Arial" w:eastAsia="Arial" w:hAnsi="Arial"/>
                <w:sz w:val="14"/>
                <w:szCs w:val="14"/>
                <w:b w:val="1"/>
                <w:bCs w:val="1"/>
                <w:color w:val="FFFFFF"/>
              </w:rPr>
              <w:t>Vested</w:t>
            </w:r>
          </w:p>
        </w:tc>
        <w:tc>
          <w:tcPr>
            <w:tcW w:w="0" w:type="dxa"/>
            <w:vAlign w:val="bottom"/>
          </w:tcPr>
          <w:p>
            <w:pPr>
              <w:spacing w:after="0"/>
              <w:rPr>
                <w:sz w:val="1"/>
                <w:szCs w:val="1"/>
                <w:color w:val="auto"/>
              </w:rPr>
            </w:pPr>
          </w:p>
        </w:tc>
      </w:tr>
      <w:tr>
        <w:trPr>
          <w:trHeight w:val="80"/>
        </w:trPr>
        <w:tc>
          <w:tcPr>
            <w:tcW w:w="1100" w:type="dxa"/>
            <w:vAlign w:val="bottom"/>
            <w:vMerge w:val="restart"/>
            <w:shd w:val="clear" w:color="auto" w:fill="000000"/>
          </w:tcPr>
          <w:p>
            <w:pPr>
              <w:ind w:left="100"/>
              <w:spacing w:after="0"/>
              <w:rPr>
                <w:sz w:val="20"/>
                <w:szCs w:val="20"/>
                <w:color w:val="auto"/>
              </w:rPr>
            </w:pPr>
            <w:r>
              <w:rPr>
                <w:rFonts w:ascii="Arial" w:cs="Arial" w:eastAsia="Arial" w:hAnsi="Arial"/>
                <w:sz w:val="16"/>
                <w:szCs w:val="16"/>
                <w:b w:val="1"/>
                <w:bCs w:val="1"/>
                <w:color w:val="FFFFFF"/>
              </w:rPr>
              <w:t>Name</w:t>
            </w:r>
          </w:p>
        </w:tc>
        <w:tc>
          <w:tcPr>
            <w:tcW w:w="960" w:type="dxa"/>
            <w:vAlign w:val="bottom"/>
            <w:shd w:val="clear" w:color="auto" w:fill="2B338D"/>
          </w:tcPr>
          <w:p>
            <w:pPr>
              <w:spacing w:after="0"/>
              <w:rPr>
                <w:sz w:val="6"/>
                <w:szCs w:val="6"/>
                <w:color w:val="auto"/>
              </w:rPr>
            </w:pPr>
          </w:p>
        </w:tc>
        <w:tc>
          <w:tcPr>
            <w:tcW w:w="440" w:type="dxa"/>
            <w:vAlign w:val="bottom"/>
            <w:shd w:val="clear" w:color="auto" w:fill="2B338D"/>
          </w:tcPr>
          <w:p>
            <w:pPr>
              <w:spacing w:after="0"/>
              <w:rPr>
                <w:sz w:val="6"/>
                <w:szCs w:val="6"/>
                <w:color w:val="auto"/>
              </w:rPr>
            </w:pPr>
          </w:p>
        </w:tc>
        <w:tc>
          <w:tcPr>
            <w:tcW w:w="1080" w:type="dxa"/>
            <w:vAlign w:val="bottom"/>
            <w:vMerge w:val="continue"/>
            <w:shd w:val="clear" w:color="auto" w:fill="2B338D"/>
          </w:tcPr>
          <w:p>
            <w:pPr>
              <w:spacing w:after="0"/>
              <w:rPr>
                <w:sz w:val="6"/>
                <w:szCs w:val="6"/>
                <w:color w:val="auto"/>
              </w:rPr>
            </w:pPr>
          </w:p>
        </w:tc>
        <w:tc>
          <w:tcPr>
            <w:tcW w:w="1240" w:type="dxa"/>
            <w:vAlign w:val="bottom"/>
            <w:vMerge w:val="continue"/>
            <w:shd w:val="clear" w:color="auto" w:fill="2B338D"/>
          </w:tcPr>
          <w:p>
            <w:pPr>
              <w:spacing w:after="0"/>
              <w:rPr>
                <w:sz w:val="6"/>
                <w:szCs w:val="6"/>
                <w:color w:val="auto"/>
              </w:rPr>
            </w:pPr>
          </w:p>
        </w:tc>
        <w:tc>
          <w:tcPr>
            <w:tcW w:w="940" w:type="dxa"/>
            <w:vAlign w:val="bottom"/>
            <w:vMerge w:val="continue"/>
            <w:shd w:val="clear" w:color="auto" w:fill="2B338D"/>
          </w:tcPr>
          <w:p>
            <w:pPr>
              <w:spacing w:after="0"/>
              <w:rPr>
                <w:sz w:val="6"/>
                <w:szCs w:val="6"/>
                <w:color w:val="auto"/>
              </w:rPr>
            </w:pPr>
          </w:p>
        </w:tc>
        <w:tc>
          <w:tcPr>
            <w:tcW w:w="860" w:type="dxa"/>
            <w:vAlign w:val="bottom"/>
            <w:vMerge w:val="continue"/>
            <w:shd w:val="clear" w:color="auto" w:fill="2B338D"/>
          </w:tcPr>
          <w:p>
            <w:pPr>
              <w:spacing w:after="0"/>
              <w:rPr>
                <w:sz w:val="6"/>
                <w:szCs w:val="6"/>
                <w:color w:val="auto"/>
              </w:rPr>
            </w:pPr>
          </w:p>
        </w:tc>
        <w:tc>
          <w:tcPr>
            <w:tcW w:w="880" w:type="dxa"/>
            <w:vAlign w:val="bottom"/>
            <w:vMerge w:val="continue"/>
            <w:shd w:val="clear" w:color="auto" w:fill="2B338D"/>
          </w:tcPr>
          <w:p>
            <w:pPr>
              <w:spacing w:after="0"/>
              <w:rPr>
                <w:sz w:val="6"/>
                <w:szCs w:val="6"/>
                <w:color w:val="auto"/>
              </w:rPr>
            </w:pPr>
          </w:p>
        </w:tc>
        <w:tc>
          <w:tcPr>
            <w:tcW w:w="1100" w:type="dxa"/>
            <w:vAlign w:val="bottom"/>
            <w:vMerge w:val="restart"/>
            <w:shd w:val="clear" w:color="auto" w:fill="2B338D"/>
          </w:tcPr>
          <w:p>
            <w:pPr>
              <w:jc w:val="right"/>
              <w:ind w:right="29"/>
              <w:spacing w:after="0"/>
              <w:rPr>
                <w:sz w:val="20"/>
                <w:szCs w:val="20"/>
                <w:color w:val="auto"/>
              </w:rPr>
            </w:pPr>
            <w:r>
              <w:rPr>
                <w:rFonts w:ascii="Arial" w:cs="Arial" w:eastAsia="Arial" w:hAnsi="Arial"/>
                <w:sz w:val="28"/>
                <w:szCs w:val="28"/>
                <w:b w:val="1"/>
                <w:bCs w:val="1"/>
                <w:color w:val="FFFFFF"/>
                <w:vertAlign w:val="subscript"/>
              </w:rPr>
              <w:t>($)</w:t>
            </w:r>
            <w:r>
              <w:rPr>
                <w:rFonts w:ascii="Arial" w:cs="Arial" w:eastAsia="Arial" w:hAnsi="Arial"/>
                <w:sz w:val="9"/>
                <w:szCs w:val="9"/>
                <w:b w:val="1"/>
                <w:bCs w:val="1"/>
                <w:color w:val="FFFFFF"/>
              </w:rPr>
              <w:t>(1)</w:t>
            </w:r>
          </w:p>
        </w:tc>
        <w:tc>
          <w:tcPr>
            <w:tcW w:w="1320" w:type="dxa"/>
            <w:vAlign w:val="bottom"/>
            <w:vMerge w:val="continue"/>
            <w:shd w:val="clear" w:color="auto" w:fill="2B338D"/>
          </w:tcPr>
          <w:p>
            <w:pPr>
              <w:spacing w:after="0"/>
              <w:rPr>
                <w:sz w:val="6"/>
                <w:szCs w:val="6"/>
                <w:color w:val="auto"/>
              </w:rPr>
            </w:pPr>
          </w:p>
        </w:tc>
        <w:tc>
          <w:tcPr>
            <w:tcW w:w="1320" w:type="dxa"/>
            <w:vAlign w:val="bottom"/>
            <w:vMerge w:val="continue"/>
            <w:shd w:val="clear" w:color="auto" w:fill="2B338D"/>
          </w:tcPr>
          <w:p>
            <w:pPr>
              <w:spacing w:after="0"/>
              <w:rPr>
                <w:sz w:val="6"/>
                <w:szCs w:val="6"/>
                <w:color w:val="auto"/>
              </w:rPr>
            </w:pPr>
          </w:p>
        </w:tc>
        <w:tc>
          <w:tcPr>
            <w:tcW w:w="0" w:type="dxa"/>
            <w:vAlign w:val="bottom"/>
          </w:tcPr>
          <w:p>
            <w:pPr>
              <w:spacing w:after="0"/>
              <w:rPr>
                <w:sz w:val="1"/>
                <w:szCs w:val="1"/>
                <w:color w:val="auto"/>
              </w:rPr>
            </w:pPr>
          </w:p>
        </w:tc>
      </w:tr>
      <w:tr>
        <w:trPr>
          <w:trHeight w:val="256"/>
        </w:trPr>
        <w:tc>
          <w:tcPr>
            <w:tcW w:w="1100" w:type="dxa"/>
            <w:vAlign w:val="bottom"/>
            <w:vMerge w:val="continue"/>
            <w:shd w:val="clear" w:color="auto" w:fill="000000"/>
          </w:tcPr>
          <w:p>
            <w:pPr>
              <w:spacing w:after="0"/>
              <w:rPr>
                <w:sz w:val="22"/>
                <w:szCs w:val="22"/>
                <w:color w:val="auto"/>
              </w:rPr>
            </w:pPr>
          </w:p>
        </w:tc>
        <w:tc>
          <w:tcPr>
            <w:tcW w:w="1400" w:type="dxa"/>
            <w:vAlign w:val="bottom"/>
            <w:gridSpan w:val="2"/>
            <w:shd w:val="clear" w:color="auto" w:fill="2B338D"/>
          </w:tcPr>
          <w:p>
            <w:pPr>
              <w:ind w:left="340"/>
              <w:spacing w:after="0"/>
              <w:rPr>
                <w:sz w:val="20"/>
                <w:szCs w:val="20"/>
                <w:color w:val="auto"/>
              </w:rPr>
            </w:pPr>
            <w:r>
              <w:rPr>
                <w:rFonts w:ascii="Arial" w:cs="Arial" w:eastAsia="Arial" w:hAnsi="Arial"/>
                <w:sz w:val="14"/>
                <w:szCs w:val="14"/>
                <w:b w:val="1"/>
                <w:bCs w:val="1"/>
                <w:color w:val="FFFFFF"/>
              </w:rPr>
              <w:t>Grant Date</w:t>
            </w:r>
          </w:p>
        </w:tc>
        <w:tc>
          <w:tcPr>
            <w:tcW w:w="1080" w:type="dxa"/>
            <w:vAlign w:val="bottom"/>
            <w:shd w:val="clear" w:color="auto" w:fill="2B338D"/>
          </w:tcPr>
          <w:p>
            <w:pPr>
              <w:jc w:val="center"/>
              <w:spacing w:after="0"/>
              <w:rPr>
                <w:sz w:val="20"/>
                <w:szCs w:val="20"/>
                <w:color w:val="auto"/>
              </w:rPr>
            </w:pPr>
            <w:r>
              <w:rPr>
                <w:rFonts w:ascii="Arial" w:cs="Arial" w:eastAsia="Arial" w:hAnsi="Arial"/>
                <w:sz w:val="14"/>
                <w:szCs w:val="14"/>
                <w:b w:val="1"/>
                <w:bCs w:val="1"/>
                <w:color w:val="FFFFFF"/>
              </w:rPr>
              <w:t>(#)</w:t>
            </w:r>
          </w:p>
        </w:tc>
        <w:tc>
          <w:tcPr>
            <w:tcW w:w="1240" w:type="dxa"/>
            <w:vAlign w:val="bottom"/>
            <w:shd w:val="clear" w:color="auto" w:fill="2B338D"/>
          </w:tcPr>
          <w:p>
            <w:pPr>
              <w:jc w:val="center"/>
              <w:spacing w:after="0"/>
              <w:rPr>
                <w:sz w:val="20"/>
                <w:szCs w:val="20"/>
                <w:color w:val="auto"/>
              </w:rPr>
            </w:pPr>
            <w:r>
              <w:rPr>
                <w:rFonts w:ascii="Arial" w:cs="Arial" w:eastAsia="Arial" w:hAnsi="Arial"/>
                <w:sz w:val="14"/>
                <w:szCs w:val="14"/>
                <w:b w:val="1"/>
                <w:bCs w:val="1"/>
                <w:color w:val="FFFFFF"/>
              </w:rPr>
              <w:t>(#)</w:t>
            </w:r>
          </w:p>
        </w:tc>
        <w:tc>
          <w:tcPr>
            <w:tcW w:w="940" w:type="dxa"/>
            <w:vAlign w:val="bottom"/>
            <w:shd w:val="clear" w:color="auto" w:fill="2B338D"/>
          </w:tcPr>
          <w:p>
            <w:pPr>
              <w:jc w:val="right"/>
              <w:ind w:right="128"/>
              <w:spacing w:after="0"/>
              <w:rPr>
                <w:sz w:val="20"/>
                <w:szCs w:val="20"/>
                <w:color w:val="auto"/>
              </w:rPr>
            </w:pPr>
            <w:r>
              <w:rPr>
                <w:rFonts w:ascii="Arial" w:cs="Arial" w:eastAsia="Arial" w:hAnsi="Arial"/>
                <w:sz w:val="14"/>
                <w:szCs w:val="14"/>
                <w:b w:val="1"/>
                <w:bCs w:val="1"/>
                <w:color w:val="FFFFFF"/>
              </w:rPr>
              <w:t>($)</w:t>
            </w:r>
          </w:p>
        </w:tc>
        <w:tc>
          <w:tcPr>
            <w:tcW w:w="860" w:type="dxa"/>
            <w:vAlign w:val="bottom"/>
            <w:shd w:val="clear" w:color="auto" w:fill="2B338D"/>
          </w:tcPr>
          <w:p>
            <w:pPr>
              <w:jc w:val="center"/>
              <w:spacing w:after="0"/>
              <w:rPr>
                <w:sz w:val="20"/>
                <w:szCs w:val="20"/>
                <w:color w:val="auto"/>
              </w:rPr>
            </w:pPr>
            <w:r>
              <w:rPr>
                <w:rFonts w:ascii="Arial" w:cs="Arial" w:eastAsia="Arial" w:hAnsi="Arial"/>
                <w:sz w:val="14"/>
                <w:szCs w:val="14"/>
                <w:b w:val="1"/>
                <w:bCs w:val="1"/>
                <w:color w:val="FFFFFF"/>
              </w:rPr>
              <w:t>Date</w:t>
            </w:r>
          </w:p>
        </w:tc>
        <w:tc>
          <w:tcPr>
            <w:tcW w:w="880" w:type="dxa"/>
            <w:vAlign w:val="bottom"/>
            <w:shd w:val="clear" w:color="auto" w:fill="2B338D"/>
          </w:tcPr>
          <w:p>
            <w:pPr>
              <w:jc w:val="center"/>
              <w:spacing w:after="0"/>
              <w:rPr>
                <w:sz w:val="20"/>
                <w:szCs w:val="20"/>
                <w:color w:val="auto"/>
              </w:rPr>
            </w:pPr>
            <w:r>
              <w:rPr>
                <w:rFonts w:ascii="Arial" w:cs="Arial" w:eastAsia="Arial" w:hAnsi="Arial"/>
                <w:sz w:val="14"/>
                <w:szCs w:val="14"/>
                <w:b w:val="1"/>
                <w:bCs w:val="1"/>
                <w:color w:val="FFFFFF"/>
                <w:w w:val="93"/>
              </w:rPr>
              <w:t>(#)</w:t>
            </w:r>
          </w:p>
        </w:tc>
        <w:tc>
          <w:tcPr>
            <w:tcW w:w="1100" w:type="dxa"/>
            <w:vAlign w:val="bottom"/>
            <w:vMerge w:val="continue"/>
            <w:shd w:val="clear" w:color="auto" w:fill="2B338D"/>
          </w:tcPr>
          <w:p>
            <w:pPr>
              <w:spacing w:after="0"/>
              <w:rPr>
                <w:sz w:val="22"/>
                <w:szCs w:val="22"/>
                <w:color w:val="auto"/>
              </w:rPr>
            </w:pPr>
          </w:p>
        </w:tc>
        <w:tc>
          <w:tcPr>
            <w:tcW w:w="1320" w:type="dxa"/>
            <w:vAlign w:val="bottom"/>
            <w:shd w:val="clear" w:color="auto" w:fill="2B338D"/>
          </w:tcPr>
          <w:p>
            <w:pPr>
              <w:jc w:val="center"/>
              <w:spacing w:after="0"/>
              <w:rPr>
                <w:sz w:val="20"/>
                <w:szCs w:val="20"/>
                <w:color w:val="auto"/>
              </w:rPr>
            </w:pPr>
            <w:r>
              <w:rPr>
                <w:rFonts w:ascii="Arial" w:cs="Arial" w:eastAsia="Arial" w:hAnsi="Arial"/>
                <w:sz w:val="14"/>
                <w:szCs w:val="14"/>
                <w:b w:val="1"/>
                <w:bCs w:val="1"/>
                <w:color w:val="FFFFFF"/>
              </w:rPr>
              <w:t>(#)</w:t>
            </w:r>
          </w:p>
        </w:tc>
        <w:tc>
          <w:tcPr>
            <w:tcW w:w="1320" w:type="dxa"/>
            <w:vAlign w:val="bottom"/>
            <w:shd w:val="clear" w:color="auto" w:fill="2B338D"/>
          </w:tcPr>
          <w:p>
            <w:pPr>
              <w:jc w:val="right"/>
              <w:ind w:right="48"/>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44"/>
        </w:trPr>
        <w:tc>
          <w:tcPr>
            <w:tcW w:w="110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Jay Chaudhry</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10/05/2018</w:t>
            </w:r>
          </w:p>
        </w:tc>
        <w:tc>
          <w:tcPr>
            <w:tcW w:w="440" w:type="dxa"/>
            <w:vAlign w:val="bottom"/>
          </w:tcPr>
          <w:p>
            <w:pPr>
              <w:ind w:left="80"/>
              <w:spacing w:after="0"/>
              <w:rPr>
                <w:sz w:val="20"/>
                <w:szCs w:val="20"/>
                <w:color w:val="auto"/>
              </w:rPr>
            </w:pPr>
            <w:r>
              <w:rPr>
                <w:rFonts w:ascii="Arial" w:cs="Arial" w:eastAsia="Arial" w:hAnsi="Arial"/>
                <w:sz w:val="14"/>
                <w:szCs w:val="14"/>
                <w:color w:val="auto"/>
              </w:rPr>
              <w:t>(2)</w:t>
            </w:r>
          </w:p>
        </w:tc>
        <w:tc>
          <w:tcPr>
            <w:tcW w:w="1080" w:type="dxa"/>
            <w:vAlign w:val="bottom"/>
          </w:tcPr>
          <w:p>
            <w:pPr>
              <w:jc w:val="center"/>
              <w:spacing w:after="0"/>
              <w:rPr>
                <w:sz w:val="20"/>
                <w:szCs w:val="20"/>
                <w:color w:val="auto"/>
              </w:rPr>
            </w:pPr>
            <w:r>
              <w:rPr>
                <w:rFonts w:ascii="Arial" w:cs="Arial" w:eastAsia="Arial" w:hAnsi="Arial"/>
                <w:sz w:val="14"/>
                <w:szCs w:val="14"/>
                <w:color w:val="auto"/>
              </w:rPr>
              <w:t>—</w:t>
            </w:r>
          </w:p>
        </w:tc>
        <w:tc>
          <w:tcPr>
            <w:tcW w:w="12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1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320" w:type="dxa"/>
            <w:vAlign w:val="bottom"/>
          </w:tcPr>
          <w:p>
            <w:pPr>
              <w:jc w:val="center"/>
              <w:spacing w:after="0"/>
              <w:rPr>
                <w:sz w:val="20"/>
                <w:szCs w:val="20"/>
                <w:color w:val="auto"/>
              </w:rPr>
            </w:pPr>
            <w:r>
              <w:rPr>
                <w:rFonts w:ascii="Arial" w:cs="Arial" w:eastAsia="Arial" w:hAnsi="Arial"/>
                <w:sz w:val="14"/>
                <w:szCs w:val="14"/>
                <w:color w:val="auto"/>
              </w:rPr>
              <w:t>150,000</w:t>
            </w: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35,386,500</w:t>
            </w:r>
          </w:p>
        </w:tc>
        <w:tc>
          <w:tcPr>
            <w:tcW w:w="0" w:type="dxa"/>
            <w:vAlign w:val="bottom"/>
          </w:tcPr>
          <w:p>
            <w:pPr>
              <w:spacing w:after="0"/>
              <w:rPr>
                <w:sz w:val="1"/>
                <w:szCs w:val="1"/>
                <w:color w:val="auto"/>
              </w:rPr>
            </w:pPr>
          </w:p>
        </w:tc>
      </w:tr>
      <w:tr>
        <w:trPr>
          <w:trHeight w:val="80"/>
        </w:trPr>
        <w:tc>
          <w:tcPr>
            <w:tcW w:w="1100" w:type="dxa"/>
            <w:vAlign w:val="bottom"/>
            <w:vMerge w:val="continue"/>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1100" w:type="dxa"/>
            <w:vAlign w:val="bottom"/>
            <w:vMerge w:val="continue"/>
          </w:tcPr>
          <w:p>
            <w:pPr>
              <w:spacing w:after="0"/>
              <w:rPr>
                <w:sz w:val="5"/>
                <w:szCs w:val="5"/>
                <w:color w:val="auto"/>
              </w:rPr>
            </w:pPr>
          </w:p>
        </w:tc>
        <w:tc>
          <w:tcPr>
            <w:tcW w:w="960" w:type="dxa"/>
            <w:vAlign w:val="bottom"/>
            <w:vMerge w:val="restart"/>
          </w:tcPr>
          <w:p>
            <w:pPr>
              <w:jc w:val="right"/>
              <w:ind w:right="8"/>
              <w:spacing w:after="0"/>
              <w:rPr>
                <w:sz w:val="20"/>
                <w:szCs w:val="20"/>
                <w:color w:val="auto"/>
              </w:rPr>
            </w:pPr>
            <w:r>
              <w:rPr>
                <w:rFonts w:ascii="Arial" w:cs="Arial" w:eastAsia="Arial" w:hAnsi="Arial"/>
                <w:sz w:val="14"/>
                <w:szCs w:val="14"/>
                <w:color w:val="auto"/>
              </w:rPr>
              <w:t>09/08/2020</w:t>
            </w:r>
          </w:p>
        </w:tc>
        <w:tc>
          <w:tcPr>
            <w:tcW w:w="440" w:type="dxa"/>
            <w:vAlign w:val="bottom"/>
            <w:vMerge w:val="restart"/>
          </w:tcPr>
          <w:p>
            <w:pPr>
              <w:ind w:left="80"/>
              <w:spacing w:after="0"/>
              <w:rPr>
                <w:sz w:val="20"/>
                <w:szCs w:val="20"/>
                <w:color w:val="auto"/>
              </w:rPr>
            </w:pPr>
            <w:r>
              <w:rPr>
                <w:rFonts w:ascii="Arial" w:cs="Arial" w:eastAsia="Arial" w:hAnsi="Arial"/>
                <w:sz w:val="14"/>
                <w:szCs w:val="14"/>
                <w:color w:val="auto"/>
              </w:rPr>
              <w:t>(3)</w:t>
            </w:r>
          </w:p>
        </w:tc>
        <w:tc>
          <w:tcPr>
            <w:tcW w:w="108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124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94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880" w:type="dxa"/>
            <w:vAlign w:val="bottom"/>
            <w:vMerge w:val="restart"/>
          </w:tcPr>
          <w:p>
            <w:pPr>
              <w:jc w:val="center"/>
              <w:spacing w:after="0"/>
              <w:rPr>
                <w:sz w:val="20"/>
                <w:szCs w:val="20"/>
                <w:color w:val="auto"/>
              </w:rPr>
            </w:pPr>
            <w:r>
              <w:rPr>
                <w:rFonts w:ascii="Arial" w:cs="Arial" w:eastAsia="Arial" w:hAnsi="Arial"/>
                <w:sz w:val="14"/>
                <w:szCs w:val="14"/>
                <w:color w:val="auto"/>
              </w:rPr>
              <w:t>150,000</w:t>
            </w:r>
          </w:p>
        </w:tc>
        <w:tc>
          <w:tcPr>
            <w:tcW w:w="1100" w:type="dxa"/>
            <w:vAlign w:val="bottom"/>
            <w:vMerge w:val="restart"/>
          </w:tcPr>
          <w:p>
            <w:pPr>
              <w:jc w:val="right"/>
              <w:ind w:right="29"/>
              <w:spacing w:after="0"/>
              <w:rPr>
                <w:sz w:val="20"/>
                <w:szCs w:val="20"/>
                <w:color w:val="auto"/>
              </w:rPr>
            </w:pPr>
            <w:r>
              <w:rPr>
                <w:rFonts w:ascii="Arial" w:cs="Arial" w:eastAsia="Arial" w:hAnsi="Arial"/>
                <w:sz w:val="14"/>
                <w:szCs w:val="14"/>
                <w:color w:val="auto"/>
              </w:rPr>
              <w:t>35,386,500</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13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110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124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1320" w:type="dxa"/>
            <w:vAlign w:val="bottom"/>
            <w:vMerge w:val="continue"/>
          </w:tcPr>
          <w:p>
            <w:pPr>
              <w:spacing w:after="0"/>
              <w:rPr>
                <w:sz w:val="15"/>
                <w:szCs w:val="15"/>
                <w:color w:val="auto"/>
              </w:rPr>
            </w:pPr>
          </w:p>
        </w:tc>
        <w:tc>
          <w:tcPr>
            <w:tcW w:w="1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6"/>
        </w:trPr>
        <w:tc>
          <w:tcPr>
            <w:tcW w:w="11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8"/>
        </w:trPr>
        <w:tc>
          <w:tcPr>
            <w:tcW w:w="1100" w:type="dxa"/>
            <w:vAlign w:val="bottom"/>
          </w:tcPr>
          <w:p>
            <w:pPr>
              <w:spacing w:after="0"/>
              <w:rPr>
                <w:sz w:val="20"/>
                <w:szCs w:val="20"/>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10/05/2018</w:t>
            </w:r>
          </w:p>
        </w:tc>
        <w:tc>
          <w:tcPr>
            <w:tcW w:w="440" w:type="dxa"/>
            <w:vAlign w:val="bottom"/>
          </w:tcPr>
          <w:p>
            <w:pPr>
              <w:ind w:left="80"/>
              <w:spacing w:after="0"/>
              <w:rPr>
                <w:sz w:val="20"/>
                <w:szCs w:val="20"/>
                <w:color w:val="auto"/>
              </w:rPr>
            </w:pPr>
            <w:r>
              <w:rPr>
                <w:rFonts w:ascii="Arial" w:cs="Arial" w:eastAsia="Arial" w:hAnsi="Arial"/>
                <w:sz w:val="14"/>
                <w:szCs w:val="14"/>
                <w:color w:val="auto"/>
              </w:rPr>
              <w:t>(4)</w:t>
            </w:r>
          </w:p>
        </w:tc>
        <w:tc>
          <w:tcPr>
            <w:tcW w:w="1080" w:type="dxa"/>
            <w:vAlign w:val="bottom"/>
          </w:tcPr>
          <w:p>
            <w:pPr>
              <w:jc w:val="center"/>
              <w:spacing w:after="0"/>
              <w:rPr>
                <w:sz w:val="20"/>
                <w:szCs w:val="20"/>
                <w:color w:val="auto"/>
              </w:rPr>
            </w:pPr>
            <w:r>
              <w:rPr>
                <w:rFonts w:ascii="Arial" w:cs="Arial" w:eastAsia="Arial" w:hAnsi="Arial"/>
                <w:sz w:val="14"/>
                <w:szCs w:val="14"/>
                <w:color w:val="auto"/>
              </w:rPr>
              <w:t>—</w:t>
            </w:r>
          </w:p>
        </w:tc>
        <w:tc>
          <w:tcPr>
            <w:tcW w:w="12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80" w:type="dxa"/>
            <w:vAlign w:val="bottom"/>
          </w:tcPr>
          <w:p>
            <w:pPr>
              <w:jc w:val="center"/>
              <w:spacing w:after="0"/>
              <w:rPr>
                <w:sz w:val="20"/>
                <w:szCs w:val="20"/>
                <w:color w:val="auto"/>
              </w:rPr>
            </w:pPr>
            <w:r>
              <w:rPr>
                <w:rFonts w:ascii="Arial" w:cs="Arial" w:eastAsia="Arial" w:hAnsi="Arial"/>
                <w:sz w:val="14"/>
                <w:szCs w:val="14"/>
                <w:color w:val="auto"/>
              </w:rPr>
              <w:t>45,704</w:t>
            </w:r>
          </w:p>
        </w:tc>
        <w:tc>
          <w:tcPr>
            <w:tcW w:w="1100" w:type="dxa"/>
            <w:vAlign w:val="bottom"/>
          </w:tcPr>
          <w:p>
            <w:pPr>
              <w:jc w:val="right"/>
              <w:ind w:right="29"/>
              <w:spacing w:after="0"/>
              <w:rPr>
                <w:sz w:val="20"/>
                <w:szCs w:val="20"/>
                <w:color w:val="auto"/>
              </w:rPr>
            </w:pPr>
            <w:r>
              <w:rPr>
                <w:rFonts w:ascii="Arial" w:cs="Arial" w:eastAsia="Arial" w:hAnsi="Arial"/>
                <w:sz w:val="14"/>
                <w:szCs w:val="14"/>
                <w:color w:val="auto"/>
              </w:rPr>
              <w:t>10,782,031</w:t>
            </w:r>
          </w:p>
        </w:tc>
        <w:tc>
          <w:tcPr>
            <w:tcW w:w="13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6"/>
        </w:trPr>
        <w:tc>
          <w:tcPr>
            <w:tcW w:w="1100" w:type="dxa"/>
            <w:vAlign w:val="bottom"/>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8"/>
        </w:trPr>
        <w:tc>
          <w:tcPr>
            <w:tcW w:w="1100" w:type="dxa"/>
            <w:vAlign w:val="bottom"/>
          </w:tcPr>
          <w:p>
            <w:pPr>
              <w:spacing w:after="0"/>
              <w:rPr>
                <w:sz w:val="20"/>
                <w:szCs w:val="20"/>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10/31/2019</w:t>
            </w:r>
          </w:p>
        </w:tc>
        <w:tc>
          <w:tcPr>
            <w:tcW w:w="440" w:type="dxa"/>
            <w:vAlign w:val="bottom"/>
          </w:tcPr>
          <w:p>
            <w:pPr>
              <w:ind w:left="80"/>
              <w:spacing w:after="0"/>
              <w:rPr>
                <w:sz w:val="20"/>
                <w:szCs w:val="20"/>
                <w:color w:val="auto"/>
              </w:rPr>
            </w:pPr>
            <w:r>
              <w:rPr>
                <w:rFonts w:ascii="Arial" w:cs="Arial" w:eastAsia="Arial" w:hAnsi="Arial"/>
                <w:sz w:val="14"/>
                <w:szCs w:val="14"/>
                <w:color w:val="auto"/>
              </w:rPr>
              <w:t>(4)</w:t>
            </w:r>
          </w:p>
        </w:tc>
        <w:tc>
          <w:tcPr>
            <w:tcW w:w="1080" w:type="dxa"/>
            <w:vAlign w:val="bottom"/>
          </w:tcPr>
          <w:p>
            <w:pPr>
              <w:jc w:val="center"/>
              <w:spacing w:after="0"/>
              <w:rPr>
                <w:sz w:val="20"/>
                <w:szCs w:val="20"/>
                <w:color w:val="auto"/>
              </w:rPr>
            </w:pPr>
            <w:r>
              <w:rPr>
                <w:rFonts w:ascii="Arial" w:cs="Arial" w:eastAsia="Arial" w:hAnsi="Arial"/>
                <w:sz w:val="14"/>
                <w:szCs w:val="14"/>
                <w:color w:val="auto"/>
              </w:rPr>
              <w:t>—</w:t>
            </w:r>
          </w:p>
        </w:tc>
        <w:tc>
          <w:tcPr>
            <w:tcW w:w="12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80" w:type="dxa"/>
            <w:vAlign w:val="bottom"/>
          </w:tcPr>
          <w:p>
            <w:pPr>
              <w:jc w:val="center"/>
              <w:spacing w:after="0"/>
              <w:rPr>
                <w:sz w:val="20"/>
                <w:szCs w:val="20"/>
                <w:color w:val="auto"/>
              </w:rPr>
            </w:pPr>
            <w:r>
              <w:rPr>
                <w:rFonts w:ascii="Arial" w:cs="Arial" w:eastAsia="Arial" w:hAnsi="Arial"/>
                <w:sz w:val="14"/>
                <w:szCs w:val="14"/>
                <w:color w:val="auto"/>
              </w:rPr>
              <w:t>24,041</w:t>
            </w:r>
          </w:p>
        </w:tc>
        <w:tc>
          <w:tcPr>
            <w:tcW w:w="1100" w:type="dxa"/>
            <w:vAlign w:val="bottom"/>
          </w:tcPr>
          <w:p>
            <w:pPr>
              <w:jc w:val="right"/>
              <w:ind w:right="29"/>
              <w:spacing w:after="0"/>
              <w:rPr>
                <w:sz w:val="20"/>
                <w:szCs w:val="20"/>
                <w:color w:val="auto"/>
              </w:rPr>
            </w:pPr>
            <w:r>
              <w:rPr>
                <w:rFonts w:ascii="Arial" w:cs="Arial" w:eastAsia="Arial" w:hAnsi="Arial"/>
                <w:sz w:val="14"/>
                <w:szCs w:val="14"/>
                <w:color w:val="auto"/>
              </w:rPr>
              <w:t>5,671,512</w:t>
            </w:r>
          </w:p>
        </w:tc>
        <w:tc>
          <w:tcPr>
            <w:tcW w:w="13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6"/>
        </w:trPr>
        <w:tc>
          <w:tcPr>
            <w:tcW w:w="110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Remo</w:t>
            </w:r>
          </w:p>
        </w:tc>
        <w:tc>
          <w:tcPr>
            <w:tcW w:w="96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1100" w:type="dxa"/>
            <w:vAlign w:val="bottom"/>
            <w:vMerge w:val="continue"/>
          </w:tcPr>
          <w:p>
            <w:pPr>
              <w:spacing w:after="0"/>
              <w:rPr>
                <w:sz w:val="10"/>
                <w:szCs w:val="10"/>
                <w:color w:val="auto"/>
              </w:rPr>
            </w:pPr>
          </w:p>
        </w:tc>
        <w:tc>
          <w:tcPr>
            <w:tcW w:w="960" w:type="dxa"/>
            <w:vAlign w:val="bottom"/>
            <w:vMerge w:val="restart"/>
          </w:tcPr>
          <w:p>
            <w:pPr>
              <w:jc w:val="right"/>
              <w:ind w:right="8"/>
              <w:spacing w:after="0"/>
              <w:rPr>
                <w:sz w:val="20"/>
                <w:szCs w:val="20"/>
                <w:color w:val="auto"/>
              </w:rPr>
            </w:pPr>
            <w:r>
              <w:rPr>
                <w:rFonts w:ascii="Arial" w:cs="Arial" w:eastAsia="Arial" w:hAnsi="Arial"/>
                <w:sz w:val="14"/>
                <w:szCs w:val="14"/>
                <w:color w:val="auto"/>
              </w:rPr>
              <w:t>06/02/2020</w:t>
            </w:r>
          </w:p>
        </w:tc>
        <w:tc>
          <w:tcPr>
            <w:tcW w:w="440" w:type="dxa"/>
            <w:vAlign w:val="bottom"/>
            <w:vMerge w:val="restart"/>
          </w:tcPr>
          <w:p>
            <w:pPr>
              <w:ind w:left="80"/>
              <w:spacing w:after="0"/>
              <w:rPr>
                <w:sz w:val="20"/>
                <w:szCs w:val="20"/>
                <w:color w:val="auto"/>
              </w:rPr>
            </w:pPr>
            <w:r>
              <w:rPr>
                <w:rFonts w:ascii="Arial" w:cs="Arial" w:eastAsia="Arial" w:hAnsi="Arial"/>
                <w:sz w:val="14"/>
                <w:szCs w:val="14"/>
                <w:color w:val="auto"/>
              </w:rPr>
              <w:t>(4)</w:t>
            </w:r>
          </w:p>
        </w:tc>
        <w:tc>
          <w:tcPr>
            <w:tcW w:w="108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124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94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880" w:type="dxa"/>
            <w:vAlign w:val="bottom"/>
            <w:vMerge w:val="restart"/>
          </w:tcPr>
          <w:p>
            <w:pPr>
              <w:jc w:val="center"/>
              <w:spacing w:after="0"/>
              <w:rPr>
                <w:sz w:val="20"/>
                <w:szCs w:val="20"/>
                <w:color w:val="auto"/>
              </w:rPr>
            </w:pPr>
            <w:r>
              <w:rPr>
                <w:rFonts w:ascii="Arial" w:cs="Arial" w:eastAsia="Arial" w:hAnsi="Arial"/>
                <w:sz w:val="14"/>
                <w:szCs w:val="14"/>
                <w:color w:val="auto"/>
              </w:rPr>
              <w:t>47,147</w:t>
            </w:r>
          </w:p>
        </w:tc>
        <w:tc>
          <w:tcPr>
            <w:tcW w:w="1100" w:type="dxa"/>
            <w:vAlign w:val="bottom"/>
            <w:vMerge w:val="restart"/>
          </w:tcPr>
          <w:p>
            <w:pPr>
              <w:jc w:val="right"/>
              <w:ind w:right="29"/>
              <w:spacing w:after="0"/>
              <w:rPr>
                <w:sz w:val="20"/>
                <w:szCs w:val="20"/>
                <w:color w:val="auto"/>
              </w:rPr>
            </w:pPr>
            <w:r>
              <w:rPr>
                <w:rFonts w:ascii="Arial" w:cs="Arial" w:eastAsia="Arial" w:hAnsi="Arial"/>
                <w:sz w:val="14"/>
                <w:szCs w:val="14"/>
                <w:color w:val="auto"/>
              </w:rPr>
              <w:t>11,122,449</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13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2"/>
        </w:trPr>
        <w:tc>
          <w:tcPr>
            <w:tcW w:w="110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Canessa</w:t>
            </w:r>
          </w:p>
        </w:tc>
        <w:tc>
          <w:tcPr>
            <w:tcW w:w="96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1100" w:type="dxa"/>
            <w:vAlign w:val="bottom"/>
            <w:vMerge w:val="continue"/>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8"/>
        </w:trPr>
        <w:tc>
          <w:tcPr>
            <w:tcW w:w="1100" w:type="dxa"/>
            <w:vAlign w:val="bottom"/>
          </w:tcPr>
          <w:p>
            <w:pPr>
              <w:spacing w:after="0"/>
              <w:rPr>
                <w:sz w:val="20"/>
                <w:szCs w:val="20"/>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06/02/2020</w:t>
            </w:r>
          </w:p>
        </w:tc>
        <w:tc>
          <w:tcPr>
            <w:tcW w:w="440" w:type="dxa"/>
            <w:vAlign w:val="bottom"/>
          </w:tcPr>
          <w:p>
            <w:pPr>
              <w:ind w:left="80"/>
              <w:spacing w:after="0"/>
              <w:rPr>
                <w:sz w:val="20"/>
                <w:szCs w:val="20"/>
                <w:color w:val="auto"/>
              </w:rPr>
            </w:pPr>
            <w:r>
              <w:rPr>
                <w:rFonts w:ascii="Arial" w:cs="Arial" w:eastAsia="Arial" w:hAnsi="Arial"/>
                <w:sz w:val="14"/>
                <w:szCs w:val="14"/>
                <w:color w:val="auto"/>
              </w:rPr>
              <w:t>(5)</w:t>
            </w:r>
          </w:p>
        </w:tc>
        <w:tc>
          <w:tcPr>
            <w:tcW w:w="1080" w:type="dxa"/>
            <w:vAlign w:val="bottom"/>
          </w:tcPr>
          <w:p>
            <w:pPr>
              <w:jc w:val="center"/>
              <w:spacing w:after="0"/>
              <w:rPr>
                <w:sz w:val="20"/>
                <w:szCs w:val="20"/>
                <w:color w:val="auto"/>
              </w:rPr>
            </w:pPr>
            <w:r>
              <w:rPr>
                <w:rFonts w:ascii="Arial" w:cs="Arial" w:eastAsia="Arial" w:hAnsi="Arial"/>
                <w:sz w:val="14"/>
                <w:szCs w:val="14"/>
                <w:color w:val="auto"/>
              </w:rPr>
              <w:t>—</w:t>
            </w:r>
          </w:p>
        </w:tc>
        <w:tc>
          <w:tcPr>
            <w:tcW w:w="12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100" w:type="dxa"/>
            <w:vAlign w:val="bottom"/>
          </w:tcPr>
          <w:p>
            <w:pPr>
              <w:jc w:val="right"/>
              <w:ind w:right="449"/>
              <w:spacing w:after="0"/>
              <w:rPr>
                <w:sz w:val="20"/>
                <w:szCs w:val="20"/>
                <w:color w:val="auto"/>
              </w:rPr>
            </w:pPr>
            <w:r>
              <w:rPr>
                <w:rFonts w:ascii="Arial" w:cs="Arial" w:eastAsia="Arial" w:hAnsi="Arial"/>
                <w:sz w:val="14"/>
                <w:szCs w:val="14"/>
                <w:color w:val="auto"/>
              </w:rPr>
              <w:t>—</w:t>
            </w:r>
          </w:p>
        </w:tc>
        <w:tc>
          <w:tcPr>
            <w:tcW w:w="1320" w:type="dxa"/>
            <w:vAlign w:val="bottom"/>
          </w:tcPr>
          <w:p>
            <w:pPr>
              <w:jc w:val="center"/>
              <w:spacing w:after="0"/>
              <w:rPr>
                <w:sz w:val="20"/>
                <w:szCs w:val="20"/>
                <w:color w:val="auto"/>
              </w:rPr>
            </w:pPr>
            <w:r>
              <w:rPr>
                <w:rFonts w:ascii="Arial" w:cs="Arial" w:eastAsia="Arial" w:hAnsi="Arial"/>
                <w:sz w:val="14"/>
                <w:szCs w:val="14"/>
                <w:color w:val="auto"/>
              </w:rPr>
              <w:t>38,685</w:t>
            </w: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9,126,178</w:t>
            </w:r>
          </w:p>
        </w:tc>
        <w:tc>
          <w:tcPr>
            <w:tcW w:w="0" w:type="dxa"/>
            <w:vAlign w:val="bottom"/>
          </w:tcPr>
          <w:p>
            <w:pPr>
              <w:spacing w:after="0"/>
              <w:rPr>
                <w:sz w:val="1"/>
                <w:szCs w:val="1"/>
                <w:color w:val="auto"/>
              </w:rPr>
            </w:pPr>
          </w:p>
        </w:tc>
      </w:tr>
      <w:tr>
        <w:trPr>
          <w:trHeight w:val="66"/>
        </w:trPr>
        <w:tc>
          <w:tcPr>
            <w:tcW w:w="1100" w:type="dxa"/>
            <w:vAlign w:val="bottom"/>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8"/>
        </w:trPr>
        <w:tc>
          <w:tcPr>
            <w:tcW w:w="1100" w:type="dxa"/>
            <w:vAlign w:val="bottom"/>
          </w:tcPr>
          <w:p>
            <w:pPr>
              <w:spacing w:after="0"/>
              <w:rPr>
                <w:sz w:val="20"/>
                <w:szCs w:val="20"/>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04/13/2021</w:t>
            </w:r>
          </w:p>
        </w:tc>
        <w:tc>
          <w:tcPr>
            <w:tcW w:w="440" w:type="dxa"/>
            <w:vAlign w:val="bottom"/>
          </w:tcPr>
          <w:p>
            <w:pPr>
              <w:ind w:left="80"/>
              <w:spacing w:after="0"/>
              <w:rPr>
                <w:sz w:val="20"/>
                <w:szCs w:val="20"/>
                <w:color w:val="auto"/>
              </w:rPr>
            </w:pPr>
            <w:r>
              <w:rPr>
                <w:rFonts w:ascii="Arial" w:cs="Arial" w:eastAsia="Arial" w:hAnsi="Arial"/>
                <w:sz w:val="14"/>
                <w:szCs w:val="14"/>
                <w:color w:val="auto"/>
              </w:rPr>
              <w:t>(6)</w:t>
            </w:r>
          </w:p>
        </w:tc>
        <w:tc>
          <w:tcPr>
            <w:tcW w:w="1080" w:type="dxa"/>
            <w:vAlign w:val="bottom"/>
          </w:tcPr>
          <w:p>
            <w:pPr>
              <w:jc w:val="center"/>
              <w:spacing w:after="0"/>
              <w:rPr>
                <w:sz w:val="20"/>
                <w:szCs w:val="20"/>
                <w:color w:val="auto"/>
              </w:rPr>
            </w:pPr>
            <w:r>
              <w:rPr>
                <w:rFonts w:ascii="Arial" w:cs="Arial" w:eastAsia="Arial" w:hAnsi="Arial"/>
                <w:sz w:val="14"/>
                <w:szCs w:val="14"/>
                <w:color w:val="auto"/>
              </w:rPr>
              <w:t>—</w:t>
            </w:r>
          </w:p>
        </w:tc>
        <w:tc>
          <w:tcPr>
            <w:tcW w:w="12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80" w:type="dxa"/>
            <w:vAlign w:val="bottom"/>
          </w:tcPr>
          <w:p>
            <w:pPr>
              <w:jc w:val="center"/>
              <w:spacing w:after="0"/>
              <w:rPr>
                <w:sz w:val="20"/>
                <w:szCs w:val="20"/>
                <w:color w:val="auto"/>
              </w:rPr>
            </w:pPr>
            <w:r>
              <w:rPr>
                <w:rFonts w:ascii="Arial" w:cs="Arial" w:eastAsia="Arial" w:hAnsi="Arial"/>
                <w:sz w:val="14"/>
                <w:szCs w:val="14"/>
                <w:color w:val="auto"/>
              </w:rPr>
              <w:t>13,830</w:t>
            </w:r>
          </w:p>
        </w:tc>
        <w:tc>
          <w:tcPr>
            <w:tcW w:w="1100" w:type="dxa"/>
            <w:vAlign w:val="bottom"/>
          </w:tcPr>
          <w:p>
            <w:pPr>
              <w:jc w:val="right"/>
              <w:ind w:right="29"/>
              <w:spacing w:after="0"/>
              <w:rPr>
                <w:sz w:val="20"/>
                <w:szCs w:val="20"/>
                <w:color w:val="auto"/>
              </w:rPr>
            </w:pPr>
            <w:r>
              <w:rPr>
                <w:rFonts w:ascii="Arial" w:cs="Arial" w:eastAsia="Arial" w:hAnsi="Arial"/>
                <w:sz w:val="14"/>
                <w:szCs w:val="14"/>
                <w:color w:val="auto"/>
              </w:rPr>
              <w:t>3,262,635</w:t>
            </w:r>
          </w:p>
        </w:tc>
        <w:tc>
          <w:tcPr>
            <w:tcW w:w="13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6"/>
        </w:trPr>
        <w:tc>
          <w:tcPr>
            <w:tcW w:w="11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8"/>
        </w:trPr>
        <w:tc>
          <w:tcPr>
            <w:tcW w:w="1100" w:type="dxa"/>
            <w:vAlign w:val="bottom"/>
          </w:tcPr>
          <w:p>
            <w:pPr>
              <w:spacing w:after="0"/>
              <w:rPr>
                <w:sz w:val="20"/>
                <w:szCs w:val="20"/>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04/06/2017</w:t>
            </w:r>
          </w:p>
        </w:tc>
        <w:tc>
          <w:tcPr>
            <w:tcW w:w="440" w:type="dxa"/>
            <w:vAlign w:val="bottom"/>
          </w:tcPr>
          <w:p>
            <w:pPr>
              <w:ind w:left="80"/>
              <w:spacing w:after="0"/>
              <w:rPr>
                <w:sz w:val="20"/>
                <w:szCs w:val="20"/>
                <w:color w:val="auto"/>
              </w:rPr>
            </w:pPr>
            <w:r>
              <w:rPr>
                <w:rFonts w:ascii="Arial" w:cs="Arial" w:eastAsia="Arial" w:hAnsi="Arial"/>
                <w:sz w:val="14"/>
                <w:szCs w:val="14"/>
                <w:color w:val="auto"/>
              </w:rPr>
              <w:t>(7)</w:t>
            </w:r>
          </w:p>
        </w:tc>
        <w:tc>
          <w:tcPr>
            <w:tcW w:w="1080" w:type="dxa"/>
            <w:vAlign w:val="bottom"/>
          </w:tcPr>
          <w:p>
            <w:pPr>
              <w:jc w:val="center"/>
              <w:spacing w:after="0"/>
              <w:rPr>
                <w:sz w:val="20"/>
                <w:szCs w:val="20"/>
                <w:color w:val="auto"/>
              </w:rPr>
            </w:pPr>
            <w:r>
              <w:rPr>
                <w:rFonts w:ascii="Arial" w:cs="Arial" w:eastAsia="Arial" w:hAnsi="Arial"/>
                <w:sz w:val="14"/>
                <w:szCs w:val="14"/>
                <w:color w:val="auto"/>
              </w:rPr>
              <w:t>50,558</w:t>
            </w:r>
          </w:p>
        </w:tc>
        <w:tc>
          <w:tcPr>
            <w:tcW w:w="1240" w:type="dxa"/>
            <w:vAlign w:val="bottom"/>
          </w:tcPr>
          <w:p>
            <w:pPr>
              <w:jc w:val="center"/>
              <w:spacing w:after="0"/>
              <w:rPr>
                <w:sz w:val="20"/>
                <w:szCs w:val="20"/>
                <w:color w:val="auto"/>
              </w:rPr>
            </w:pPr>
            <w:r>
              <w:rPr>
                <w:rFonts w:ascii="Arial" w:cs="Arial" w:eastAsia="Arial" w:hAnsi="Arial"/>
                <w:sz w:val="14"/>
                <w:szCs w:val="14"/>
                <w:color w:val="auto"/>
              </w:rPr>
              <w:t>27,775</w:t>
            </w: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5.93</w:t>
            </w:r>
          </w:p>
        </w:tc>
        <w:tc>
          <w:tcPr>
            <w:tcW w:w="860" w:type="dxa"/>
            <w:vAlign w:val="bottom"/>
          </w:tcPr>
          <w:p>
            <w:pPr>
              <w:jc w:val="center"/>
              <w:spacing w:after="0"/>
              <w:rPr>
                <w:sz w:val="20"/>
                <w:szCs w:val="20"/>
                <w:color w:val="auto"/>
              </w:rPr>
            </w:pPr>
            <w:r>
              <w:rPr>
                <w:rFonts w:ascii="Arial" w:cs="Arial" w:eastAsia="Arial" w:hAnsi="Arial"/>
                <w:sz w:val="14"/>
                <w:szCs w:val="14"/>
                <w:color w:val="auto"/>
              </w:rPr>
              <w:t>4/6/2024</w:t>
            </w:r>
          </w:p>
        </w:tc>
        <w:tc>
          <w:tcPr>
            <w:tcW w:w="8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1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3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6"/>
        </w:trPr>
        <w:tc>
          <w:tcPr>
            <w:tcW w:w="1100" w:type="dxa"/>
            <w:vAlign w:val="bottom"/>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8"/>
        </w:trPr>
        <w:tc>
          <w:tcPr>
            <w:tcW w:w="1100" w:type="dxa"/>
            <w:vAlign w:val="bottom"/>
          </w:tcPr>
          <w:p>
            <w:pPr>
              <w:spacing w:after="0"/>
              <w:rPr>
                <w:sz w:val="20"/>
                <w:szCs w:val="20"/>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10/05/2018</w:t>
            </w:r>
          </w:p>
        </w:tc>
        <w:tc>
          <w:tcPr>
            <w:tcW w:w="440" w:type="dxa"/>
            <w:vAlign w:val="bottom"/>
          </w:tcPr>
          <w:p>
            <w:pPr>
              <w:ind w:left="80"/>
              <w:spacing w:after="0"/>
              <w:rPr>
                <w:sz w:val="20"/>
                <w:szCs w:val="20"/>
                <w:color w:val="auto"/>
              </w:rPr>
            </w:pPr>
            <w:r>
              <w:rPr>
                <w:rFonts w:ascii="Arial" w:cs="Arial" w:eastAsia="Arial" w:hAnsi="Arial"/>
                <w:sz w:val="14"/>
                <w:szCs w:val="14"/>
                <w:color w:val="auto"/>
              </w:rPr>
              <w:t>(8)</w:t>
            </w:r>
          </w:p>
        </w:tc>
        <w:tc>
          <w:tcPr>
            <w:tcW w:w="1080" w:type="dxa"/>
            <w:vAlign w:val="bottom"/>
          </w:tcPr>
          <w:p>
            <w:pPr>
              <w:jc w:val="center"/>
              <w:spacing w:after="0"/>
              <w:rPr>
                <w:sz w:val="20"/>
                <w:szCs w:val="20"/>
                <w:color w:val="auto"/>
              </w:rPr>
            </w:pPr>
            <w:r>
              <w:rPr>
                <w:rFonts w:ascii="Arial" w:cs="Arial" w:eastAsia="Arial" w:hAnsi="Arial"/>
                <w:sz w:val="14"/>
                <w:szCs w:val="14"/>
                <w:color w:val="auto"/>
              </w:rPr>
              <w:t>—</w:t>
            </w:r>
          </w:p>
        </w:tc>
        <w:tc>
          <w:tcPr>
            <w:tcW w:w="12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80" w:type="dxa"/>
            <w:vAlign w:val="bottom"/>
          </w:tcPr>
          <w:p>
            <w:pPr>
              <w:jc w:val="center"/>
              <w:spacing w:after="0"/>
              <w:rPr>
                <w:sz w:val="20"/>
                <w:szCs w:val="20"/>
                <w:color w:val="auto"/>
              </w:rPr>
            </w:pPr>
            <w:r>
              <w:rPr>
                <w:rFonts w:ascii="Arial" w:cs="Arial" w:eastAsia="Arial" w:hAnsi="Arial"/>
                <w:sz w:val="14"/>
                <w:szCs w:val="14"/>
                <w:color w:val="auto"/>
              </w:rPr>
              <w:t>85,939</w:t>
            </w:r>
          </w:p>
        </w:tc>
        <w:tc>
          <w:tcPr>
            <w:tcW w:w="1100" w:type="dxa"/>
            <w:vAlign w:val="bottom"/>
          </w:tcPr>
          <w:p>
            <w:pPr>
              <w:jc w:val="right"/>
              <w:ind w:right="29"/>
              <w:spacing w:after="0"/>
              <w:rPr>
                <w:sz w:val="20"/>
                <w:szCs w:val="20"/>
                <w:color w:val="auto"/>
              </w:rPr>
            </w:pPr>
            <w:r>
              <w:rPr>
                <w:rFonts w:ascii="Arial" w:cs="Arial" w:eastAsia="Arial" w:hAnsi="Arial"/>
                <w:sz w:val="14"/>
                <w:szCs w:val="14"/>
                <w:color w:val="auto"/>
              </w:rPr>
              <w:t>20,273,870</w:t>
            </w:r>
          </w:p>
        </w:tc>
        <w:tc>
          <w:tcPr>
            <w:tcW w:w="13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6"/>
        </w:trPr>
        <w:tc>
          <w:tcPr>
            <w:tcW w:w="1100" w:type="dxa"/>
            <w:vAlign w:val="bottom"/>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1100" w:type="dxa"/>
            <w:vAlign w:val="bottom"/>
          </w:tcPr>
          <w:p>
            <w:pPr>
              <w:ind w:left="100"/>
              <w:spacing w:after="0"/>
              <w:rPr>
                <w:sz w:val="20"/>
                <w:szCs w:val="20"/>
                <w:color w:val="auto"/>
              </w:rPr>
            </w:pPr>
            <w:r>
              <w:rPr>
                <w:rFonts w:ascii="Arial" w:cs="Arial" w:eastAsia="Arial" w:hAnsi="Arial"/>
                <w:sz w:val="14"/>
                <w:szCs w:val="14"/>
                <w:b w:val="1"/>
                <w:bCs w:val="1"/>
                <w:color w:val="auto"/>
              </w:rPr>
              <w:t>Amit Sinha,</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10/31/2019</w:t>
            </w:r>
          </w:p>
        </w:tc>
        <w:tc>
          <w:tcPr>
            <w:tcW w:w="440" w:type="dxa"/>
            <w:vAlign w:val="bottom"/>
          </w:tcPr>
          <w:p>
            <w:pPr>
              <w:ind w:left="80"/>
              <w:spacing w:after="0"/>
              <w:rPr>
                <w:sz w:val="20"/>
                <w:szCs w:val="20"/>
                <w:color w:val="auto"/>
              </w:rPr>
            </w:pPr>
            <w:r>
              <w:rPr>
                <w:rFonts w:ascii="Arial" w:cs="Arial" w:eastAsia="Arial" w:hAnsi="Arial"/>
                <w:sz w:val="14"/>
                <w:szCs w:val="14"/>
                <w:color w:val="auto"/>
              </w:rPr>
              <w:t>(4)</w:t>
            </w:r>
          </w:p>
        </w:tc>
        <w:tc>
          <w:tcPr>
            <w:tcW w:w="1080" w:type="dxa"/>
            <w:vAlign w:val="bottom"/>
          </w:tcPr>
          <w:p>
            <w:pPr>
              <w:jc w:val="center"/>
              <w:spacing w:after="0"/>
              <w:rPr>
                <w:sz w:val="20"/>
                <w:szCs w:val="20"/>
                <w:color w:val="auto"/>
              </w:rPr>
            </w:pPr>
            <w:r>
              <w:rPr>
                <w:rFonts w:ascii="Arial" w:cs="Arial" w:eastAsia="Arial" w:hAnsi="Arial"/>
                <w:sz w:val="14"/>
                <w:szCs w:val="14"/>
                <w:color w:val="auto"/>
              </w:rPr>
              <w:t>—</w:t>
            </w:r>
          </w:p>
        </w:tc>
        <w:tc>
          <w:tcPr>
            <w:tcW w:w="12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80" w:type="dxa"/>
            <w:vAlign w:val="bottom"/>
          </w:tcPr>
          <w:p>
            <w:pPr>
              <w:jc w:val="center"/>
              <w:spacing w:after="0"/>
              <w:rPr>
                <w:sz w:val="20"/>
                <w:szCs w:val="20"/>
                <w:color w:val="auto"/>
              </w:rPr>
            </w:pPr>
            <w:r>
              <w:rPr>
                <w:rFonts w:ascii="Arial" w:cs="Arial" w:eastAsia="Arial" w:hAnsi="Arial"/>
                <w:sz w:val="14"/>
                <w:szCs w:val="14"/>
                <w:color w:val="auto"/>
              </w:rPr>
              <w:t>53,424</w:t>
            </w:r>
          </w:p>
        </w:tc>
        <w:tc>
          <w:tcPr>
            <w:tcW w:w="1100" w:type="dxa"/>
            <w:vAlign w:val="bottom"/>
          </w:tcPr>
          <w:p>
            <w:pPr>
              <w:jc w:val="right"/>
              <w:ind w:right="29"/>
              <w:spacing w:after="0"/>
              <w:rPr>
                <w:sz w:val="20"/>
                <w:szCs w:val="20"/>
                <w:color w:val="auto"/>
              </w:rPr>
            </w:pPr>
            <w:r>
              <w:rPr>
                <w:rFonts w:ascii="Arial" w:cs="Arial" w:eastAsia="Arial" w:hAnsi="Arial"/>
                <w:sz w:val="14"/>
                <w:szCs w:val="14"/>
                <w:color w:val="auto"/>
              </w:rPr>
              <w:t>12,603,256</w:t>
            </w:r>
          </w:p>
        </w:tc>
        <w:tc>
          <w:tcPr>
            <w:tcW w:w="13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
        </w:trPr>
        <w:tc>
          <w:tcPr>
            <w:tcW w:w="110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Ph.D.</w:t>
            </w: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100" w:type="dxa"/>
            <w:vAlign w:val="bottom"/>
            <w:vMerge w:val="continue"/>
          </w:tcPr>
          <w:p>
            <w:pPr>
              <w:spacing w:after="0"/>
              <w:rPr>
                <w:sz w:val="16"/>
                <w:szCs w:val="16"/>
                <w:color w:val="auto"/>
              </w:rPr>
            </w:pPr>
          </w:p>
        </w:tc>
        <w:tc>
          <w:tcPr>
            <w:tcW w:w="960" w:type="dxa"/>
            <w:vAlign w:val="bottom"/>
            <w:vMerge w:val="restart"/>
          </w:tcPr>
          <w:p>
            <w:pPr>
              <w:jc w:val="right"/>
              <w:ind w:right="8"/>
              <w:spacing w:after="0"/>
              <w:rPr>
                <w:sz w:val="20"/>
                <w:szCs w:val="20"/>
                <w:color w:val="auto"/>
              </w:rPr>
            </w:pPr>
            <w:r>
              <w:rPr>
                <w:rFonts w:ascii="Arial" w:cs="Arial" w:eastAsia="Arial" w:hAnsi="Arial"/>
                <w:sz w:val="14"/>
                <w:szCs w:val="14"/>
                <w:color w:val="auto"/>
              </w:rPr>
              <w:t>06/02/2020</w:t>
            </w:r>
          </w:p>
        </w:tc>
        <w:tc>
          <w:tcPr>
            <w:tcW w:w="440" w:type="dxa"/>
            <w:vAlign w:val="bottom"/>
            <w:vMerge w:val="restart"/>
          </w:tcPr>
          <w:p>
            <w:pPr>
              <w:ind w:left="80"/>
              <w:spacing w:after="0"/>
              <w:rPr>
                <w:sz w:val="20"/>
                <w:szCs w:val="20"/>
                <w:color w:val="auto"/>
              </w:rPr>
            </w:pPr>
            <w:r>
              <w:rPr>
                <w:rFonts w:ascii="Arial" w:cs="Arial" w:eastAsia="Arial" w:hAnsi="Arial"/>
                <w:sz w:val="14"/>
                <w:szCs w:val="14"/>
                <w:color w:val="auto"/>
              </w:rPr>
              <w:t>(4)</w:t>
            </w:r>
          </w:p>
        </w:tc>
        <w:tc>
          <w:tcPr>
            <w:tcW w:w="108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124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94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880" w:type="dxa"/>
            <w:vAlign w:val="bottom"/>
            <w:vMerge w:val="restart"/>
          </w:tcPr>
          <w:p>
            <w:pPr>
              <w:jc w:val="center"/>
              <w:spacing w:after="0"/>
              <w:rPr>
                <w:sz w:val="20"/>
                <w:szCs w:val="20"/>
                <w:color w:val="auto"/>
              </w:rPr>
            </w:pPr>
            <w:r>
              <w:rPr>
                <w:rFonts w:ascii="Arial" w:cs="Arial" w:eastAsia="Arial" w:hAnsi="Arial"/>
                <w:sz w:val="14"/>
                <w:szCs w:val="14"/>
                <w:color w:val="auto"/>
              </w:rPr>
              <w:t>55,005</w:t>
            </w:r>
          </w:p>
        </w:tc>
        <w:tc>
          <w:tcPr>
            <w:tcW w:w="1100" w:type="dxa"/>
            <w:vAlign w:val="bottom"/>
            <w:vMerge w:val="restart"/>
          </w:tcPr>
          <w:p>
            <w:pPr>
              <w:jc w:val="right"/>
              <w:ind w:right="29"/>
              <w:spacing w:after="0"/>
              <w:rPr>
                <w:sz w:val="20"/>
                <w:szCs w:val="20"/>
                <w:color w:val="auto"/>
              </w:rPr>
            </w:pPr>
            <w:r>
              <w:rPr>
                <w:rFonts w:ascii="Arial" w:cs="Arial" w:eastAsia="Arial" w:hAnsi="Arial"/>
                <w:sz w:val="14"/>
                <w:szCs w:val="14"/>
                <w:color w:val="auto"/>
              </w:rPr>
              <w:t>12,976,230</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13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4"/>
        </w:trPr>
        <w:tc>
          <w:tcPr>
            <w:tcW w:w="110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440" w:type="dxa"/>
            <w:vAlign w:val="bottom"/>
            <w:vMerge w:val="continue"/>
          </w:tcPr>
          <w:p>
            <w:pPr>
              <w:spacing w:after="0"/>
              <w:rPr>
                <w:sz w:val="4"/>
                <w:szCs w:val="4"/>
                <w:color w:val="auto"/>
              </w:rPr>
            </w:pPr>
          </w:p>
        </w:tc>
        <w:tc>
          <w:tcPr>
            <w:tcW w:w="1080" w:type="dxa"/>
            <w:vAlign w:val="bottom"/>
            <w:vMerge w:val="continue"/>
          </w:tcPr>
          <w:p>
            <w:pPr>
              <w:spacing w:after="0"/>
              <w:rPr>
                <w:sz w:val="4"/>
                <w:szCs w:val="4"/>
                <w:color w:val="auto"/>
              </w:rPr>
            </w:pPr>
          </w:p>
        </w:tc>
        <w:tc>
          <w:tcPr>
            <w:tcW w:w="124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100" w:type="dxa"/>
            <w:vAlign w:val="bottom"/>
            <w:vMerge w:val="continue"/>
          </w:tcPr>
          <w:p>
            <w:pPr>
              <w:spacing w:after="0"/>
              <w:rPr>
                <w:sz w:val="4"/>
                <w:szCs w:val="4"/>
                <w:color w:val="auto"/>
              </w:rPr>
            </w:pPr>
          </w:p>
        </w:tc>
        <w:tc>
          <w:tcPr>
            <w:tcW w:w="1320" w:type="dxa"/>
            <w:vAlign w:val="bottom"/>
            <w:vMerge w:val="continue"/>
          </w:tcPr>
          <w:p>
            <w:pPr>
              <w:spacing w:after="0"/>
              <w:rPr>
                <w:sz w:val="4"/>
                <w:szCs w:val="4"/>
                <w:color w:val="auto"/>
              </w:rPr>
            </w:pPr>
          </w:p>
        </w:tc>
        <w:tc>
          <w:tcPr>
            <w:tcW w:w="13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6"/>
        </w:trPr>
        <w:tc>
          <w:tcPr>
            <w:tcW w:w="1100" w:type="dxa"/>
            <w:vAlign w:val="bottom"/>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8"/>
        </w:trPr>
        <w:tc>
          <w:tcPr>
            <w:tcW w:w="1100" w:type="dxa"/>
            <w:vAlign w:val="bottom"/>
          </w:tcPr>
          <w:p>
            <w:pPr>
              <w:spacing w:after="0"/>
              <w:rPr>
                <w:sz w:val="20"/>
                <w:szCs w:val="20"/>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06/02/2020</w:t>
            </w:r>
          </w:p>
        </w:tc>
        <w:tc>
          <w:tcPr>
            <w:tcW w:w="440" w:type="dxa"/>
            <w:vAlign w:val="bottom"/>
          </w:tcPr>
          <w:p>
            <w:pPr>
              <w:ind w:left="80"/>
              <w:spacing w:after="0"/>
              <w:rPr>
                <w:sz w:val="20"/>
                <w:szCs w:val="20"/>
                <w:color w:val="auto"/>
              </w:rPr>
            </w:pPr>
            <w:r>
              <w:rPr>
                <w:rFonts w:ascii="Arial" w:cs="Arial" w:eastAsia="Arial" w:hAnsi="Arial"/>
                <w:sz w:val="14"/>
                <w:szCs w:val="14"/>
                <w:color w:val="auto"/>
              </w:rPr>
              <w:t>(5)</w:t>
            </w:r>
          </w:p>
        </w:tc>
        <w:tc>
          <w:tcPr>
            <w:tcW w:w="1080" w:type="dxa"/>
            <w:vAlign w:val="bottom"/>
          </w:tcPr>
          <w:p>
            <w:pPr>
              <w:jc w:val="center"/>
              <w:spacing w:after="0"/>
              <w:rPr>
                <w:sz w:val="20"/>
                <w:szCs w:val="20"/>
                <w:color w:val="auto"/>
              </w:rPr>
            </w:pPr>
            <w:r>
              <w:rPr>
                <w:rFonts w:ascii="Arial" w:cs="Arial" w:eastAsia="Arial" w:hAnsi="Arial"/>
                <w:sz w:val="14"/>
                <w:szCs w:val="14"/>
                <w:color w:val="auto"/>
              </w:rPr>
              <w:t>—</w:t>
            </w:r>
          </w:p>
        </w:tc>
        <w:tc>
          <w:tcPr>
            <w:tcW w:w="12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1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320" w:type="dxa"/>
            <w:vAlign w:val="bottom"/>
          </w:tcPr>
          <w:p>
            <w:pPr>
              <w:jc w:val="center"/>
              <w:spacing w:after="0"/>
              <w:rPr>
                <w:sz w:val="20"/>
                <w:szCs w:val="20"/>
                <w:color w:val="auto"/>
              </w:rPr>
            </w:pPr>
            <w:r>
              <w:rPr>
                <w:rFonts w:ascii="Arial" w:cs="Arial" w:eastAsia="Arial" w:hAnsi="Arial"/>
                <w:sz w:val="14"/>
                <w:szCs w:val="14"/>
                <w:color w:val="auto"/>
              </w:rPr>
              <w:t>67,698</w:t>
            </w: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15,970,635</w:t>
            </w:r>
          </w:p>
        </w:tc>
        <w:tc>
          <w:tcPr>
            <w:tcW w:w="0" w:type="dxa"/>
            <w:vAlign w:val="bottom"/>
          </w:tcPr>
          <w:p>
            <w:pPr>
              <w:spacing w:after="0"/>
              <w:rPr>
                <w:sz w:val="1"/>
                <w:szCs w:val="1"/>
                <w:color w:val="auto"/>
              </w:rPr>
            </w:pPr>
          </w:p>
        </w:tc>
      </w:tr>
      <w:tr>
        <w:trPr>
          <w:trHeight w:val="66"/>
        </w:trPr>
        <w:tc>
          <w:tcPr>
            <w:tcW w:w="1100" w:type="dxa"/>
            <w:vAlign w:val="bottom"/>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8"/>
        </w:trPr>
        <w:tc>
          <w:tcPr>
            <w:tcW w:w="1100" w:type="dxa"/>
            <w:vAlign w:val="bottom"/>
          </w:tcPr>
          <w:p>
            <w:pPr>
              <w:spacing w:after="0"/>
              <w:rPr>
                <w:sz w:val="20"/>
                <w:szCs w:val="20"/>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04/13/2021</w:t>
            </w:r>
          </w:p>
        </w:tc>
        <w:tc>
          <w:tcPr>
            <w:tcW w:w="440" w:type="dxa"/>
            <w:vAlign w:val="bottom"/>
          </w:tcPr>
          <w:p>
            <w:pPr>
              <w:ind w:left="80"/>
              <w:spacing w:after="0"/>
              <w:rPr>
                <w:sz w:val="20"/>
                <w:szCs w:val="20"/>
                <w:color w:val="auto"/>
              </w:rPr>
            </w:pPr>
            <w:r>
              <w:rPr>
                <w:rFonts w:ascii="Arial" w:cs="Arial" w:eastAsia="Arial" w:hAnsi="Arial"/>
                <w:sz w:val="14"/>
                <w:szCs w:val="14"/>
                <w:color w:val="auto"/>
              </w:rPr>
              <w:t>(6)</w:t>
            </w:r>
          </w:p>
        </w:tc>
        <w:tc>
          <w:tcPr>
            <w:tcW w:w="1080" w:type="dxa"/>
            <w:vAlign w:val="bottom"/>
          </w:tcPr>
          <w:p>
            <w:pPr>
              <w:jc w:val="center"/>
              <w:spacing w:after="0"/>
              <w:rPr>
                <w:sz w:val="20"/>
                <w:szCs w:val="20"/>
                <w:color w:val="auto"/>
              </w:rPr>
            </w:pPr>
            <w:r>
              <w:rPr>
                <w:rFonts w:ascii="Arial" w:cs="Arial" w:eastAsia="Arial" w:hAnsi="Arial"/>
                <w:sz w:val="14"/>
                <w:szCs w:val="14"/>
                <w:color w:val="auto"/>
              </w:rPr>
              <w:t>—</w:t>
            </w:r>
          </w:p>
        </w:tc>
        <w:tc>
          <w:tcPr>
            <w:tcW w:w="12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80" w:type="dxa"/>
            <w:vAlign w:val="bottom"/>
          </w:tcPr>
          <w:p>
            <w:pPr>
              <w:jc w:val="center"/>
              <w:spacing w:after="0"/>
              <w:rPr>
                <w:sz w:val="20"/>
                <w:szCs w:val="20"/>
                <w:color w:val="auto"/>
              </w:rPr>
            </w:pPr>
            <w:r>
              <w:rPr>
                <w:rFonts w:ascii="Arial" w:cs="Arial" w:eastAsia="Arial" w:hAnsi="Arial"/>
                <w:sz w:val="14"/>
                <w:szCs w:val="14"/>
                <w:color w:val="auto"/>
              </w:rPr>
              <w:t>27,659</w:t>
            </w:r>
          </w:p>
        </w:tc>
        <w:tc>
          <w:tcPr>
            <w:tcW w:w="1100" w:type="dxa"/>
            <w:vAlign w:val="bottom"/>
          </w:tcPr>
          <w:p>
            <w:pPr>
              <w:jc w:val="right"/>
              <w:ind w:right="29"/>
              <w:spacing w:after="0"/>
              <w:rPr>
                <w:sz w:val="20"/>
                <w:szCs w:val="20"/>
                <w:color w:val="auto"/>
              </w:rPr>
            </w:pPr>
            <w:r>
              <w:rPr>
                <w:rFonts w:ascii="Arial" w:cs="Arial" w:eastAsia="Arial" w:hAnsi="Arial"/>
                <w:sz w:val="14"/>
                <w:szCs w:val="14"/>
                <w:color w:val="auto"/>
              </w:rPr>
              <w:t>6,525,035</w:t>
            </w:r>
          </w:p>
        </w:tc>
        <w:tc>
          <w:tcPr>
            <w:tcW w:w="13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6"/>
        </w:trPr>
        <w:tc>
          <w:tcPr>
            <w:tcW w:w="11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8"/>
        </w:trPr>
        <w:tc>
          <w:tcPr>
            <w:tcW w:w="1100" w:type="dxa"/>
            <w:vAlign w:val="bottom"/>
          </w:tcPr>
          <w:p>
            <w:pPr>
              <w:spacing w:after="0"/>
              <w:rPr>
                <w:sz w:val="20"/>
                <w:szCs w:val="20"/>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09/12/2019</w:t>
            </w:r>
          </w:p>
        </w:tc>
        <w:tc>
          <w:tcPr>
            <w:tcW w:w="440" w:type="dxa"/>
            <w:vAlign w:val="bottom"/>
          </w:tcPr>
          <w:p>
            <w:pPr>
              <w:ind w:left="80"/>
              <w:spacing w:after="0"/>
              <w:rPr>
                <w:sz w:val="20"/>
                <w:szCs w:val="20"/>
                <w:color w:val="auto"/>
              </w:rPr>
            </w:pPr>
            <w:r>
              <w:rPr>
                <w:rFonts w:ascii="Arial" w:cs="Arial" w:eastAsia="Arial" w:hAnsi="Arial"/>
                <w:sz w:val="14"/>
                <w:szCs w:val="14"/>
                <w:color w:val="auto"/>
              </w:rPr>
              <w:t>(9)</w:t>
            </w:r>
          </w:p>
        </w:tc>
        <w:tc>
          <w:tcPr>
            <w:tcW w:w="1080" w:type="dxa"/>
            <w:vAlign w:val="bottom"/>
          </w:tcPr>
          <w:p>
            <w:pPr>
              <w:jc w:val="center"/>
              <w:spacing w:after="0"/>
              <w:rPr>
                <w:sz w:val="20"/>
                <w:szCs w:val="20"/>
                <w:color w:val="auto"/>
              </w:rPr>
            </w:pPr>
            <w:r>
              <w:rPr>
                <w:rFonts w:ascii="Arial" w:cs="Arial" w:eastAsia="Arial" w:hAnsi="Arial"/>
                <w:sz w:val="14"/>
                <w:szCs w:val="14"/>
                <w:color w:val="auto"/>
              </w:rPr>
              <w:t>36,776</w:t>
            </w:r>
          </w:p>
        </w:tc>
        <w:tc>
          <w:tcPr>
            <w:tcW w:w="1240" w:type="dxa"/>
            <w:vAlign w:val="bottom"/>
          </w:tcPr>
          <w:p>
            <w:pPr>
              <w:jc w:val="center"/>
              <w:spacing w:after="0"/>
              <w:rPr>
                <w:sz w:val="20"/>
                <w:szCs w:val="20"/>
                <w:color w:val="auto"/>
              </w:rPr>
            </w:pPr>
            <w:r>
              <w:rPr>
                <w:rFonts w:ascii="Arial" w:cs="Arial" w:eastAsia="Arial" w:hAnsi="Arial"/>
                <w:sz w:val="14"/>
                <w:szCs w:val="14"/>
                <w:color w:val="auto"/>
              </w:rPr>
              <w:t>81,250</w:t>
            </w: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49.59</w:t>
            </w:r>
          </w:p>
        </w:tc>
        <w:tc>
          <w:tcPr>
            <w:tcW w:w="860" w:type="dxa"/>
            <w:vAlign w:val="bottom"/>
          </w:tcPr>
          <w:p>
            <w:pPr>
              <w:jc w:val="center"/>
              <w:spacing w:after="0"/>
              <w:rPr>
                <w:sz w:val="20"/>
                <w:szCs w:val="20"/>
                <w:color w:val="auto"/>
              </w:rPr>
            </w:pPr>
            <w:r>
              <w:rPr>
                <w:rFonts w:ascii="Arial" w:cs="Arial" w:eastAsia="Arial" w:hAnsi="Arial"/>
                <w:sz w:val="14"/>
                <w:szCs w:val="14"/>
                <w:color w:val="auto"/>
              </w:rPr>
              <w:t>9/12/2029</w:t>
            </w:r>
          </w:p>
        </w:tc>
        <w:tc>
          <w:tcPr>
            <w:tcW w:w="8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1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3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6"/>
        </w:trPr>
        <w:tc>
          <w:tcPr>
            <w:tcW w:w="1100" w:type="dxa"/>
            <w:vAlign w:val="bottom"/>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8"/>
        </w:trPr>
        <w:tc>
          <w:tcPr>
            <w:tcW w:w="1100" w:type="dxa"/>
            <w:vAlign w:val="bottom"/>
          </w:tcPr>
          <w:p>
            <w:pPr>
              <w:spacing w:after="0"/>
              <w:rPr>
                <w:sz w:val="20"/>
                <w:szCs w:val="20"/>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10/31/2019</w:t>
            </w:r>
          </w:p>
        </w:tc>
        <w:tc>
          <w:tcPr>
            <w:tcW w:w="440" w:type="dxa"/>
            <w:vAlign w:val="bottom"/>
          </w:tcPr>
          <w:p>
            <w:pPr>
              <w:ind w:left="80"/>
              <w:spacing w:after="0"/>
              <w:rPr>
                <w:sz w:val="20"/>
                <w:szCs w:val="20"/>
                <w:color w:val="auto"/>
              </w:rPr>
            </w:pPr>
            <w:r>
              <w:rPr>
                <w:rFonts w:ascii="Arial" w:cs="Arial" w:eastAsia="Arial" w:hAnsi="Arial"/>
                <w:sz w:val="14"/>
                <w:szCs w:val="14"/>
                <w:color w:val="auto"/>
              </w:rPr>
              <w:t>(2)</w:t>
            </w:r>
          </w:p>
        </w:tc>
        <w:tc>
          <w:tcPr>
            <w:tcW w:w="1080" w:type="dxa"/>
            <w:vAlign w:val="bottom"/>
          </w:tcPr>
          <w:p>
            <w:pPr>
              <w:jc w:val="center"/>
              <w:spacing w:after="0"/>
              <w:rPr>
                <w:sz w:val="20"/>
                <w:szCs w:val="20"/>
                <w:color w:val="auto"/>
              </w:rPr>
            </w:pPr>
            <w:r>
              <w:rPr>
                <w:rFonts w:ascii="Arial" w:cs="Arial" w:eastAsia="Arial" w:hAnsi="Arial"/>
                <w:sz w:val="14"/>
                <w:szCs w:val="14"/>
                <w:color w:val="auto"/>
              </w:rPr>
              <w:t>—</w:t>
            </w:r>
          </w:p>
        </w:tc>
        <w:tc>
          <w:tcPr>
            <w:tcW w:w="12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100" w:type="dxa"/>
            <w:vAlign w:val="bottom"/>
          </w:tcPr>
          <w:p>
            <w:pPr>
              <w:jc w:val="right"/>
              <w:ind w:right="449"/>
              <w:spacing w:after="0"/>
              <w:rPr>
                <w:sz w:val="20"/>
                <w:szCs w:val="20"/>
                <w:color w:val="auto"/>
              </w:rPr>
            </w:pPr>
            <w:r>
              <w:rPr>
                <w:rFonts w:ascii="Arial" w:cs="Arial" w:eastAsia="Arial" w:hAnsi="Arial"/>
                <w:sz w:val="14"/>
                <w:szCs w:val="14"/>
                <w:color w:val="auto"/>
              </w:rPr>
              <w:t>—</w:t>
            </w:r>
          </w:p>
        </w:tc>
        <w:tc>
          <w:tcPr>
            <w:tcW w:w="1320" w:type="dxa"/>
            <w:vAlign w:val="bottom"/>
          </w:tcPr>
          <w:p>
            <w:pPr>
              <w:jc w:val="center"/>
              <w:spacing w:after="0"/>
              <w:rPr>
                <w:sz w:val="20"/>
                <w:szCs w:val="20"/>
                <w:color w:val="auto"/>
              </w:rPr>
            </w:pPr>
            <w:r>
              <w:rPr>
                <w:rFonts w:ascii="Arial" w:cs="Arial" w:eastAsia="Arial" w:hAnsi="Arial"/>
                <w:sz w:val="14"/>
                <w:szCs w:val="14"/>
                <w:color w:val="auto"/>
              </w:rPr>
              <w:t>23,182</w:t>
            </w: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5,468,866</w:t>
            </w:r>
          </w:p>
        </w:tc>
        <w:tc>
          <w:tcPr>
            <w:tcW w:w="0" w:type="dxa"/>
            <w:vAlign w:val="bottom"/>
          </w:tcPr>
          <w:p>
            <w:pPr>
              <w:spacing w:after="0"/>
              <w:rPr>
                <w:sz w:val="1"/>
                <w:szCs w:val="1"/>
                <w:color w:val="auto"/>
              </w:rPr>
            </w:pPr>
          </w:p>
        </w:tc>
      </w:tr>
      <w:tr>
        <w:trPr>
          <w:trHeight w:val="66"/>
        </w:trPr>
        <w:tc>
          <w:tcPr>
            <w:tcW w:w="1100" w:type="dxa"/>
            <w:vAlign w:val="bottom"/>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8"/>
        </w:trPr>
        <w:tc>
          <w:tcPr>
            <w:tcW w:w="1100" w:type="dxa"/>
            <w:vAlign w:val="bottom"/>
          </w:tcPr>
          <w:p>
            <w:pPr>
              <w:spacing w:after="0"/>
              <w:rPr>
                <w:sz w:val="20"/>
                <w:szCs w:val="20"/>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10/31/2019</w:t>
            </w:r>
          </w:p>
        </w:tc>
        <w:tc>
          <w:tcPr>
            <w:tcW w:w="440" w:type="dxa"/>
            <w:vAlign w:val="bottom"/>
          </w:tcPr>
          <w:p>
            <w:pPr>
              <w:ind w:left="80"/>
              <w:spacing w:after="0"/>
              <w:rPr>
                <w:sz w:val="20"/>
                <w:szCs w:val="20"/>
                <w:color w:val="auto"/>
              </w:rPr>
            </w:pPr>
            <w:r>
              <w:rPr>
                <w:rFonts w:ascii="Arial" w:cs="Arial" w:eastAsia="Arial" w:hAnsi="Arial"/>
                <w:sz w:val="14"/>
                <w:szCs w:val="14"/>
                <w:color w:val="auto"/>
              </w:rPr>
              <w:t>(10)</w:t>
            </w:r>
          </w:p>
        </w:tc>
        <w:tc>
          <w:tcPr>
            <w:tcW w:w="1080" w:type="dxa"/>
            <w:vAlign w:val="bottom"/>
          </w:tcPr>
          <w:p>
            <w:pPr>
              <w:jc w:val="center"/>
              <w:spacing w:after="0"/>
              <w:rPr>
                <w:sz w:val="20"/>
                <w:szCs w:val="20"/>
                <w:color w:val="auto"/>
              </w:rPr>
            </w:pPr>
            <w:r>
              <w:rPr>
                <w:rFonts w:ascii="Arial" w:cs="Arial" w:eastAsia="Arial" w:hAnsi="Arial"/>
                <w:sz w:val="14"/>
                <w:szCs w:val="14"/>
                <w:color w:val="auto"/>
              </w:rPr>
              <w:t>—</w:t>
            </w:r>
          </w:p>
        </w:tc>
        <w:tc>
          <w:tcPr>
            <w:tcW w:w="12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100" w:type="dxa"/>
            <w:vAlign w:val="bottom"/>
          </w:tcPr>
          <w:p>
            <w:pPr>
              <w:jc w:val="right"/>
              <w:ind w:right="449"/>
              <w:spacing w:after="0"/>
              <w:rPr>
                <w:sz w:val="20"/>
                <w:szCs w:val="20"/>
                <w:color w:val="auto"/>
              </w:rPr>
            </w:pPr>
            <w:r>
              <w:rPr>
                <w:rFonts w:ascii="Arial" w:cs="Arial" w:eastAsia="Arial" w:hAnsi="Arial"/>
                <w:sz w:val="14"/>
                <w:szCs w:val="14"/>
                <w:color w:val="auto"/>
              </w:rPr>
              <w:t>—</w:t>
            </w:r>
          </w:p>
        </w:tc>
        <w:tc>
          <w:tcPr>
            <w:tcW w:w="1320" w:type="dxa"/>
            <w:vAlign w:val="bottom"/>
          </w:tcPr>
          <w:p>
            <w:pPr>
              <w:jc w:val="center"/>
              <w:spacing w:after="0"/>
              <w:rPr>
                <w:sz w:val="20"/>
                <w:szCs w:val="20"/>
                <w:color w:val="auto"/>
              </w:rPr>
            </w:pPr>
            <w:r>
              <w:rPr>
                <w:rFonts w:ascii="Arial" w:cs="Arial" w:eastAsia="Arial" w:hAnsi="Arial"/>
                <w:sz w:val="14"/>
                <w:szCs w:val="14"/>
                <w:color w:val="auto"/>
              </w:rPr>
              <w:t>23,182</w:t>
            </w: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5,468,866</w:t>
            </w:r>
          </w:p>
        </w:tc>
        <w:tc>
          <w:tcPr>
            <w:tcW w:w="0" w:type="dxa"/>
            <w:vAlign w:val="bottom"/>
          </w:tcPr>
          <w:p>
            <w:pPr>
              <w:spacing w:after="0"/>
              <w:rPr>
                <w:sz w:val="1"/>
                <w:szCs w:val="1"/>
                <w:color w:val="auto"/>
              </w:rPr>
            </w:pPr>
          </w:p>
        </w:tc>
      </w:tr>
      <w:tr>
        <w:trPr>
          <w:trHeight w:val="66"/>
        </w:trPr>
        <w:tc>
          <w:tcPr>
            <w:tcW w:w="1100" w:type="dxa"/>
            <w:vAlign w:val="bottom"/>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8"/>
        </w:trPr>
        <w:tc>
          <w:tcPr>
            <w:tcW w:w="110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Dalibor Rajic</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10/31/2019</w:t>
            </w:r>
          </w:p>
        </w:tc>
        <w:tc>
          <w:tcPr>
            <w:tcW w:w="440" w:type="dxa"/>
            <w:vAlign w:val="bottom"/>
          </w:tcPr>
          <w:p>
            <w:pPr>
              <w:ind w:left="80"/>
              <w:spacing w:after="0"/>
              <w:rPr>
                <w:sz w:val="20"/>
                <w:szCs w:val="20"/>
                <w:color w:val="auto"/>
              </w:rPr>
            </w:pPr>
            <w:r>
              <w:rPr>
                <w:rFonts w:ascii="Arial" w:cs="Arial" w:eastAsia="Arial" w:hAnsi="Arial"/>
                <w:sz w:val="14"/>
                <w:szCs w:val="14"/>
                <w:color w:val="auto"/>
              </w:rPr>
              <w:t>(11)</w:t>
            </w:r>
          </w:p>
        </w:tc>
        <w:tc>
          <w:tcPr>
            <w:tcW w:w="1080" w:type="dxa"/>
            <w:vAlign w:val="bottom"/>
          </w:tcPr>
          <w:p>
            <w:pPr>
              <w:jc w:val="center"/>
              <w:spacing w:after="0"/>
              <w:rPr>
                <w:sz w:val="20"/>
                <w:szCs w:val="20"/>
                <w:color w:val="auto"/>
              </w:rPr>
            </w:pPr>
            <w:r>
              <w:rPr>
                <w:rFonts w:ascii="Arial" w:cs="Arial" w:eastAsia="Arial" w:hAnsi="Arial"/>
                <w:sz w:val="14"/>
                <w:szCs w:val="14"/>
                <w:color w:val="auto"/>
              </w:rPr>
              <w:t>—</w:t>
            </w:r>
          </w:p>
        </w:tc>
        <w:tc>
          <w:tcPr>
            <w:tcW w:w="12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80" w:type="dxa"/>
            <w:vAlign w:val="bottom"/>
          </w:tcPr>
          <w:p>
            <w:pPr>
              <w:jc w:val="center"/>
              <w:spacing w:after="0"/>
              <w:rPr>
                <w:sz w:val="20"/>
                <w:szCs w:val="20"/>
                <w:color w:val="auto"/>
              </w:rPr>
            </w:pPr>
            <w:r>
              <w:rPr>
                <w:rFonts w:ascii="Arial" w:cs="Arial" w:eastAsia="Arial" w:hAnsi="Arial"/>
                <w:sz w:val="14"/>
                <w:szCs w:val="14"/>
                <w:color w:val="auto"/>
              </w:rPr>
              <w:t>121,705</w:t>
            </w:r>
          </w:p>
        </w:tc>
        <w:tc>
          <w:tcPr>
            <w:tcW w:w="1100" w:type="dxa"/>
            <w:vAlign w:val="bottom"/>
          </w:tcPr>
          <w:p>
            <w:pPr>
              <w:jc w:val="right"/>
              <w:ind w:right="29"/>
              <w:spacing w:after="0"/>
              <w:rPr>
                <w:sz w:val="20"/>
                <w:szCs w:val="20"/>
                <w:color w:val="auto"/>
              </w:rPr>
            </w:pPr>
            <w:r>
              <w:rPr>
                <w:rFonts w:ascii="Arial" w:cs="Arial" w:eastAsia="Arial" w:hAnsi="Arial"/>
                <w:sz w:val="14"/>
                <w:szCs w:val="14"/>
                <w:color w:val="auto"/>
              </w:rPr>
              <w:t>28,711,427</w:t>
            </w:r>
          </w:p>
        </w:tc>
        <w:tc>
          <w:tcPr>
            <w:tcW w:w="13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6"/>
        </w:trPr>
        <w:tc>
          <w:tcPr>
            <w:tcW w:w="1100" w:type="dxa"/>
            <w:vAlign w:val="bottom"/>
            <w:vMerge w:val="continue"/>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1100" w:type="dxa"/>
            <w:vAlign w:val="bottom"/>
            <w:vMerge w:val="continue"/>
          </w:tcPr>
          <w:p>
            <w:pPr>
              <w:spacing w:after="0"/>
              <w:rPr>
                <w:sz w:val="6"/>
                <w:szCs w:val="6"/>
                <w:color w:val="auto"/>
              </w:rPr>
            </w:pPr>
          </w:p>
        </w:tc>
        <w:tc>
          <w:tcPr>
            <w:tcW w:w="960" w:type="dxa"/>
            <w:vAlign w:val="bottom"/>
            <w:vMerge w:val="restart"/>
          </w:tcPr>
          <w:p>
            <w:pPr>
              <w:jc w:val="right"/>
              <w:ind w:right="8"/>
              <w:spacing w:after="0"/>
              <w:rPr>
                <w:sz w:val="20"/>
                <w:szCs w:val="20"/>
                <w:color w:val="auto"/>
              </w:rPr>
            </w:pPr>
            <w:r>
              <w:rPr>
                <w:rFonts w:ascii="Arial" w:cs="Arial" w:eastAsia="Arial" w:hAnsi="Arial"/>
                <w:sz w:val="14"/>
                <w:szCs w:val="14"/>
                <w:color w:val="auto"/>
              </w:rPr>
              <w:t>06/02/2020</w:t>
            </w:r>
          </w:p>
        </w:tc>
        <w:tc>
          <w:tcPr>
            <w:tcW w:w="440" w:type="dxa"/>
            <w:vAlign w:val="bottom"/>
            <w:vMerge w:val="restart"/>
          </w:tcPr>
          <w:p>
            <w:pPr>
              <w:ind w:left="80"/>
              <w:spacing w:after="0"/>
              <w:rPr>
                <w:sz w:val="20"/>
                <w:szCs w:val="20"/>
                <w:color w:val="auto"/>
              </w:rPr>
            </w:pPr>
            <w:r>
              <w:rPr>
                <w:rFonts w:ascii="Arial" w:cs="Arial" w:eastAsia="Arial" w:hAnsi="Arial"/>
                <w:sz w:val="14"/>
                <w:szCs w:val="14"/>
                <w:color w:val="auto"/>
              </w:rPr>
              <w:t>(4)</w:t>
            </w:r>
          </w:p>
        </w:tc>
        <w:tc>
          <w:tcPr>
            <w:tcW w:w="108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124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94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880" w:type="dxa"/>
            <w:vAlign w:val="bottom"/>
            <w:vMerge w:val="restart"/>
          </w:tcPr>
          <w:p>
            <w:pPr>
              <w:jc w:val="center"/>
              <w:spacing w:after="0"/>
              <w:rPr>
                <w:sz w:val="20"/>
                <w:szCs w:val="20"/>
                <w:color w:val="auto"/>
              </w:rPr>
            </w:pPr>
            <w:r>
              <w:rPr>
                <w:rFonts w:ascii="Arial" w:cs="Arial" w:eastAsia="Arial" w:hAnsi="Arial"/>
                <w:sz w:val="14"/>
                <w:szCs w:val="14"/>
                <w:color w:val="auto"/>
              </w:rPr>
              <w:t>55,005</w:t>
            </w:r>
          </w:p>
        </w:tc>
        <w:tc>
          <w:tcPr>
            <w:tcW w:w="1100" w:type="dxa"/>
            <w:vAlign w:val="bottom"/>
            <w:vMerge w:val="restart"/>
          </w:tcPr>
          <w:p>
            <w:pPr>
              <w:jc w:val="right"/>
              <w:ind w:right="29"/>
              <w:spacing w:after="0"/>
              <w:rPr>
                <w:sz w:val="20"/>
                <w:szCs w:val="20"/>
                <w:color w:val="auto"/>
              </w:rPr>
            </w:pPr>
            <w:r>
              <w:rPr>
                <w:rFonts w:ascii="Arial" w:cs="Arial" w:eastAsia="Arial" w:hAnsi="Arial"/>
                <w:sz w:val="14"/>
                <w:szCs w:val="14"/>
                <w:color w:val="auto"/>
              </w:rPr>
              <w:t>12,976,230</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13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1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6"/>
        </w:trPr>
        <w:tc>
          <w:tcPr>
            <w:tcW w:w="1100" w:type="dxa"/>
            <w:vAlign w:val="bottom"/>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8"/>
        </w:trPr>
        <w:tc>
          <w:tcPr>
            <w:tcW w:w="1100" w:type="dxa"/>
            <w:vAlign w:val="bottom"/>
          </w:tcPr>
          <w:p>
            <w:pPr>
              <w:spacing w:after="0"/>
              <w:rPr>
                <w:sz w:val="20"/>
                <w:szCs w:val="20"/>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06/02/2020</w:t>
            </w:r>
          </w:p>
        </w:tc>
        <w:tc>
          <w:tcPr>
            <w:tcW w:w="440" w:type="dxa"/>
            <w:vAlign w:val="bottom"/>
          </w:tcPr>
          <w:p>
            <w:pPr>
              <w:ind w:left="80"/>
              <w:spacing w:after="0"/>
              <w:rPr>
                <w:sz w:val="20"/>
                <w:szCs w:val="20"/>
                <w:color w:val="auto"/>
              </w:rPr>
            </w:pPr>
            <w:r>
              <w:rPr>
                <w:rFonts w:ascii="Arial" w:cs="Arial" w:eastAsia="Arial" w:hAnsi="Arial"/>
                <w:sz w:val="14"/>
                <w:szCs w:val="14"/>
                <w:color w:val="auto"/>
              </w:rPr>
              <w:t>(5)</w:t>
            </w:r>
          </w:p>
        </w:tc>
        <w:tc>
          <w:tcPr>
            <w:tcW w:w="1080" w:type="dxa"/>
            <w:vAlign w:val="bottom"/>
          </w:tcPr>
          <w:p>
            <w:pPr>
              <w:jc w:val="center"/>
              <w:spacing w:after="0"/>
              <w:rPr>
                <w:sz w:val="20"/>
                <w:szCs w:val="20"/>
                <w:color w:val="auto"/>
              </w:rPr>
            </w:pPr>
            <w:r>
              <w:rPr>
                <w:rFonts w:ascii="Arial" w:cs="Arial" w:eastAsia="Arial" w:hAnsi="Arial"/>
                <w:sz w:val="14"/>
                <w:szCs w:val="14"/>
                <w:color w:val="auto"/>
              </w:rPr>
              <w:t>—</w:t>
            </w:r>
          </w:p>
        </w:tc>
        <w:tc>
          <w:tcPr>
            <w:tcW w:w="12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1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320" w:type="dxa"/>
            <w:vAlign w:val="bottom"/>
          </w:tcPr>
          <w:p>
            <w:pPr>
              <w:jc w:val="center"/>
              <w:spacing w:after="0"/>
              <w:rPr>
                <w:sz w:val="20"/>
                <w:szCs w:val="20"/>
                <w:color w:val="auto"/>
              </w:rPr>
            </w:pPr>
            <w:r>
              <w:rPr>
                <w:rFonts w:ascii="Arial" w:cs="Arial" w:eastAsia="Arial" w:hAnsi="Arial"/>
                <w:sz w:val="14"/>
                <w:szCs w:val="14"/>
                <w:color w:val="auto"/>
              </w:rPr>
              <w:t>67,698</w:t>
            </w: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15,970,635</w:t>
            </w:r>
          </w:p>
        </w:tc>
        <w:tc>
          <w:tcPr>
            <w:tcW w:w="0" w:type="dxa"/>
            <w:vAlign w:val="bottom"/>
          </w:tcPr>
          <w:p>
            <w:pPr>
              <w:spacing w:after="0"/>
              <w:rPr>
                <w:sz w:val="1"/>
                <w:szCs w:val="1"/>
                <w:color w:val="auto"/>
              </w:rPr>
            </w:pPr>
          </w:p>
        </w:tc>
      </w:tr>
      <w:tr>
        <w:trPr>
          <w:trHeight w:val="66"/>
        </w:trPr>
        <w:tc>
          <w:tcPr>
            <w:tcW w:w="1100" w:type="dxa"/>
            <w:vAlign w:val="bottom"/>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8"/>
        </w:trPr>
        <w:tc>
          <w:tcPr>
            <w:tcW w:w="1100" w:type="dxa"/>
            <w:vAlign w:val="bottom"/>
          </w:tcPr>
          <w:p>
            <w:pPr>
              <w:spacing w:after="0"/>
              <w:rPr>
                <w:sz w:val="20"/>
                <w:szCs w:val="20"/>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09/08/2020</w:t>
            </w:r>
          </w:p>
        </w:tc>
        <w:tc>
          <w:tcPr>
            <w:tcW w:w="440" w:type="dxa"/>
            <w:vAlign w:val="bottom"/>
          </w:tcPr>
          <w:p>
            <w:pPr>
              <w:ind w:left="80"/>
              <w:spacing w:after="0"/>
              <w:rPr>
                <w:sz w:val="20"/>
                <w:szCs w:val="20"/>
                <w:color w:val="auto"/>
              </w:rPr>
            </w:pPr>
            <w:r>
              <w:rPr>
                <w:rFonts w:ascii="Arial" w:cs="Arial" w:eastAsia="Arial" w:hAnsi="Arial"/>
                <w:sz w:val="14"/>
                <w:szCs w:val="14"/>
                <w:color w:val="auto"/>
              </w:rPr>
              <w:t>(3)</w:t>
            </w:r>
          </w:p>
        </w:tc>
        <w:tc>
          <w:tcPr>
            <w:tcW w:w="1080" w:type="dxa"/>
            <w:vAlign w:val="bottom"/>
          </w:tcPr>
          <w:p>
            <w:pPr>
              <w:jc w:val="center"/>
              <w:spacing w:after="0"/>
              <w:rPr>
                <w:sz w:val="20"/>
                <w:szCs w:val="20"/>
                <w:color w:val="auto"/>
              </w:rPr>
            </w:pPr>
            <w:r>
              <w:rPr>
                <w:rFonts w:ascii="Arial" w:cs="Arial" w:eastAsia="Arial" w:hAnsi="Arial"/>
                <w:sz w:val="14"/>
                <w:szCs w:val="14"/>
                <w:color w:val="auto"/>
              </w:rPr>
              <w:t>—</w:t>
            </w:r>
          </w:p>
        </w:tc>
        <w:tc>
          <w:tcPr>
            <w:tcW w:w="12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80" w:type="dxa"/>
            <w:vAlign w:val="bottom"/>
          </w:tcPr>
          <w:p>
            <w:pPr>
              <w:jc w:val="center"/>
              <w:spacing w:after="0"/>
              <w:rPr>
                <w:sz w:val="20"/>
                <w:szCs w:val="20"/>
                <w:color w:val="auto"/>
              </w:rPr>
            </w:pPr>
            <w:r>
              <w:rPr>
                <w:rFonts w:ascii="Arial" w:cs="Arial" w:eastAsia="Arial" w:hAnsi="Arial"/>
                <w:sz w:val="14"/>
                <w:szCs w:val="14"/>
                <w:color w:val="auto"/>
              </w:rPr>
              <w:t>23,182</w:t>
            </w:r>
          </w:p>
        </w:tc>
        <w:tc>
          <w:tcPr>
            <w:tcW w:w="1100" w:type="dxa"/>
            <w:vAlign w:val="bottom"/>
          </w:tcPr>
          <w:p>
            <w:pPr>
              <w:jc w:val="right"/>
              <w:ind w:right="29"/>
              <w:spacing w:after="0"/>
              <w:rPr>
                <w:sz w:val="20"/>
                <w:szCs w:val="20"/>
                <w:color w:val="auto"/>
              </w:rPr>
            </w:pPr>
            <w:r>
              <w:rPr>
                <w:rFonts w:ascii="Arial" w:cs="Arial" w:eastAsia="Arial" w:hAnsi="Arial"/>
                <w:sz w:val="14"/>
                <w:szCs w:val="14"/>
                <w:color w:val="auto"/>
              </w:rPr>
              <w:t>5,468,866</w:t>
            </w:r>
          </w:p>
        </w:tc>
        <w:tc>
          <w:tcPr>
            <w:tcW w:w="13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6"/>
        </w:trPr>
        <w:tc>
          <w:tcPr>
            <w:tcW w:w="1100" w:type="dxa"/>
            <w:vAlign w:val="bottom"/>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8"/>
        </w:trPr>
        <w:tc>
          <w:tcPr>
            <w:tcW w:w="1100" w:type="dxa"/>
            <w:vAlign w:val="bottom"/>
          </w:tcPr>
          <w:p>
            <w:pPr>
              <w:spacing w:after="0"/>
              <w:rPr>
                <w:sz w:val="20"/>
                <w:szCs w:val="20"/>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04/13/2021</w:t>
            </w:r>
          </w:p>
        </w:tc>
        <w:tc>
          <w:tcPr>
            <w:tcW w:w="440" w:type="dxa"/>
            <w:vAlign w:val="bottom"/>
          </w:tcPr>
          <w:p>
            <w:pPr>
              <w:ind w:left="80"/>
              <w:spacing w:after="0"/>
              <w:rPr>
                <w:sz w:val="20"/>
                <w:szCs w:val="20"/>
                <w:color w:val="auto"/>
              </w:rPr>
            </w:pPr>
            <w:r>
              <w:rPr>
                <w:rFonts w:ascii="Arial" w:cs="Arial" w:eastAsia="Arial" w:hAnsi="Arial"/>
                <w:sz w:val="14"/>
                <w:szCs w:val="14"/>
                <w:color w:val="auto"/>
              </w:rPr>
              <w:t>(6)</w:t>
            </w:r>
          </w:p>
        </w:tc>
        <w:tc>
          <w:tcPr>
            <w:tcW w:w="1080" w:type="dxa"/>
            <w:vAlign w:val="bottom"/>
          </w:tcPr>
          <w:p>
            <w:pPr>
              <w:jc w:val="center"/>
              <w:spacing w:after="0"/>
              <w:rPr>
                <w:sz w:val="20"/>
                <w:szCs w:val="20"/>
                <w:color w:val="auto"/>
              </w:rPr>
            </w:pPr>
            <w:r>
              <w:rPr>
                <w:rFonts w:ascii="Arial" w:cs="Arial" w:eastAsia="Arial" w:hAnsi="Arial"/>
                <w:sz w:val="14"/>
                <w:szCs w:val="14"/>
                <w:color w:val="auto"/>
              </w:rPr>
              <w:t>—</w:t>
            </w:r>
          </w:p>
        </w:tc>
        <w:tc>
          <w:tcPr>
            <w:tcW w:w="12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80" w:type="dxa"/>
            <w:vAlign w:val="bottom"/>
          </w:tcPr>
          <w:p>
            <w:pPr>
              <w:jc w:val="center"/>
              <w:spacing w:after="0"/>
              <w:rPr>
                <w:sz w:val="20"/>
                <w:szCs w:val="20"/>
                <w:color w:val="auto"/>
              </w:rPr>
            </w:pPr>
            <w:r>
              <w:rPr>
                <w:rFonts w:ascii="Arial" w:cs="Arial" w:eastAsia="Arial" w:hAnsi="Arial"/>
                <w:sz w:val="14"/>
                <w:szCs w:val="14"/>
                <w:color w:val="auto"/>
              </w:rPr>
              <w:t>27,659</w:t>
            </w:r>
          </w:p>
        </w:tc>
        <w:tc>
          <w:tcPr>
            <w:tcW w:w="1100" w:type="dxa"/>
            <w:vAlign w:val="bottom"/>
          </w:tcPr>
          <w:p>
            <w:pPr>
              <w:jc w:val="right"/>
              <w:ind w:right="29"/>
              <w:spacing w:after="0"/>
              <w:rPr>
                <w:sz w:val="20"/>
                <w:szCs w:val="20"/>
                <w:color w:val="auto"/>
              </w:rPr>
            </w:pPr>
            <w:r>
              <w:rPr>
                <w:rFonts w:ascii="Arial" w:cs="Arial" w:eastAsia="Arial" w:hAnsi="Arial"/>
                <w:sz w:val="14"/>
                <w:szCs w:val="14"/>
                <w:color w:val="auto"/>
              </w:rPr>
              <w:t>6,525,035</w:t>
            </w:r>
          </w:p>
        </w:tc>
        <w:tc>
          <w:tcPr>
            <w:tcW w:w="13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6"/>
        </w:trPr>
        <w:tc>
          <w:tcPr>
            <w:tcW w:w="11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8"/>
        </w:trPr>
        <w:tc>
          <w:tcPr>
            <w:tcW w:w="1100" w:type="dxa"/>
            <w:vAlign w:val="bottom"/>
          </w:tcPr>
          <w:p>
            <w:pPr>
              <w:spacing w:after="0"/>
              <w:rPr>
                <w:sz w:val="20"/>
                <w:szCs w:val="20"/>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01/15/2016</w:t>
            </w:r>
          </w:p>
        </w:tc>
        <w:tc>
          <w:tcPr>
            <w:tcW w:w="440" w:type="dxa"/>
            <w:vAlign w:val="bottom"/>
          </w:tcPr>
          <w:p>
            <w:pPr>
              <w:ind w:left="80"/>
              <w:spacing w:after="0"/>
              <w:rPr>
                <w:sz w:val="20"/>
                <w:szCs w:val="20"/>
                <w:color w:val="auto"/>
              </w:rPr>
            </w:pPr>
            <w:r>
              <w:rPr>
                <w:rFonts w:ascii="Arial" w:cs="Arial" w:eastAsia="Arial" w:hAnsi="Arial"/>
                <w:sz w:val="14"/>
                <w:szCs w:val="14"/>
                <w:color w:val="auto"/>
              </w:rPr>
              <w:t>(12)</w:t>
            </w:r>
          </w:p>
        </w:tc>
        <w:tc>
          <w:tcPr>
            <w:tcW w:w="1080" w:type="dxa"/>
            <w:vAlign w:val="bottom"/>
          </w:tcPr>
          <w:p>
            <w:pPr>
              <w:jc w:val="center"/>
              <w:spacing w:after="0"/>
              <w:rPr>
                <w:sz w:val="20"/>
                <w:szCs w:val="20"/>
                <w:color w:val="auto"/>
              </w:rPr>
            </w:pPr>
            <w:r>
              <w:rPr>
                <w:rFonts w:ascii="Arial" w:cs="Arial" w:eastAsia="Arial" w:hAnsi="Arial"/>
                <w:sz w:val="14"/>
                <w:szCs w:val="14"/>
                <w:color w:val="auto"/>
              </w:rPr>
              <w:t>32,000</w:t>
            </w:r>
          </w:p>
        </w:tc>
        <w:tc>
          <w:tcPr>
            <w:tcW w:w="12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4.40</w:t>
            </w:r>
          </w:p>
        </w:tc>
        <w:tc>
          <w:tcPr>
            <w:tcW w:w="860" w:type="dxa"/>
            <w:vAlign w:val="bottom"/>
          </w:tcPr>
          <w:p>
            <w:pPr>
              <w:jc w:val="center"/>
              <w:spacing w:after="0"/>
              <w:rPr>
                <w:sz w:val="20"/>
                <w:szCs w:val="20"/>
                <w:color w:val="auto"/>
              </w:rPr>
            </w:pPr>
            <w:r>
              <w:rPr>
                <w:rFonts w:ascii="Arial" w:cs="Arial" w:eastAsia="Arial" w:hAnsi="Arial"/>
                <w:sz w:val="14"/>
                <w:szCs w:val="14"/>
                <w:color w:val="auto"/>
              </w:rPr>
              <w:t>1/15/2023</w:t>
            </w:r>
          </w:p>
        </w:tc>
        <w:tc>
          <w:tcPr>
            <w:tcW w:w="8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1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3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6"/>
        </w:trPr>
        <w:tc>
          <w:tcPr>
            <w:tcW w:w="1100" w:type="dxa"/>
            <w:vAlign w:val="bottom"/>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8"/>
        </w:trPr>
        <w:tc>
          <w:tcPr>
            <w:tcW w:w="1100" w:type="dxa"/>
            <w:vAlign w:val="bottom"/>
          </w:tcPr>
          <w:p>
            <w:pPr>
              <w:spacing w:after="0"/>
              <w:rPr>
                <w:sz w:val="20"/>
                <w:szCs w:val="20"/>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10/05/2018</w:t>
            </w:r>
          </w:p>
        </w:tc>
        <w:tc>
          <w:tcPr>
            <w:tcW w:w="440" w:type="dxa"/>
            <w:vAlign w:val="bottom"/>
          </w:tcPr>
          <w:p>
            <w:pPr>
              <w:ind w:left="80"/>
              <w:spacing w:after="0"/>
              <w:rPr>
                <w:sz w:val="20"/>
                <w:szCs w:val="20"/>
                <w:color w:val="auto"/>
              </w:rPr>
            </w:pPr>
            <w:r>
              <w:rPr>
                <w:rFonts w:ascii="Arial" w:cs="Arial" w:eastAsia="Arial" w:hAnsi="Arial"/>
                <w:sz w:val="14"/>
                <w:szCs w:val="14"/>
                <w:color w:val="auto"/>
              </w:rPr>
              <w:t>(8)</w:t>
            </w:r>
          </w:p>
        </w:tc>
        <w:tc>
          <w:tcPr>
            <w:tcW w:w="1080" w:type="dxa"/>
            <w:vAlign w:val="bottom"/>
          </w:tcPr>
          <w:p>
            <w:pPr>
              <w:jc w:val="center"/>
              <w:spacing w:after="0"/>
              <w:rPr>
                <w:sz w:val="20"/>
                <w:szCs w:val="20"/>
                <w:color w:val="auto"/>
              </w:rPr>
            </w:pPr>
            <w:r>
              <w:rPr>
                <w:rFonts w:ascii="Arial" w:cs="Arial" w:eastAsia="Arial" w:hAnsi="Arial"/>
                <w:sz w:val="14"/>
                <w:szCs w:val="14"/>
                <w:color w:val="auto"/>
              </w:rPr>
              <w:t>—</w:t>
            </w:r>
          </w:p>
        </w:tc>
        <w:tc>
          <w:tcPr>
            <w:tcW w:w="12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80" w:type="dxa"/>
            <w:vAlign w:val="bottom"/>
          </w:tcPr>
          <w:p>
            <w:pPr>
              <w:jc w:val="center"/>
              <w:spacing w:after="0"/>
              <w:rPr>
                <w:sz w:val="20"/>
                <w:szCs w:val="20"/>
                <w:color w:val="auto"/>
              </w:rPr>
            </w:pPr>
            <w:r>
              <w:rPr>
                <w:rFonts w:ascii="Arial" w:cs="Arial" w:eastAsia="Arial" w:hAnsi="Arial"/>
                <w:sz w:val="14"/>
                <w:szCs w:val="14"/>
                <w:color w:val="auto"/>
              </w:rPr>
              <w:t>42,970</w:t>
            </w:r>
          </w:p>
        </w:tc>
        <w:tc>
          <w:tcPr>
            <w:tcW w:w="1100" w:type="dxa"/>
            <w:vAlign w:val="bottom"/>
          </w:tcPr>
          <w:p>
            <w:pPr>
              <w:jc w:val="right"/>
              <w:ind w:right="29"/>
              <w:spacing w:after="0"/>
              <w:rPr>
                <w:sz w:val="20"/>
                <w:szCs w:val="20"/>
                <w:color w:val="auto"/>
              </w:rPr>
            </w:pPr>
            <w:r>
              <w:rPr>
                <w:rFonts w:ascii="Arial" w:cs="Arial" w:eastAsia="Arial" w:hAnsi="Arial"/>
                <w:sz w:val="14"/>
                <w:szCs w:val="14"/>
                <w:color w:val="auto"/>
              </w:rPr>
              <w:t>10,137,053</w:t>
            </w:r>
          </w:p>
        </w:tc>
        <w:tc>
          <w:tcPr>
            <w:tcW w:w="13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6"/>
        </w:trPr>
        <w:tc>
          <w:tcPr>
            <w:tcW w:w="1100" w:type="dxa"/>
            <w:vAlign w:val="bottom"/>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9"/>
        </w:trPr>
        <w:tc>
          <w:tcPr>
            <w:tcW w:w="1100" w:type="dxa"/>
            <w:vAlign w:val="bottom"/>
          </w:tcPr>
          <w:p>
            <w:pPr>
              <w:ind w:left="100"/>
              <w:spacing w:after="0"/>
              <w:rPr>
                <w:sz w:val="20"/>
                <w:szCs w:val="20"/>
                <w:color w:val="auto"/>
              </w:rPr>
            </w:pPr>
            <w:r>
              <w:rPr>
                <w:rFonts w:ascii="Arial" w:cs="Arial" w:eastAsia="Arial" w:hAnsi="Arial"/>
                <w:sz w:val="14"/>
                <w:szCs w:val="14"/>
                <w:b w:val="1"/>
                <w:bCs w:val="1"/>
                <w:color w:val="auto"/>
              </w:rPr>
              <w:t>Robert</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10/31/2019</w:t>
            </w:r>
          </w:p>
        </w:tc>
        <w:tc>
          <w:tcPr>
            <w:tcW w:w="440" w:type="dxa"/>
            <w:vAlign w:val="bottom"/>
          </w:tcPr>
          <w:p>
            <w:pPr>
              <w:ind w:left="80"/>
              <w:spacing w:after="0"/>
              <w:rPr>
                <w:sz w:val="20"/>
                <w:szCs w:val="20"/>
                <w:color w:val="auto"/>
              </w:rPr>
            </w:pPr>
            <w:r>
              <w:rPr>
                <w:rFonts w:ascii="Arial" w:cs="Arial" w:eastAsia="Arial" w:hAnsi="Arial"/>
                <w:sz w:val="14"/>
                <w:szCs w:val="14"/>
                <w:color w:val="auto"/>
              </w:rPr>
              <w:t>(4)</w:t>
            </w:r>
          </w:p>
        </w:tc>
        <w:tc>
          <w:tcPr>
            <w:tcW w:w="1080" w:type="dxa"/>
            <w:vAlign w:val="bottom"/>
          </w:tcPr>
          <w:p>
            <w:pPr>
              <w:jc w:val="center"/>
              <w:spacing w:after="0"/>
              <w:rPr>
                <w:sz w:val="20"/>
                <w:szCs w:val="20"/>
                <w:color w:val="auto"/>
              </w:rPr>
            </w:pPr>
            <w:r>
              <w:rPr>
                <w:rFonts w:ascii="Arial" w:cs="Arial" w:eastAsia="Arial" w:hAnsi="Arial"/>
                <w:sz w:val="14"/>
                <w:szCs w:val="14"/>
                <w:color w:val="auto"/>
              </w:rPr>
              <w:t>—</w:t>
            </w:r>
          </w:p>
        </w:tc>
        <w:tc>
          <w:tcPr>
            <w:tcW w:w="12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80" w:type="dxa"/>
            <w:vAlign w:val="bottom"/>
          </w:tcPr>
          <w:p>
            <w:pPr>
              <w:jc w:val="center"/>
              <w:spacing w:after="0"/>
              <w:rPr>
                <w:sz w:val="20"/>
                <w:szCs w:val="20"/>
                <w:color w:val="auto"/>
              </w:rPr>
            </w:pPr>
            <w:r>
              <w:rPr>
                <w:rFonts w:ascii="Arial" w:cs="Arial" w:eastAsia="Arial" w:hAnsi="Arial"/>
                <w:sz w:val="14"/>
                <w:szCs w:val="14"/>
                <w:color w:val="auto"/>
              </w:rPr>
              <w:t>26,713</w:t>
            </w:r>
          </w:p>
        </w:tc>
        <w:tc>
          <w:tcPr>
            <w:tcW w:w="1100" w:type="dxa"/>
            <w:vAlign w:val="bottom"/>
          </w:tcPr>
          <w:p>
            <w:pPr>
              <w:jc w:val="right"/>
              <w:ind w:right="29"/>
              <w:spacing w:after="0"/>
              <w:rPr>
                <w:sz w:val="20"/>
                <w:szCs w:val="20"/>
                <w:color w:val="auto"/>
              </w:rPr>
            </w:pPr>
            <w:r>
              <w:rPr>
                <w:rFonts w:ascii="Arial" w:cs="Arial" w:eastAsia="Arial" w:hAnsi="Arial"/>
                <w:sz w:val="14"/>
                <w:szCs w:val="14"/>
                <w:color w:val="auto"/>
              </w:rPr>
              <w:t>6,301,864</w:t>
            </w:r>
          </w:p>
        </w:tc>
        <w:tc>
          <w:tcPr>
            <w:tcW w:w="13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
        </w:trPr>
        <w:tc>
          <w:tcPr>
            <w:tcW w:w="110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Schlossman</w:t>
            </w: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100" w:type="dxa"/>
            <w:vAlign w:val="bottom"/>
            <w:vMerge w:val="continue"/>
          </w:tcPr>
          <w:p>
            <w:pPr>
              <w:spacing w:after="0"/>
              <w:rPr>
                <w:sz w:val="16"/>
                <w:szCs w:val="16"/>
                <w:color w:val="auto"/>
              </w:rPr>
            </w:pPr>
          </w:p>
        </w:tc>
        <w:tc>
          <w:tcPr>
            <w:tcW w:w="960" w:type="dxa"/>
            <w:vAlign w:val="bottom"/>
            <w:vMerge w:val="restart"/>
          </w:tcPr>
          <w:p>
            <w:pPr>
              <w:jc w:val="right"/>
              <w:ind w:right="8"/>
              <w:spacing w:after="0"/>
              <w:rPr>
                <w:sz w:val="20"/>
                <w:szCs w:val="20"/>
                <w:color w:val="auto"/>
              </w:rPr>
            </w:pPr>
            <w:r>
              <w:rPr>
                <w:rFonts w:ascii="Arial" w:cs="Arial" w:eastAsia="Arial" w:hAnsi="Arial"/>
                <w:sz w:val="14"/>
                <w:szCs w:val="14"/>
                <w:color w:val="auto"/>
              </w:rPr>
              <w:t>06/02/2020</w:t>
            </w:r>
          </w:p>
        </w:tc>
        <w:tc>
          <w:tcPr>
            <w:tcW w:w="440" w:type="dxa"/>
            <w:vAlign w:val="bottom"/>
            <w:vMerge w:val="restart"/>
          </w:tcPr>
          <w:p>
            <w:pPr>
              <w:ind w:left="80"/>
              <w:spacing w:after="0"/>
              <w:rPr>
                <w:sz w:val="20"/>
                <w:szCs w:val="20"/>
                <w:color w:val="auto"/>
              </w:rPr>
            </w:pPr>
            <w:r>
              <w:rPr>
                <w:rFonts w:ascii="Arial" w:cs="Arial" w:eastAsia="Arial" w:hAnsi="Arial"/>
                <w:sz w:val="14"/>
                <w:szCs w:val="14"/>
                <w:color w:val="auto"/>
              </w:rPr>
              <w:t>(4)</w:t>
            </w:r>
          </w:p>
        </w:tc>
        <w:tc>
          <w:tcPr>
            <w:tcW w:w="108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124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94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880" w:type="dxa"/>
            <w:vAlign w:val="bottom"/>
            <w:vMerge w:val="restart"/>
          </w:tcPr>
          <w:p>
            <w:pPr>
              <w:jc w:val="center"/>
              <w:spacing w:after="0"/>
              <w:rPr>
                <w:sz w:val="20"/>
                <w:szCs w:val="20"/>
                <w:color w:val="auto"/>
              </w:rPr>
            </w:pPr>
            <w:r>
              <w:rPr>
                <w:rFonts w:ascii="Arial" w:cs="Arial" w:eastAsia="Arial" w:hAnsi="Arial"/>
                <w:sz w:val="14"/>
                <w:szCs w:val="14"/>
                <w:color w:val="auto"/>
              </w:rPr>
              <w:t>23,574</w:t>
            </w:r>
          </w:p>
        </w:tc>
        <w:tc>
          <w:tcPr>
            <w:tcW w:w="1100" w:type="dxa"/>
            <w:vAlign w:val="bottom"/>
            <w:vMerge w:val="restart"/>
          </w:tcPr>
          <w:p>
            <w:pPr>
              <w:jc w:val="right"/>
              <w:ind w:right="29"/>
              <w:spacing w:after="0"/>
              <w:rPr>
                <w:sz w:val="20"/>
                <w:szCs w:val="20"/>
                <w:color w:val="auto"/>
              </w:rPr>
            </w:pPr>
            <w:r>
              <w:rPr>
                <w:rFonts w:ascii="Arial" w:cs="Arial" w:eastAsia="Arial" w:hAnsi="Arial"/>
                <w:sz w:val="14"/>
                <w:szCs w:val="14"/>
                <w:color w:val="auto"/>
              </w:rPr>
              <w:t>5,561,342</w:t>
            </w:r>
          </w:p>
        </w:tc>
        <w:tc>
          <w:tcPr>
            <w:tcW w:w="132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13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4"/>
        </w:trPr>
        <w:tc>
          <w:tcPr>
            <w:tcW w:w="110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440" w:type="dxa"/>
            <w:vAlign w:val="bottom"/>
            <w:vMerge w:val="continue"/>
          </w:tcPr>
          <w:p>
            <w:pPr>
              <w:spacing w:after="0"/>
              <w:rPr>
                <w:sz w:val="4"/>
                <w:szCs w:val="4"/>
                <w:color w:val="auto"/>
              </w:rPr>
            </w:pPr>
          </w:p>
        </w:tc>
        <w:tc>
          <w:tcPr>
            <w:tcW w:w="1080" w:type="dxa"/>
            <w:vAlign w:val="bottom"/>
            <w:vMerge w:val="continue"/>
          </w:tcPr>
          <w:p>
            <w:pPr>
              <w:spacing w:after="0"/>
              <w:rPr>
                <w:sz w:val="4"/>
                <w:szCs w:val="4"/>
                <w:color w:val="auto"/>
              </w:rPr>
            </w:pPr>
          </w:p>
        </w:tc>
        <w:tc>
          <w:tcPr>
            <w:tcW w:w="124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100" w:type="dxa"/>
            <w:vAlign w:val="bottom"/>
            <w:vMerge w:val="continue"/>
          </w:tcPr>
          <w:p>
            <w:pPr>
              <w:spacing w:after="0"/>
              <w:rPr>
                <w:sz w:val="4"/>
                <w:szCs w:val="4"/>
                <w:color w:val="auto"/>
              </w:rPr>
            </w:pPr>
          </w:p>
        </w:tc>
        <w:tc>
          <w:tcPr>
            <w:tcW w:w="1320" w:type="dxa"/>
            <w:vAlign w:val="bottom"/>
            <w:vMerge w:val="continue"/>
          </w:tcPr>
          <w:p>
            <w:pPr>
              <w:spacing w:after="0"/>
              <w:rPr>
                <w:sz w:val="4"/>
                <w:szCs w:val="4"/>
                <w:color w:val="auto"/>
              </w:rPr>
            </w:pPr>
          </w:p>
        </w:tc>
        <w:tc>
          <w:tcPr>
            <w:tcW w:w="13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6"/>
        </w:trPr>
        <w:tc>
          <w:tcPr>
            <w:tcW w:w="1100" w:type="dxa"/>
            <w:vAlign w:val="bottom"/>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8"/>
        </w:trPr>
        <w:tc>
          <w:tcPr>
            <w:tcW w:w="1100" w:type="dxa"/>
            <w:vAlign w:val="bottom"/>
          </w:tcPr>
          <w:p>
            <w:pPr>
              <w:spacing w:after="0"/>
              <w:rPr>
                <w:sz w:val="20"/>
                <w:szCs w:val="20"/>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06/02/2020</w:t>
            </w:r>
          </w:p>
        </w:tc>
        <w:tc>
          <w:tcPr>
            <w:tcW w:w="440" w:type="dxa"/>
            <w:vAlign w:val="bottom"/>
          </w:tcPr>
          <w:p>
            <w:pPr>
              <w:ind w:left="80"/>
              <w:spacing w:after="0"/>
              <w:rPr>
                <w:sz w:val="20"/>
                <w:szCs w:val="20"/>
                <w:color w:val="auto"/>
              </w:rPr>
            </w:pPr>
            <w:r>
              <w:rPr>
                <w:rFonts w:ascii="Arial" w:cs="Arial" w:eastAsia="Arial" w:hAnsi="Arial"/>
                <w:sz w:val="14"/>
                <w:szCs w:val="14"/>
                <w:color w:val="auto"/>
              </w:rPr>
              <w:t>(5)</w:t>
            </w:r>
          </w:p>
        </w:tc>
        <w:tc>
          <w:tcPr>
            <w:tcW w:w="1080" w:type="dxa"/>
            <w:vAlign w:val="bottom"/>
          </w:tcPr>
          <w:p>
            <w:pPr>
              <w:jc w:val="center"/>
              <w:spacing w:after="0"/>
              <w:rPr>
                <w:sz w:val="20"/>
                <w:szCs w:val="20"/>
                <w:color w:val="auto"/>
              </w:rPr>
            </w:pPr>
            <w:r>
              <w:rPr>
                <w:rFonts w:ascii="Arial" w:cs="Arial" w:eastAsia="Arial" w:hAnsi="Arial"/>
                <w:sz w:val="14"/>
                <w:szCs w:val="14"/>
                <w:color w:val="auto"/>
              </w:rPr>
              <w:t>—</w:t>
            </w:r>
          </w:p>
        </w:tc>
        <w:tc>
          <w:tcPr>
            <w:tcW w:w="12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1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320" w:type="dxa"/>
            <w:vAlign w:val="bottom"/>
          </w:tcPr>
          <w:p>
            <w:pPr>
              <w:jc w:val="center"/>
              <w:spacing w:after="0"/>
              <w:rPr>
                <w:sz w:val="20"/>
                <w:szCs w:val="20"/>
                <w:color w:val="auto"/>
              </w:rPr>
            </w:pPr>
            <w:r>
              <w:rPr>
                <w:rFonts w:ascii="Arial" w:cs="Arial" w:eastAsia="Arial" w:hAnsi="Arial"/>
                <w:sz w:val="14"/>
                <w:szCs w:val="14"/>
                <w:color w:val="auto"/>
              </w:rPr>
              <w:t>29,014</w:t>
            </w: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6,844,693</w:t>
            </w:r>
          </w:p>
        </w:tc>
        <w:tc>
          <w:tcPr>
            <w:tcW w:w="0" w:type="dxa"/>
            <w:vAlign w:val="bottom"/>
          </w:tcPr>
          <w:p>
            <w:pPr>
              <w:spacing w:after="0"/>
              <w:rPr>
                <w:sz w:val="1"/>
                <w:szCs w:val="1"/>
                <w:color w:val="auto"/>
              </w:rPr>
            </w:pPr>
          </w:p>
        </w:tc>
      </w:tr>
      <w:tr>
        <w:trPr>
          <w:trHeight w:val="66"/>
        </w:trPr>
        <w:tc>
          <w:tcPr>
            <w:tcW w:w="1100" w:type="dxa"/>
            <w:vAlign w:val="bottom"/>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8"/>
        </w:trPr>
        <w:tc>
          <w:tcPr>
            <w:tcW w:w="1100" w:type="dxa"/>
            <w:vAlign w:val="bottom"/>
          </w:tcPr>
          <w:p>
            <w:pPr>
              <w:spacing w:after="0"/>
              <w:rPr>
                <w:sz w:val="20"/>
                <w:szCs w:val="20"/>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04/13/2021</w:t>
            </w:r>
          </w:p>
        </w:tc>
        <w:tc>
          <w:tcPr>
            <w:tcW w:w="440" w:type="dxa"/>
            <w:vAlign w:val="bottom"/>
          </w:tcPr>
          <w:p>
            <w:pPr>
              <w:ind w:left="80"/>
              <w:spacing w:after="0"/>
              <w:rPr>
                <w:sz w:val="20"/>
                <w:szCs w:val="20"/>
                <w:color w:val="auto"/>
              </w:rPr>
            </w:pPr>
            <w:r>
              <w:rPr>
                <w:rFonts w:ascii="Arial" w:cs="Arial" w:eastAsia="Arial" w:hAnsi="Arial"/>
                <w:sz w:val="14"/>
                <w:szCs w:val="14"/>
                <w:color w:val="auto"/>
              </w:rPr>
              <w:t>(6)</w:t>
            </w:r>
          </w:p>
        </w:tc>
        <w:tc>
          <w:tcPr>
            <w:tcW w:w="1080" w:type="dxa"/>
            <w:vAlign w:val="bottom"/>
          </w:tcPr>
          <w:p>
            <w:pPr>
              <w:jc w:val="center"/>
              <w:spacing w:after="0"/>
              <w:rPr>
                <w:sz w:val="20"/>
                <w:szCs w:val="20"/>
                <w:color w:val="auto"/>
              </w:rPr>
            </w:pPr>
            <w:r>
              <w:rPr>
                <w:rFonts w:ascii="Arial" w:cs="Arial" w:eastAsia="Arial" w:hAnsi="Arial"/>
                <w:sz w:val="14"/>
                <w:szCs w:val="14"/>
                <w:color w:val="auto"/>
              </w:rPr>
              <w:t>—</w:t>
            </w:r>
          </w:p>
        </w:tc>
        <w:tc>
          <w:tcPr>
            <w:tcW w:w="12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80" w:type="dxa"/>
            <w:vAlign w:val="bottom"/>
          </w:tcPr>
          <w:p>
            <w:pPr>
              <w:jc w:val="center"/>
              <w:spacing w:after="0"/>
              <w:rPr>
                <w:sz w:val="20"/>
                <w:szCs w:val="20"/>
                <w:color w:val="auto"/>
              </w:rPr>
            </w:pPr>
            <w:r>
              <w:rPr>
                <w:rFonts w:ascii="Arial" w:cs="Arial" w:eastAsia="Arial" w:hAnsi="Arial"/>
                <w:sz w:val="14"/>
                <w:szCs w:val="14"/>
                <w:color w:val="auto"/>
              </w:rPr>
              <w:t>11,064</w:t>
            </w:r>
          </w:p>
        </w:tc>
        <w:tc>
          <w:tcPr>
            <w:tcW w:w="1100" w:type="dxa"/>
            <w:vAlign w:val="bottom"/>
          </w:tcPr>
          <w:p>
            <w:pPr>
              <w:jc w:val="right"/>
              <w:ind w:right="29"/>
              <w:spacing w:after="0"/>
              <w:rPr>
                <w:sz w:val="20"/>
                <w:szCs w:val="20"/>
                <w:color w:val="auto"/>
              </w:rPr>
            </w:pPr>
            <w:r>
              <w:rPr>
                <w:rFonts w:ascii="Arial" w:cs="Arial" w:eastAsia="Arial" w:hAnsi="Arial"/>
                <w:sz w:val="14"/>
                <w:szCs w:val="14"/>
                <w:color w:val="auto"/>
              </w:rPr>
              <w:t>2,610,108</w:t>
            </w:r>
          </w:p>
        </w:tc>
        <w:tc>
          <w:tcPr>
            <w:tcW w:w="13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6"/>
        </w:trPr>
        <w:tc>
          <w:tcPr>
            <w:tcW w:w="11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2640" w:type="dxa"/>
            <w:vAlign w:val="bottom"/>
            <w:tcBorders>
              <w:bottom w:val="single" w:sz="8" w:color="auto"/>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832"/>
        </w:trPr>
        <w:tc>
          <w:tcPr>
            <w:tcW w:w="1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60</w:t>
            </w: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40" w:type="dxa"/>
            <w:vAlign w:val="bottom"/>
            <w:gridSpan w:val="2"/>
          </w:tcPr>
          <w:p>
            <w:pPr>
              <w:jc w:val="right"/>
              <w:spacing w:after="0"/>
              <w:rPr>
                <w:sz w:val="20"/>
                <w:szCs w:val="20"/>
                <w:color w:val="auto"/>
              </w:rPr>
            </w:pPr>
            <w:r>
              <w:rPr>
                <w:rFonts w:ascii="Arial" w:cs="Arial" w:eastAsia="Arial" w:hAnsi="Arial"/>
                <w:sz w:val="14"/>
                <w:szCs w:val="14"/>
                <w:color w:val="auto"/>
              </w:rPr>
              <w:t>2021 Proxy Statement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-6995160</wp:posOffset>
            </wp:positionV>
            <wp:extent cx="8890" cy="89979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8890" cy="89979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-189230</wp:posOffset>
            </wp:positionV>
            <wp:extent cx="342900" cy="21463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342900" cy="214630"/>
                    </a:xfrm>
                    <a:prstGeom prst="rect">
                      <a:avLst/>
                    </a:prstGeom>
                    <a:noFill/>
                  </pic:spPr>
                </pic:pic>
              </a:graphicData>
            </a:graphic>
          </wp:anchor>
        </w:drawing>
      </w:r>
    </w:p>
    <w:p>
      <w:pPr>
        <w:sectPr>
          <w:pgSz w:w="11900" w:h="16838" w:orient="portrait"/>
          <w:cols w:equalWidth="0" w:num="1">
            <w:col w:w="11240"/>
          </w:cols>
          <w:pgMar w:left="320" w:top="172" w:right="339" w:bottom="1440" w:gutter="0" w:footer="0" w:header="0"/>
        </w:sectPr>
      </w:pPr>
    </w:p>
    <w:bookmarkStart w:id="64" w:name="page65"/>
    <w:bookmarkEnd w:id="64"/>
    <w:p>
      <w:pPr>
        <w:ind w:left="272"/>
        <w:spacing w:after="0"/>
        <w:rPr>
          <w:sz w:val="20"/>
          <w:szCs w:val="20"/>
          <w:color w:val="auto"/>
        </w:rPr>
      </w:pPr>
      <w:r>
        <w:rPr>
          <w:rFonts w:ascii="Arial" w:cs="Arial" w:eastAsia="Arial" w:hAnsi="Arial"/>
          <w:sz w:val="13"/>
          <w:szCs w:val="13"/>
          <w:b w:val="1"/>
          <w:bCs w:val="1"/>
          <w:color w:val="929292"/>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-63500</wp:posOffset>
            </wp:positionV>
            <wp:extent cx="77470" cy="6032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7470" cy="60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32" w:right="20" w:hanging="332"/>
        <w:spacing w:after="0" w:line="242" w:lineRule="auto"/>
        <w:tabs>
          <w:tab w:leader="none" w:pos="324" w:val="left"/>
        </w:tabs>
        <w:numPr>
          <w:ilvl w:val="0"/>
          <w:numId w:val="49"/>
        </w:numPr>
        <w:rPr>
          <w:rFonts w:ascii="Arial" w:cs="Arial" w:eastAsia="Arial" w:hAnsi="Arial"/>
          <w:sz w:val="13"/>
          <w:szCs w:val="13"/>
          <w:color w:val="auto"/>
        </w:rPr>
      </w:pPr>
      <w:r>
        <w:rPr>
          <w:rFonts w:ascii="Arial" w:cs="Arial" w:eastAsia="Arial" w:hAnsi="Arial"/>
          <w:sz w:val="13"/>
          <w:szCs w:val="13"/>
          <w:color w:val="auto"/>
        </w:rPr>
        <w:t>This column represents the market value of the shares underlying the RSUs or PSUs, as applicable, as of July 31, 2021, based on the closing price of our common stock, as reported on NASDAQ, of $235.91 per share on July 30, 2021.</w:t>
      </w:r>
    </w:p>
    <w:p>
      <w:pPr>
        <w:spacing w:after="0" w:line="49" w:lineRule="exact"/>
        <w:rPr>
          <w:rFonts w:ascii="Arial" w:cs="Arial" w:eastAsia="Arial" w:hAnsi="Arial"/>
          <w:sz w:val="13"/>
          <w:szCs w:val="13"/>
          <w:color w:val="auto"/>
        </w:rPr>
      </w:pPr>
    </w:p>
    <w:p>
      <w:pPr>
        <w:ind w:left="332" w:right="100" w:hanging="332"/>
        <w:spacing w:after="0"/>
        <w:tabs>
          <w:tab w:leader="none" w:pos="324" w:val="left"/>
        </w:tabs>
        <w:numPr>
          <w:ilvl w:val="0"/>
          <w:numId w:val="49"/>
        </w:numPr>
        <w:rPr>
          <w:rFonts w:ascii="Arial" w:cs="Arial" w:eastAsia="Arial" w:hAnsi="Arial"/>
          <w:sz w:val="13"/>
          <w:szCs w:val="13"/>
          <w:color w:val="auto"/>
        </w:rPr>
      </w:pPr>
      <w:r>
        <w:rPr>
          <w:rFonts w:ascii="Arial" w:cs="Arial" w:eastAsia="Arial" w:hAnsi="Arial"/>
          <w:sz w:val="13"/>
          <w:szCs w:val="13"/>
          <w:color w:val="auto"/>
        </w:rPr>
        <w:t>Upon achievement of specified performance metrics, earned PSUs vest on September 15, 2022, or the first quarterly vesting date after achievement has been certified. Because the performance metrics for this award had not been determined in FY 2021 (and hence, no grant date fair value could be determined), it was not included in the summary compensation table or grants of plan-based awards table above. Amounts reported are at 100% target level of achievement, with maximum achievement paying out at 150%</w:t>
      </w:r>
    </w:p>
    <w:p>
      <w:pPr>
        <w:spacing w:after="0" w:line="51" w:lineRule="exact"/>
        <w:rPr>
          <w:rFonts w:ascii="Arial" w:cs="Arial" w:eastAsia="Arial" w:hAnsi="Arial"/>
          <w:sz w:val="13"/>
          <w:szCs w:val="13"/>
          <w:color w:val="auto"/>
        </w:rPr>
      </w:pPr>
    </w:p>
    <w:p>
      <w:pPr>
        <w:ind w:left="332" w:right="180" w:hanging="332"/>
        <w:spacing w:after="0" w:line="242" w:lineRule="auto"/>
        <w:tabs>
          <w:tab w:leader="none" w:pos="324" w:val="left"/>
        </w:tabs>
        <w:numPr>
          <w:ilvl w:val="0"/>
          <w:numId w:val="49"/>
        </w:numPr>
        <w:rPr>
          <w:rFonts w:ascii="Arial" w:cs="Arial" w:eastAsia="Arial" w:hAnsi="Arial"/>
          <w:sz w:val="13"/>
          <w:szCs w:val="13"/>
          <w:color w:val="auto"/>
        </w:rPr>
      </w:pPr>
      <w:r>
        <w:rPr>
          <w:rFonts w:ascii="Arial" w:cs="Arial" w:eastAsia="Arial" w:hAnsi="Arial"/>
          <w:sz w:val="13"/>
          <w:szCs w:val="13"/>
          <w:color w:val="auto"/>
        </w:rPr>
        <w:t>Upon achievement of specified performance metrics, earned PSUs vest on September 15, 2021, or the first quarterly vesting date after achievement has been certified. Amounts reported reflect achievement at target. PSUs were achieved at 129.25% of target in fiscal 2021.</w:t>
      </w:r>
    </w:p>
    <w:p>
      <w:pPr>
        <w:spacing w:after="0" w:line="49" w:lineRule="exact"/>
        <w:rPr>
          <w:rFonts w:ascii="Arial" w:cs="Arial" w:eastAsia="Arial" w:hAnsi="Arial"/>
          <w:sz w:val="13"/>
          <w:szCs w:val="13"/>
          <w:color w:val="auto"/>
        </w:rPr>
      </w:pPr>
    </w:p>
    <w:p>
      <w:pPr>
        <w:ind w:left="312" w:hanging="312"/>
        <w:spacing w:after="0"/>
        <w:tabs>
          <w:tab w:leader="none" w:pos="312" w:val="left"/>
        </w:tabs>
        <w:numPr>
          <w:ilvl w:val="0"/>
          <w:numId w:val="49"/>
        </w:numPr>
        <w:rPr>
          <w:rFonts w:ascii="Arial" w:cs="Arial" w:eastAsia="Arial" w:hAnsi="Arial"/>
          <w:sz w:val="13"/>
          <w:szCs w:val="13"/>
          <w:color w:val="auto"/>
        </w:rPr>
      </w:pPr>
      <w:r>
        <w:rPr>
          <w:rFonts w:ascii="Arial" w:cs="Arial" w:eastAsia="Arial" w:hAnsi="Arial"/>
          <w:sz w:val="13"/>
          <w:szCs w:val="13"/>
          <w:color w:val="auto"/>
        </w:rPr>
        <w:t>The remaining RSUs vest in 13 equal quarterly installments through September 15, 2024.</w:t>
      </w:r>
    </w:p>
    <w:p>
      <w:pPr>
        <w:spacing w:after="0" w:line="53" w:lineRule="exact"/>
        <w:rPr>
          <w:rFonts w:ascii="Arial" w:cs="Arial" w:eastAsia="Arial" w:hAnsi="Arial"/>
          <w:sz w:val="13"/>
          <w:szCs w:val="13"/>
          <w:color w:val="auto"/>
        </w:rPr>
      </w:pPr>
    </w:p>
    <w:p>
      <w:pPr>
        <w:ind w:left="332" w:right="40" w:hanging="332"/>
        <w:spacing w:after="0" w:line="239" w:lineRule="auto"/>
        <w:tabs>
          <w:tab w:leader="none" w:pos="324" w:val="left"/>
        </w:tabs>
        <w:numPr>
          <w:ilvl w:val="0"/>
          <w:numId w:val="49"/>
        </w:numPr>
        <w:rPr>
          <w:rFonts w:ascii="Arial" w:cs="Arial" w:eastAsia="Arial" w:hAnsi="Arial"/>
          <w:sz w:val="13"/>
          <w:szCs w:val="13"/>
          <w:color w:val="auto"/>
        </w:rPr>
      </w:pPr>
      <w:r>
        <w:rPr>
          <w:rFonts w:ascii="Arial" w:cs="Arial" w:eastAsia="Arial" w:hAnsi="Arial"/>
          <w:sz w:val="13"/>
          <w:szCs w:val="13"/>
          <w:color w:val="auto"/>
        </w:rPr>
        <w:t>Upon achievement of specified performance metrics, earned PSUs vest 25% on September 15, 2022 or the first quarterly vesting date after achievement has been certified and the remaining 75% vest in 12 equal quarterly installments beginning on December 15, 2022. Because the performance metrics for this award had not been determined in fiscal 2021 (and hence, no grant date fair value could be determined), it was not included in the summary compensation table or grants of plan-based awards table above. Amounts reported are at 100% target level of achievement, with maximum achievement paying out at 125%.</w:t>
      </w:r>
    </w:p>
    <w:p>
      <w:pPr>
        <w:spacing w:after="0" w:line="52" w:lineRule="exact"/>
        <w:rPr>
          <w:rFonts w:ascii="Arial" w:cs="Arial" w:eastAsia="Arial" w:hAnsi="Arial"/>
          <w:sz w:val="13"/>
          <w:szCs w:val="13"/>
          <w:color w:val="auto"/>
        </w:rPr>
      </w:pPr>
    </w:p>
    <w:p>
      <w:pPr>
        <w:ind w:left="332" w:right="440" w:hanging="332"/>
        <w:spacing w:after="0" w:line="242" w:lineRule="auto"/>
        <w:tabs>
          <w:tab w:leader="none" w:pos="324" w:val="left"/>
        </w:tabs>
        <w:numPr>
          <w:ilvl w:val="0"/>
          <w:numId w:val="49"/>
        </w:numPr>
        <w:rPr>
          <w:rFonts w:ascii="Arial" w:cs="Arial" w:eastAsia="Arial" w:hAnsi="Arial"/>
          <w:sz w:val="13"/>
          <w:szCs w:val="13"/>
          <w:color w:val="auto"/>
        </w:rPr>
      </w:pPr>
      <w:r>
        <w:rPr>
          <w:rFonts w:ascii="Arial" w:cs="Arial" w:eastAsia="Arial" w:hAnsi="Arial"/>
          <w:sz w:val="13"/>
          <w:szCs w:val="13"/>
          <w:color w:val="auto"/>
        </w:rPr>
        <w:t>The RSUs vest as follows: (i) 10% of the RSUs vest in four equal quarterly installments beginning on December 15, 2022, (ii) 40% of the RSUs vest in eight equal installments beginning on December 15, 2023 and (iii) 50% of the RSUs vest in eight equal installments beginning on December 15, 2025.</w:t>
      </w:r>
    </w:p>
    <w:p>
      <w:pPr>
        <w:spacing w:after="0" w:line="49" w:lineRule="exact"/>
        <w:rPr>
          <w:rFonts w:ascii="Arial" w:cs="Arial" w:eastAsia="Arial" w:hAnsi="Arial"/>
          <w:sz w:val="13"/>
          <w:szCs w:val="13"/>
          <w:color w:val="auto"/>
        </w:rPr>
      </w:pPr>
    </w:p>
    <w:p>
      <w:pPr>
        <w:ind w:left="312" w:hanging="312"/>
        <w:spacing w:after="0"/>
        <w:tabs>
          <w:tab w:leader="none" w:pos="312" w:val="left"/>
        </w:tabs>
        <w:numPr>
          <w:ilvl w:val="0"/>
          <w:numId w:val="49"/>
        </w:numPr>
        <w:rPr>
          <w:rFonts w:ascii="Arial" w:cs="Arial" w:eastAsia="Arial" w:hAnsi="Arial"/>
          <w:sz w:val="13"/>
          <w:szCs w:val="13"/>
          <w:color w:val="auto"/>
        </w:rPr>
      </w:pPr>
      <w:r>
        <w:rPr>
          <w:rFonts w:ascii="Arial" w:cs="Arial" w:eastAsia="Arial" w:hAnsi="Arial"/>
          <w:sz w:val="13"/>
          <w:szCs w:val="13"/>
          <w:color w:val="auto"/>
        </w:rPr>
        <w:t>One-fourth of the shares subject to the option vested on November 1, 2018 and 1/48 of the shares vest monthly thereafter.</w:t>
      </w:r>
    </w:p>
    <w:p>
      <w:pPr>
        <w:spacing w:after="0" w:line="53" w:lineRule="exact"/>
        <w:rPr>
          <w:rFonts w:ascii="Arial" w:cs="Arial" w:eastAsia="Arial" w:hAnsi="Arial"/>
          <w:sz w:val="13"/>
          <w:szCs w:val="13"/>
          <w:color w:val="auto"/>
        </w:rPr>
      </w:pPr>
    </w:p>
    <w:p>
      <w:pPr>
        <w:ind w:left="332" w:right="380" w:hanging="332"/>
        <w:spacing w:after="0" w:line="242" w:lineRule="auto"/>
        <w:tabs>
          <w:tab w:leader="none" w:pos="324" w:val="left"/>
        </w:tabs>
        <w:numPr>
          <w:ilvl w:val="0"/>
          <w:numId w:val="49"/>
        </w:numPr>
        <w:rPr>
          <w:rFonts w:ascii="Arial" w:cs="Arial" w:eastAsia="Arial" w:hAnsi="Arial"/>
          <w:sz w:val="13"/>
          <w:szCs w:val="13"/>
          <w:color w:val="auto"/>
        </w:rPr>
      </w:pPr>
      <w:r>
        <w:rPr>
          <w:rFonts w:ascii="Arial" w:cs="Arial" w:eastAsia="Arial" w:hAnsi="Arial"/>
          <w:sz w:val="13"/>
          <w:szCs w:val="13"/>
          <w:color w:val="auto"/>
        </w:rPr>
        <w:t>The remaining RSUs vest as follows: (i) 41% of RSUs vest in 9 equal quarterly installments through September 15, 2023 and (ii) 59% of RSUs vest in 13 equal quarterly installments through September 15, 2024.</w:t>
      </w:r>
    </w:p>
    <w:p>
      <w:pPr>
        <w:spacing w:after="0" w:line="49" w:lineRule="exact"/>
        <w:rPr>
          <w:rFonts w:ascii="Arial" w:cs="Arial" w:eastAsia="Arial" w:hAnsi="Arial"/>
          <w:sz w:val="13"/>
          <w:szCs w:val="13"/>
          <w:color w:val="auto"/>
        </w:rPr>
      </w:pPr>
    </w:p>
    <w:p>
      <w:pPr>
        <w:ind w:left="312" w:hanging="312"/>
        <w:spacing w:after="0"/>
        <w:tabs>
          <w:tab w:leader="none" w:pos="312" w:val="left"/>
        </w:tabs>
        <w:numPr>
          <w:ilvl w:val="0"/>
          <w:numId w:val="49"/>
        </w:numPr>
        <w:rPr>
          <w:rFonts w:ascii="Arial" w:cs="Arial" w:eastAsia="Arial" w:hAnsi="Arial"/>
          <w:sz w:val="13"/>
          <w:szCs w:val="13"/>
          <w:color w:val="auto"/>
        </w:rPr>
      </w:pPr>
      <w:r>
        <w:rPr>
          <w:rFonts w:ascii="Arial" w:cs="Arial" w:eastAsia="Arial" w:hAnsi="Arial"/>
          <w:sz w:val="13"/>
          <w:szCs w:val="13"/>
          <w:color w:val="auto"/>
        </w:rPr>
        <w:t>One-fourth of the shares subject to the option vested on September 10, 2020 and 1/48th of the shares vest monthly thereafter.</w:t>
      </w:r>
    </w:p>
    <w:p>
      <w:pPr>
        <w:spacing w:after="0" w:line="53" w:lineRule="exact"/>
        <w:rPr>
          <w:rFonts w:ascii="Arial" w:cs="Arial" w:eastAsia="Arial" w:hAnsi="Arial"/>
          <w:sz w:val="13"/>
          <w:szCs w:val="13"/>
          <w:color w:val="auto"/>
        </w:rPr>
      </w:pPr>
    </w:p>
    <w:p>
      <w:pPr>
        <w:jc w:val="both"/>
        <w:ind w:left="332" w:right="100" w:hanging="332"/>
        <w:spacing w:after="0"/>
        <w:tabs>
          <w:tab w:leader="none" w:pos="326" w:val="left"/>
        </w:tabs>
        <w:numPr>
          <w:ilvl w:val="0"/>
          <w:numId w:val="49"/>
        </w:numPr>
        <w:rPr>
          <w:rFonts w:ascii="Arial" w:cs="Arial" w:eastAsia="Arial" w:hAnsi="Arial"/>
          <w:sz w:val="13"/>
          <w:szCs w:val="13"/>
          <w:color w:val="auto"/>
        </w:rPr>
      </w:pPr>
      <w:r>
        <w:rPr>
          <w:rFonts w:ascii="Arial" w:cs="Arial" w:eastAsia="Arial" w:hAnsi="Arial"/>
          <w:sz w:val="13"/>
          <w:szCs w:val="13"/>
          <w:color w:val="auto"/>
        </w:rPr>
        <w:t>Upon achievement of specified performance metrics, earned PSUs vest on September 15, 2023, or the first quarterly vesting date after achievement has been certified. Because the performance metrics for this award had not been determined in fiscal 2021 (and hence, no grant date fair value could be determined), it was not included in the summary compensation table or grants of plan-based awards table above. Amounts reported are at 100% target level of achievement, with maximum achievement paying out at 150%.</w:t>
      </w:r>
    </w:p>
    <w:p>
      <w:pPr>
        <w:spacing w:after="0" w:line="51" w:lineRule="exact"/>
        <w:rPr>
          <w:rFonts w:ascii="Arial" w:cs="Arial" w:eastAsia="Arial" w:hAnsi="Arial"/>
          <w:sz w:val="13"/>
          <w:szCs w:val="13"/>
          <w:color w:val="auto"/>
        </w:rPr>
      </w:pPr>
    </w:p>
    <w:p>
      <w:pPr>
        <w:ind w:left="332" w:hanging="332"/>
        <w:spacing w:after="0" w:line="242" w:lineRule="auto"/>
        <w:tabs>
          <w:tab w:leader="none" w:pos="326" w:val="left"/>
        </w:tabs>
        <w:numPr>
          <w:ilvl w:val="0"/>
          <w:numId w:val="49"/>
        </w:numPr>
        <w:rPr>
          <w:rFonts w:ascii="Arial" w:cs="Arial" w:eastAsia="Arial" w:hAnsi="Arial"/>
          <w:sz w:val="13"/>
          <w:szCs w:val="13"/>
          <w:color w:val="auto"/>
        </w:rPr>
      </w:pPr>
      <w:r>
        <w:rPr>
          <w:rFonts w:ascii="Arial" w:cs="Arial" w:eastAsia="Arial" w:hAnsi="Arial"/>
          <w:sz w:val="13"/>
          <w:szCs w:val="13"/>
          <w:color w:val="auto"/>
        </w:rPr>
        <w:t>The RSUs vest as follows: (i) 23,182 RSUs vest on September 15, 2021, (ii) 46,364 RSUs vest in two equal biannual installments beginning on March 15, 2022, (iii) 52,159 vest in 9 equal quarterly installments through September 15, 2023.</w:t>
      </w:r>
    </w:p>
    <w:p>
      <w:pPr>
        <w:spacing w:after="0" w:line="49" w:lineRule="exact"/>
        <w:rPr>
          <w:rFonts w:ascii="Arial" w:cs="Arial" w:eastAsia="Arial" w:hAnsi="Arial"/>
          <w:sz w:val="13"/>
          <w:szCs w:val="13"/>
          <w:color w:val="auto"/>
        </w:rPr>
      </w:pPr>
    </w:p>
    <w:p>
      <w:pPr>
        <w:ind w:left="312" w:hanging="312"/>
        <w:spacing w:after="0"/>
        <w:tabs>
          <w:tab w:leader="none" w:pos="312" w:val="left"/>
        </w:tabs>
        <w:numPr>
          <w:ilvl w:val="0"/>
          <w:numId w:val="49"/>
        </w:numPr>
        <w:rPr>
          <w:rFonts w:ascii="Arial" w:cs="Arial" w:eastAsia="Arial" w:hAnsi="Arial"/>
          <w:sz w:val="13"/>
          <w:szCs w:val="13"/>
          <w:color w:val="auto"/>
        </w:rPr>
      </w:pPr>
      <w:r>
        <w:rPr>
          <w:rFonts w:ascii="Arial" w:cs="Arial" w:eastAsia="Arial" w:hAnsi="Arial"/>
          <w:sz w:val="13"/>
          <w:szCs w:val="13"/>
          <w:color w:val="auto"/>
        </w:rPr>
        <w:t>One-fourth of the shares subject to the option vested on January 14, 2017 and 1/48 of the shares vest monthly 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217170</wp:posOffset>
            </wp:positionV>
            <wp:extent cx="342900" cy="21463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342900" cy="214630"/>
                    </a:xfrm>
                    <a:prstGeom prst="rect">
                      <a:avLst/>
                    </a:prstGeom>
                    <a:noFill/>
                  </pic:spPr>
                </pic:pic>
              </a:graphicData>
            </a:graphic>
          </wp:anchor>
        </w:drawing>
      </w:r>
    </w:p>
    <w:p>
      <w:pPr>
        <w:spacing w:after="0" w:line="261" w:lineRule="exact"/>
        <w:rPr>
          <w:sz w:val="20"/>
          <w:szCs w:val="20"/>
          <w:color w:val="auto"/>
        </w:rPr>
      </w:pPr>
    </w:p>
    <w:p>
      <w:pPr>
        <w:jc w:val="both"/>
        <w:ind w:left="5532"/>
        <w:spacing w:after="0"/>
        <w:tabs>
          <w:tab w:leader="none" w:pos="9772" w:val="left"/>
        </w:tabs>
        <w:rPr>
          <w:sz w:val="20"/>
          <w:szCs w:val="20"/>
          <w:color w:val="auto"/>
        </w:rPr>
      </w:pPr>
      <w:r>
        <w:rPr>
          <w:rFonts w:ascii="Arial" w:cs="Arial" w:eastAsia="Arial" w:hAnsi="Arial"/>
          <w:sz w:val="29"/>
          <w:szCs w:val="29"/>
          <w:color w:val="auto"/>
          <w:vertAlign w:val="superscript"/>
        </w:rPr>
        <w:t>61</w:t>
      </w:r>
      <w:r>
        <w:rPr>
          <w:sz w:val="20"/>
          <w:szCs w:val="20"/>
          <w:color w:val="auto"/>
        </w:rPr>
        <w:tab/>
      </w:r>
      <w:r>
        <w:rPr>
          <w:rFonts w:ascii="Arial" w:cs="Arial" w:eastAsia="Arial" w:hAnsi="Arial"/>
          <w:sz w:val="14"/>
          <w:szCs w:val="14"/>
          <w:color w:val="auto"/>
        </w:rPr>
        <w:t>2021 Proxy Statement</w:t>
      </w:r>
    </w:p>
    <w:p>
      <w:pPr>
        <w:sectPr>
          <w:pgSz w:w="11900" w:h="16838" w:orient="portrait"/>
          <w:cols w:equalWidth="0" w:num="1">
            <w:col w:w="11212"/>
          </w:cols>
          <w:pgMar w:left="328" w:top="172" w:right="359" w:bottom="1440" w:gutter="0" w:footer="0" w:header="0"/>
        </w:sectPr>
      </w:pPr>
    </w:p>
    <w:bookmarkStart w:id="65" w:name="page66"/>
    <w:bookmarkEnd w:id="65"/>
    <w:p>
      <w:pPr>
        <w:ind w:left="280"/>
        <w:spacing w:after="0"/>
        <w:rPr>
          <w:sz w:val="20"/>
          <w:szCs w:val="20"/>
          <w:color w:val="auto"/>
        </w:rPr>
      </w:pPr>
      <w:r>
        <w:rPr>
          <w:rFonts w:ascii="Arial" w:cs="Arial" w:eastAsia="Arial" w:hAnsi="Arial"/>
          <w:sz w:val="13"/>
          <w:szCs w:val="13"/>
          <w:b w:val="1"/>
          <w:bCs w:val="1"/>
          <w:color w:val="929292"/>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7470" cy="6032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7470" cy="60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b w:val="1"/>
          <w:bCs w:val="1"/>
          <w:color w:val="009ADA"/>
        </w:rPr>
        <w:t>Fiscal 2021 Option Exercises and Stock Vested Table</w:t>
      </w:r>
    </w:p>
    <w:p>
      <w:pPr>
        <w:spacing w:after="0" w:line="213" w:lineRule="exact"/>
        <w:rPr>
          <w:sz w:val="20"/>
          <w:szCs w:val="20"/>
          <w:color w:val="auto"/>
        </w:rPr>
      </w:pPr>
    </w:p>
    <w:p>
      <w:pPr>
        <w:ind w:right="460"/>
        <w:spacing w:after="0" w:line="348" w:lineRule="auto"/>
        <w:rPr>
          <w:sz w:val="20"/>
          <w:szCs w:val="20"/>
          <w:color w:val="auto"/>
        </w:rPr>
      </w:pPr>
      <w:r>
        <w:rPr>
          <w:rFonts w:ascii="Arial" w:cs="Arial" w:eastAsia="Arial" w:hAnsi="Arial"/>
          <w:sz w:val="16"/>
          <w:szCs w:val="16"/>
          <w:color w:val="auto"/>
        </w:rPr>
        <w:t>The following table presents, for each of our Named Executive Officers, the shares of our common stock that were acquired upon the exercise of stock options and the related value realized upon exercise during fiscal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1771015</wp:posOffset>
            </wp:positionH>
            <wp:positionV relativeFrom="paragraph">
              <wp:posOffset>123190</wp:posOffset>
            </wp:positionV>
            <wp:extent cx="5366385" cy="6940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5366385" cy="694055"/>
                    </a:xfrm>
                    <a:prstGeom prst="rect">
                      <a:avLst/>
                    </a:prstGeom>
                    <a:noFill/>
                  </pic:spPr>
                </pic:pic>
              </a:graphicData>
            </a:graphic>
          </wp:anchor>
        </w:drawing>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780" w:type="dxa"/>
            <w:vAlign w:val="bottom"/>
          </w:tcPr>
          <w:p>
            <w:pPr>
              <w:spacing w:after="0"/>
              <w:rPr>
                <w:sz w:val="20"/>
                <w:szCs w:val="20"/>
                <w:color w:val="auto"/>
              </w:rPr>
            </w:pPr>
          </w:p>
        </w:tc>
        <w:tc>
          <w:tcPr>
            <w:tcW w:w="2820" w:type="dxa"/>
            <w:vAlign w:val="bottom"/>
            <w:gridSpan w:val="2"/>
            <w:shd w:val="clear" w:color="auto" w:fill="009ADA"/>
          </w:tcPr>
          <w:p>
            <w:pPr>
              <w:ind w:left="1540"/>
              <w:spacing w:after="0"/>
              <w:rPr>
                <w:sz w:val="20"/>
                <w:szCs w:val="20"/>
                <w:color w:val="auto"/>
              </w:rPr>
            </w:pPr>
            <w:r>
              <w:rPr>
                <w:rFonts w:ascii="Arial" w:cs="Arial" w:eastAsia="Arial" w:hAnsi="Arial"/>
                <w:sz w:val="16"/>
                <w:szCs w:val="16"/>
                <w:b w:val="1"/>
                <w:bCs w:val="1"/>
                <w:color w:val="FFFFFF"/>
              </w:rPr>
              <w:t>Option Awards</w:t>
            </w:r>
          </w:p>
        </w:tc>
        <w:tc>
          <w:tcPr>
            <w:tcW w:w="1440" w:type="dxa"/>
            <w:vAlign w:val="bottom"/>
            <w:shd w:val="clear" w:color="auto" w:fill="009ADA"/>
          </w:tcPr>
          <w:p>
            <w:pPr>
              <w:spacing w:after="0"/>
              <w:rPr>
                <w:sz w:val="20"/>
                <w:szCs w:val="20"/>
                <w:color w:val="auto"/>
              </w:rPr>
            </w:pPr>
          </w:p>
        </w:tc>
        <w:tc>
          <w:tcPr>
            <w:tcW w:w="2780" w:type="dxa"/>
            <w:vAlign w:val="bottom"/>
            <w:shd w:val="clear" w:color="auto" w:fill="009ADA"/>
          </w:tcPr>
          <w:p>
            <w:pPr>
              <w:ind w:left="1560"/>
              <w:spacing w:after="0"/>
              <w:rPr>
                <w:sz w:val="20"/>
                <w:szCs w:val="20"/>
                <w:color w:val="auto"/>
              </w:rPr>
            </w:pPr>
            <w:r>
              <w:rPr>
                <w:rFonts w:ascii="Arial" w:cs="Arial" w:eastAsia="Arial" w:hAnsi="Arial"/>
                <w:sz w:val="16"/>
                <w:szCs w:val="16"/>
                <w:b w:val="1"/>
                <w:bCs w:val="1"/>
                <w:color w:val="FFFFFF"/>
              </w:rPr>
              <w:t>Stock Awards</w:t>
            </w:r>
          </w:p>
        </w:tc>
        <w:tc>
          <w:tcPr>
            <w:tcW w:w="1420" w:type="dxa"/>
            <w:vAlign w:val="bottom"/>
            <w:shd w:val="clear" w:color="auto" w:fill="009ADA"/>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780" w:type="dxa"/>
            <w:vAlign w:val="bottom"/>
            <w:shd w:val="clear" w:color="auto" w:fill="000000"/>
          </w:tcPr>
          <w:p>
            <w:pPr>
              <w:spacing w:after="0"/>
              <w:rPr>
                <w:sz w:val="20"/>
                <w:szCs w:val="20"/>
                <w:color w:val="auto"/>
              </w:rPr>
            </w:pPr>
          </w:p>
        </w:tc>
        <w:tc>
          <w:tcPr>
            <w:tcW w:w="2040" w:type="dxa"/>
            <w:vAlign w:val="bottom"/>
            <w:vMerge w:val="restart"/>
            <w:shd w:val="clear" w:color="auto" w:fill="2B338D"/>
          </w:tcPr>
          <w:p>
            <w:pPr>
              <w:jc w:val="center"/>
              <w:spacing w:after="0"/>
              <w:rPr>
                <w:sz w:val="20"/>
                <w:szCs w:val="20"/>
                <w:color w:val="auto"/>
              </w:rPr>
            </w:pPr>
            <w:r>
              <w:rPr>
                <w:rFonts w:ascii="Arial" w:cs="Arial" w:eastAsia="Arial" w:hAnsi="Arial"/>
                <w:sz w:val="16"/>
                <w:szCs w:val="16"/>
                <w:b w:val="1"/>
                <w:bCs w:val="1"/>
                <w:color w:val="FFFFFF"/>
              </w:rPr>
              <w:t>Number of Shares</w:t>
            </w:r>
          </w:p>
        </w:tc>
        <w:tc>
          <w:tcPr>
            <w:tcW w:w="780" w:type="dxa"/>
            <w:vAlign w:val="bottom"/>
            <w:shd w:val="clear" w:color="auto" w:fill="2B338D"/>
          </w:tcPr>
          <w:p>
            <w:pPr>
              <w:spacing w:after="0"/>
              <w:rPr>
                <w:sz w:val="20"/>
                <w:szCs w:val="20"/>
                <w:color w:val="auto"/>
              </w:rPr>
            </w:pPr>
          </w:p>
        </w:tc>
        <w:tc>
          <w:tcPr>
            <w:tcW w:w="1440" w:type="dxa"/>
            <w:vAlign w:val="bottom"/>
            <w:shd w:val="clear" w:color="auto" w:fill="2B338D"/>
          </w:tcPr>
          <w:p>
            <w:pPr>
              <w:jc w:val="right"/>
              <w:ind w:right="129"/>
              <w:spacing w:after="0"/>
              <w:rPr>
                <w:sz w:val="20"/>
                <w:szCs w:val="20"/>
                <w:color w:val="auto"/>
              </w:rPr>
            </w:pPr>
            <w:r>
              <w:rPr>
                <w:rFonts w:ascii="Arial" w:cs="Arial" w:eastAsia="Arial" w:hAnsi="Arial"/>
                <w:sz w:val="16"/>
                <w:szCs w:val="16"/>
                <w:b w:val="1"/>
                <w:bCs w:val="1"/>
                <w:color w:val="FFFFFF"/>
              </w:rPr>
              <w:t>Value Realized</w:t>
            </w:r>
          </w:p>
        </w:tc>
        <w:tc>
          <w:tcPr>
            <w:tcW w:w="2780" w:type="dxa"/>
            <w:vAlign w:val="bottom"/>
            <w:vMerge w:val="restart"/>
            <w:shd w:val="clear" w:color="auto" w:fill="2B338D"/>
          </w:tcPr>
          <w:p>
            <w:pPr>
              <w:jc w:val="center"/>
              <w:ind w:right="704"/>
              <w:spacing w:after="0"/>
              <w:rPr>
                <w:sz w:val="20"/>
                <w:szCs w:val="20"/>
                <w:color w:val="auto"/>
              </w:rPr>
            </w:pPr>
            <w:r>
              <w:rPr>
                <w:rFonts w:ascii="Arial" w:cs="Arial" w:eastAsia="Arial" w:hAnsi="Arial"/>
                <w:sz w:val="16"/>
                <w:szCs w:val="16"/>
                <w:b w:val="1"/>
                <w:bCs w:val="1"/>
                <w:color w:val="FFFFFF"/>
              </w:rPr>
              <w:t>Number of Shares</w:t>
            </w:r>
          </w:p>
        </w:tc>
        <w:tc>
          <w:tcPr>
            <w:tcW w:w="1420" w:type="dxa"/>
            <w:vAlign w:val="bottom"/>
            <w:shd w:val="clear" w:color="auto" w:fill="2B338D"/>
          </w:tcPr>
          <w:p>
            <w:pPr>
              <w:jc w:val="right"/>
              <w:ind w:right="89"/>
              <w:spacing w:after="0"/>
              <w:rPr>
                <w:sz w:val="20"/>
                <w:szCs w:val="20"/>
                <w:color w:val="auto"/>
              </w:rPr>
            </w:pPr>
            <w:r>
              <w:rPr>
                <w:rFonts w:ascii="Arial" w:cs="Arial" w:eastAsia="Arial" w:hAnsi="Arial"/>
                <w:sz w:val="16"/>
                <w:szCs w:val="16"/>
                <w:b w:val="1"/>
                <w:bCs w:val="1"/>
                <w:color w:val="FFFFFF"/>
              </w:rPr>
              <w:t>Value Realized</w:t>
            </w:r>
          </w:p>
        </w:tc>
        <w:tc>
          <w:tcPr>
            <w:tcW w:w="0" w:type="dxa"/>
            <w:vAlign w:val="bottom"/>
          </w:tcPr>
          <w:p>
            <w:pPr>
              <w:spacing w:after="0"/>
              <w:rPr>
                <w:sz w:val="1"/>
                <w:szCs w:val="1"/>
                <w:color w:val="auto"/>
              </w:rPr>
            </w:pPr>
          </w:p>
        </w:tc>
      </w:tr>
      <w:tr>
        <w:trPr>
          <w:trHeight w:val="136"/>
        </w:trPr>
        <w:tc>
          <w:tcPr>
            <w:tcW w:w="2780" w:type="dxa"/>
            <w:vAlign w:val="bottom"/>
            <w:shd w:val="clear" w:color="auto" w:fill="000000"/>
          </w:tcPr>
          <w:p>
            <w:pPr>
              <w:spacing w:after="0"/>
              <w:rPr>
                <w:sz w:val="11"/>
                <w:szCs w:val="11"/>
                <w:color w:val="auto"/>
              </w:rPr>
            </w:pPr>
          </w:p>
        </w:tc>
        <w:tc>
          <w:tcPr>
            <w:tcW w:w="2040" w:type="dxa"/>
            <w:vAlign w:val="bottom"/>
            <w:vMerge w:val="continue"/>
            <w:shd w:val="clear" w:color="auto" w:fill="2B338D"/>
          </w:tcPr>
          <w:p>
            <w:pPr>
              <w:spacing w:after="0"/>
              <w:rPr>
                <w:sz w:val="11"/>
                <w:szCs w:val="11"/>
                <w:color w:val="auto"/>
              </w:rPr>
            </w:pPr>
          </w:p>
        </w:tc>
        <w:tc>
          <w:tcPr>
            <w:tcW w:w="780" w:type="dxa"/>
            <w:vAlign w:val="bottom"/>
            <w:shd w:val="clear" w:color="auto" w:fill="2B338D"/>
          </w:tcPr>
          <w:p>
            <w:pPr>
              <w:spacing w:after="0"/>
              <w:rPr>
                <w:sz w:val="11"/>
                <w:szCs w:val="11"/>
                <w:color w:val="auto"/>
              </w:rPr>
            </w:pPr>
          </w:p>
        </w:tc>
        <w:tc>
          <w:tcPr>
            <w:tcW w:w="1440" w:type="dxa"/>
            <w:vAlign w:val="bottom"/>
            <w:vMerge w:val="restart"/>
            <w:shd w:val="clear" w:color="auto" w:fill="2B338D"/>
          </w:tcPr>
          <w:p>
            <w:pPr>
              <w:jc w:val="right"/>
              <w:ind w:right="129"/>
              <w:spacing w:after="0"/>
              <w:rPr>
                <w:sz w:val="20"/>
                <w:szCs w:val="20"/>
                <w:color w:val="auto"/>
              </w:rPr>
            </w:pPr>
            <w:r>
              <w:rPr>
                <w:rFonts w:ascii="Arial" w:cs="Arial" w:eastAsia="Arial" w:hAnsi="Arial"/>
                <w:sz w:val="16"/>
                <w:szCs w:val="16"/>
                <w:b w:val="1"/>
                <w:bCs w:val="1"/>
                <w:color w:val="FFFFFF"/>
              </w:rPr>
              <w:t>on Exercise</w:t>
            </w:r>
          </w:p>
        </w:tc>
        <w:tc>
          <w:tcPr>
            <w:tcW w:w="2780" w:type="dxa"/>
            <w:vAlign w:val="bottom"/>
            <w:vMerge w:val="continue"/>
            <w:shd w:val="clear" w:color="auto" w:fill="2B338D"/>
          </w:tcPr>
          <w:p>
            <w:pPr>
              <w:spacing w:after="0"/>
              <w:rPr>
                <w:sz w:val="11"/>
                <w:szCs w:val="11"/>
                <w:color w:val="auto"/>
              </w:rPr>
            </w:pPr>
          </w:p>
        </w:tc>
        <w:tc>
          <w:tcPr>
            <w:tcW w:w="1420" w:type="dxa"/>
            <w:vAlign w:val="bottom"/>
            <w:vMerge w:val="restart"/>
            <w:shd w:val="clear" w:color="auto" w:fill="2B338D"/>
          </w:tcPr>
          <w:p>
            <w:pPr>
              <w:jc w:val="right"/>
              <w:ind w:right="89"/>
              <w:spacing w:after="0"/>
              <w:rPr>
                <w:sz w:val="20"/>
                <w:szCs w:val="20"/>
                <w:color w:val="auto"/>
              </w:rPr>
            </w:pPr>
            <w:r>
              <w:rPr>
                <w:rFonts w:ascii="Arial" w:cs="Arial" w:eastAsia="Arial" w:hAnsi="Arial"/>
                <w:sz w:val="16"/>
                <w:szCs w:val="16"/>
                <w:b w:val="1"/>
                <w:bCs w:val="1"/>
                <w:color w:val="FFFFFF"/>
              </w:rPr>
              <w:t>on Vesting</w:t>
            </w:r>
          </w:p>
        </w:tc>
        <w:tc>
          <w:tcPr>
            <w:tcW w:w="0" w:type="dxa"/>
            <w:vAlign w:val="bottom"/>
          </w:tcPr>
          <w:p>
            <w:pPr>
              <w:spacing w:after="0"/>
              <w:rPr>
                <w:sz w:val="1"/>
                <w:szCs w:val="1"/>
                <w:color w:val="auto"/>
              </w:rPr>
            </w:pPr>
          </w:p>
        </w:tc>
      </w:tr>
      <w:tr>
        <w:trPr>
          <w:trHeight w:val="107"/>
        </w:trPr>
        <w:tc>
          <w:tcPr>
            <w:tcW w:w="2780" w:type="dxa"/>
            <w:vAlign w:val="bottom"/>
            <w:shd w:val="clear" w:color="auto" w:fill="000000"/>
          </w:tcPr>
          <w:p>
            <w:pPr>
              <w:spacing w:after="0"/>
              <w:rPr>
                <w:sz w:val="9"/>
                <w:szCs w:val="9"/>
                <w:color w:val="auto"/>
              </w:rPr>
            </w:pPr>
          </w:p>
        </w:tc>
        <w:tc>
          <w:tcPr>
            <w:tcW w:w="2040" w:type="dxa"/>
            <w:vAlign w:val="bottom"/>
            <w:vMerge w:val="restart"/>
            <w:shd w:val="clear" w:color="auto" w:fill="2B338D"/>
          </w:tcPr>
          <w:p>
            <w:pPr>
              <w:jc w:val="center"/>
              <w:spacing w:after="0"/>
              <w:rPr>
                <w:sz w:val="20"/>
                <w:szCs w:val="20"/>
                <w:color w:val="auto"/>
              </w:rPr>
            </w:pPr>
            <w:r>
              <w:rPr>
                <w:rFonts w:ascii="Arial" w:cs="Arial" w:eastAsia="Arial" w:hAnsi="Arial"/>
                <w:sz w:val="16"/>
                <w:szCs w:val="16"/>
                <w:b w:val="1"/>
                <w:bCs w:val="1"/>
                <w:color w:val="FFFFFF"/>
              </w:rPr>
              <w:t>Acquired on Exercise</w:t>
            </w:r>
          </w:p>
        </w:tc>
        <w:tc>
          <w:tcPr>
            <w:tcW w:w="780" w:type="dxa"/>
            <w:vAlign w:val="bottom"/>
            <w:shd w:val="clear" w:color="auto" w:fill="2B338D"/>
          </w:tcPr>
          <w:p>
            <w:pPr>
              <w:spacing w:after="0"/>
              <w:rPr>
                <w:sz w:val="9"/>
                <w:szCs w:val="9"/>
                <w:color w:val="auto"/>
              </w:rPr>
            </w:pPr>
          </w:p>
        </w:tc>
        <w:tc>
          <w:tcPr>
            <w:tcW w:w="1440" w:type="dxa"/>
            <w:vAlign w:val="bottom"/>
            <w:vMerge w:val="continue"/>
            <w:shd w:val="clear" w:color="auto" w:fill="2B338D"/>
          </w:tcPr>
          <w:p>
            <w:pPr>
              <w:spacing w:after="0"/>
              <w:rPr>
                <w:sz w:val="9"/>
                <w:szCs w:val="9"/>
                <w:color w:val="auto"/>
              </w:rPr>
            </w:pPr>
          </w:p>
        </w:tc>
        <w:tc>
          <w:tcPr>
            <w:tcW w:w="2780" w:type="dxa"/>
            <w:vAlign w:val="bottom"/>
            <w:vMerge w:val="restart"/>
            <w:shd w:val="clear" w:color="auto" w:fill="2B338D"/>
          </w:tcPr>
          <w:p>
            <w:pPr>
              <w:jc w:val="center"/>
              <w:ind w:right="704"/>
              <w:spacing w:after="0"/>
              <w:rPr>
                <w:sz w:val="20"/>
                <w:szCs w:val="20"/>
                <w:color w:val="auto"/>
              </w:rPr>
            </w:pPr>
            <w:r>
              <w:rPr>
                <w:rFonts w:ascii="Arial" w:cs="Arial" w:eastAsia="Arial" w:hAnsi="Arial"/>
                <w:sz w:val="16"/>
                <w:szCs w:val="16"/>
                <w:b w:val="1"/>
                <w:bCs w:val="1"/>
                <w:color w:val="FFFFFF"/>
              </w:rPr>
              <w:t>Acquired on Vesting</w:t>
            </w:r>
          </w:p>
        </w:tc>
        <w:tc>
          <w:tcPr>
            <w:tcW w:w="1420" w:type="dxa"/>
            <w:vAlign w:val="bottom"/>
            <w:vMerge w:val="continue"/>
            <w:shd w:val="clear" w:color="auto" w:fill="2B338D"/>
          </w:tcPr>
          <w:p>
            <w:pPr>
              <w:spacing w:after="0"/>
              <w:rPr>
                <w:sz w:val="9"/>
                <w:szCs w:val="9"/>
                <w:color w:val="auto"/>
              </w:rPr>
            </w:pPr>
          </w:p>
        </w:tc>
        <w:tc>
          <w:tcPr>
            <w:tcW w:w="0" w:type="dxa"/>
            <w:vAlign w:val="bottom"/>
          </w:tcPr>
          <w:p>
            <w:pPr>
              <w:spacing w:after="0"/>
              <w:rPr>
                <w:sz w:val="1"/>
                <w:szCs w:val="1"/>
                <w:color w:val="auto"/>
              </w:rPr>
            </w:pPr>
          </w:p>
        </w:tc>
      </w:tr>
      <w:tr>
        <w:trPr>
          <w:trHeight w:val="82"/>
        </w:trPr>
        <w:tc>
          <w:tcPr>
            <w:tcW w:w="2780" w:type="dxa"/>
            <w:vAlign w:val="bottom"/>
            <w:shd w:val="clear" w:color="auto" w:fill="000000"/>
          </w:tcPr>
          <w:p>
            <w:pPr>
              <w:spacing w:after="0"/>
              <w:rPr>
                <w:sz w:val="7"/>
                <w:szCs w:val="7"/>
                <w:color w:val="auto"/>
              </w:rPr>
            </w:pPr>
          </w:p>
        </w:tc>
        <w:tc>
          <w:tcPr>
            <w:tcW w:w="2040" w:type="dxa"/>
            <w:vAlign w:val="bottom"/>
            <w:vMerge w:val="continue"/>
            <w:shd w:val="clear" w:color="auto" w:fill="2B338D"/>
          </w:tcPr>
          <w:p>
            <w:pPr>
              <w:spacing w:after="0"/>
              <w:rPr>
                <w:sz w:val="7"/>
                <w:szCs w:val="7"/>
                <w:color w:val="auto"/>
              </w:rPr>
            </w:pPr>
          </w:p>
        </w:tc>
        <w:tc>
          <w:tcPr>
            <w:tcW w:w="780" w:type="dxa"/>
            <w:vAlign w:val="bottom"/>
            <w:shd w:val="clear" w:color="auto" w:fill="2B338D"/>
          </w:tcPr>
          <w:p>
            <w:pPr>
              <w:spacing w:after="0"/>
              <w:rPr>
                <w:sz w:val="7"/>
                <w:szCs w:val="7"/>
                <w:color w:val="auto"/>
              </w:rPr>
            </w:pPr>
          </w:p>
        </w:tc>
        <w:tc>
          <w:tcPr>
            <w:tcW w:w="1440" w:type="dxa"/>
            <w:vAlign w:val="bottom"/>
            <w:vMerge w:val="restart"/>
            <w:shd w:val="clear" w:color="auto" w:fill="2B338D"/>
          </w:tcPr>
          <w:p>
            <w:pPr>
              <w:jc w:val="right"/>
              <w:ind w:right="129"/>
              <w:spacing w:after="0" w:line="249" w:lineRule="exact"/>
              <w:rPr>
                <w:sz w:val="20"/>
                <w:szCs w:val="20"/>
                <w:color w:val="auto"/>
              </w:rPr>
            </w:pPr>
            <w:r>
              <w:rPr>
                <w:rFonts w:ascii="Arial" w:cs="Arial" w:eastAsia="Arial" w:hAnsi="Arial"/>
                <w:sz w:val="28"/>
                <w:szCs w:val="28"/>
                <w:b w:val="1"/>
                <w:bCs w:val="1"/>
                <w:color w:val="FFFFFF"/>
                <w:vertAlign w:val="subscript"/>
              </w:rPr>
              <w:t>($)</w:t>
            </w:r>
            <w:r>
              <w:rPr>
                <w:rFonts w:ascii="Arial" w:cs="Arial" w:eastAsia="Arial" w:hAnsi="Arial"/>
                <w:sz w:val="10"/>
                <w:szCs w:val="10"/>
                <w:b w:val="1"/>
                <w:bCs w:val="1"/>
                <w:color w:val="FFFFFF"/>
              </w:rPr>
              <w:t>(1)</w:t>
            </w:r>
          </w:p>
        </w:tc>
        <w:tc>
          <w:tcPr>
            <w:tcW w:w="2780" w:type="dxa"/>
            <w:vAlign w:val="bottom"/>
            <w:vMerge w:val="continue"/>
            <w:shd w:val="clear" w:color="auto" w:fill="2B338D"/>
          </w:tcPr>
          <w:p>
            <w:pPr>
              <w:spacing w:after="0"/>
              <w:rPr>
                <w:sz w:val="7"/>
                <w:szCs w:val="7"/>
                <w:color w:val="auto"/>
              </w:rPr>
            </w:pPr>
          </w:p>
        </w:tc>
        <w:tc>
          <w:tcPr>
            <w:tcW w:w="1420" w:type="dxa"/>
            <w:vAlign w:val="bottom"/>
            <w:vMerge w:val="restart"/>
            <w:shd w:val="clear" w:color="auto" w:fill="2B338D"/>
          </w:tcPr>
          <w:p>
            <w:pPr>
              <w:jc w:val="right"/>
              <w:ind w:right="89"/>
              <w:spacing w:after="0" w:line="249" w:lineRule="exact"/>
              <w:rPr>
                <w:sz w:val="20"/>
                <w:szCs w:val="20"/>
                <w:color w:val="auto"/>
              </w:rPr>
            </w:pPr>
            <w:r>
              <w:rPr>
                <w:rFonts w:ascii="Arial" w:cs="Arial" w:eastAsia="Arial" w:hAnsi="Arial"/>
                <w:sz w:val="28"/>
                <w:szCs w:val="28"/>
                <w:b w:val="1"/>
                <w:bCs w:val="1"/>
                <w:color w:val="FFFFFF"/>
                <w:vertAlign w:val="subscript"/>
              </w:rPr>
              <w:t>($)</w:t>
            </w:r>
            <w:r>
              <w:rPr>
                <w:rFonts w:ascii="Arial" w:cs="Arial" w:eastAsia="Arial" w:hAnsi="Arial"/>
                <w:sz w:val="10"/>
                <w:szCs w:val="10"/>
                <w:b w:val="1"/>
                <w:bCs w:val="1"/>
                <w:color w:val="FFFFFF"/>
              </w:rPr>
              <w:t>(2)</w:t>
            </w:r>
          </w:p>
        </w:tc>
        <w:tc>
          <w:tcPr>
            <w:tcW w:w="0" w:type="dxa"/>
            <w:vAlign w:val="bottom"/>
          </w:tcPr>
          <w:p>
            <w:pPr>
              <w:spacing w:after="0"/>
              <w:rPr>
                <w:sz w:val="1"/>
                <w:szCs w:val="1"/>
                <w:color w:val="auto"/>
              </w:rPr>
            </w:pPr>
          </w:p>
        </w:tc>
      </w:tr>
      <w:tr>
        <w:trPr>
          <w:trHeight w:val="167"/>
        </w:trPr>
        <w:tc>
          <w:tcPr>
            <w:tcW w:w="2780" w:type="dxa"/>
            <w:vAlign w:val="bottom"/>
            <w:vMerge w:val="restart"/>
            <w:shd w:val="clear" w:color="auto" w:fill="000000"/>
          </w:tcPr>
          <w:p>
            <w:pPr>
              <w:ind w:left="100"/>
              <w:spacing w:after="0"/>
              <w:rPr>
                <w:sz w:val="20"/>
                <w:szCs w:val="20"/>
                <w:color w:val="auto"/>
              </w:rPr>
            </w:pPr>
            <w:r>
              <w:rPr>
                <w:rFonts w:ascii="Arial" w:cs="Arial" w:eastAsia="Arial" w:hAnsi="Arial"/>
                <w:sz w:val="16"/>
                <w:szCs w:val="16"/>
                <w:b w:val="1"/>
                <w:bCs w:val="1"/>
                <w:color w:val="FFFFFF"/>
              </w:rPr>
              <w:t>Name</w:t>
            </w:r>
          </w:p>
        </w:tc>
        <w:tc>
          <w:tcPr>
            <w:tcW w:w="2040" w:type="dxa"/>
            <w:vAlign w:val="bottom"/>
            <w:vMerge w:val="restart"/>
            <w:shd w:val="clear" w:color="auto" w:fill="2B338D"/>
          </w:tcPr>
          <w:p>
            <w:pPr>
              <w:jc w:val="center"/>
              <w:spacing w:after="0"/>
              <w:rPr>
                <w:sz w:val="20"/>
                <w:szCs w:val="20"/>
                <w:color w:val="auto"/>
              </w:rPr>
            </w:pPr>
            <w:r>
              <w:rPr>
                <w:rFonts w:ascii="Arial" w:cs="Arial" w:eastAsia="Arial" w:hAnsi="Arial"/>
                <w:sz w:val="16"/>
                <w:szCs w:val="16"/>
                <w:b w:val="1"/>
                <w:bCs w:val="1"/>
                <w:color w:val="FFFFFF"/>
              </w:rPr>
              <w:t>(#)</w:t>
            </w:r>
          </w:p>
        </w:tc>
        <w:tc>
          <w:tcPr>
            <w:tcW w:w="780" w:type="dxa"/>
            <w:vAlign w:val="bottom"/>
            <w:shd w:val="clear" w:color="auto" w:fill="2B338D"/>
          </w:tcPr>
          <w:p>
            <w:pPr>
              <w:spacing w:after="0"/>
              <w:rPr>
                <w:sz w:val="14"/>
                <w:szCs w:val="14"/>
                <w:color w:val="auto"/>
              </w:rPr>
            </w:pPr>
          </w:p>
        </w:tc>
        <w:tc>
          <w:tcPr>
            <w:tcW w:w="1440" w:type="dxa"/>
            <w:vAlign w:val="bottom"/>
            <w:vMerge w:val="continue"/>
            <w:shd w:val="clear" w:color="auto" w:fill="2B338D"/>
          </w:tcPr>
          <w:p>
            <w:pPr>
              <w:spacing w:after="0"/>
              <w:rPr>
                <w:sz w:val="14"/>
                <w:szCs w:val="14"/>
                <w:color w:val="auto"/>
              </w:rPr>
            </w:pPr>
          </w:p>
        </w:tc>
        <w:tc>
          <w:tcPr>
            <w:tcW w:w="2780" w:type="dxa"/>
            <w:vAlign w:val="bottom"/>
            <w:vMerge w:val="restart"/>
            <w:shd w:val="clear" w:color="auto" w:fill="2B338D"/>
          </w:tcPr>
          <w:p>
            <w:pPr>
              <w:jc w:val="center"/>
              <w:ind w:right="704"/>
              <w:spacing w:after="0"/>
              <w:rPr>
                <w:sz w:val="20"/>
                <w:szCs w:val="20"/>
                <w:color w:val="auto"/>
              </w:rPr>
            </w:pPr>
            <w:r>
              <w:rPr>
                <w:rFonts w:ascii="Arial" w:cs="Arial" w:eastAsia="Arial" w:hAnsi="Arial"/>
                <w:sz w:val="16"/>
                <w:szCs w:val="16"/>
                <w:b w:val="1"/>
                <w:bCs w:val="1"/>
                <w:color w:val="FFFFFF"/>
              </w:rPr>
              <w:t>(#)</w:t>
            </w:r>
          </w:p>
        </w:tc>
        <w:tc>
          <w:tcPr>
            <w:tcW w:w="1420" w:type="dxa"/>
            <w:vAlign w:val="bottom"/>
            <w:vMerge w:val="continue"/>
            <w:shd w:val="clear" w:color="auto" w:fill="2B338D"/>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780" w:type="dxa"/>
            <w:vAlign w:val="bottom"/>
            <w:vMerge w:val="continue"/>
            <w:shd w:val="clear" w:color="auto" w:fill="000000"/>
          </w:tcPr>
          <w:p>
            <w:pPr>
              <w:spacing w:after="0"/>
              <w:rPr>
                <w:sz w:val="4"/>
                <w:szCs w:val="4"/>
                <w:color w:val="auto"/>
              </w:rPr>
            </w:pPr>
          </w:p>
        </w:tc>
        <w:tc>
          <w:tcPr>
            <w:tcW w:w="2040" w:type="dxa"/>
            <w:vAlign w:val="bottom"/>
            <w:vMerge w:val="continue"/>
            <w:shd w:val="clear" w:color="auto" w:fill="2B338D"/>
          </w:tcPr>
          <w:p>
            <w:pPr>
              <w:spacing w:after="0"/>
              <w:rPr>
                <w:sz w:val="4"/>
                <w:szCs w:val="4"/>
                <w:color w:val="auto"/>
              </w:rPr>
            </w:pPr>
          </w:p>
        </w:tc>
        <w:tc>
          <w:tcPr>
            <w:tcW w:w="780" w:type="dxa"/>
            <w:vAlign w:val="bottom"/>
            <w:shd w:val="clear" w:color="auto" w:fill="2B338D"/>
          </w:tcPr>
          <w:p>
            <w:pPr>
              <w:spacing w:after="0"/>
              <w:rPr>
                <w:sz w:val="4"/>
                <w:szCs w:val="4"/>
                <w:color w:val="auto"/>
              </w:rPr>
            </w:pPr>
          </w:p>
        </w:tc>
        <w:tc>
          <w:tcPr>
            <w:tcW w:w="1440" w:type="dxa"/>
            <w:vAlign w:val="bottom"/>
            <w:shd w:val="clear" w:color="auto" w:fill="2B338D"/>
          </w:tcPr>
          <w:p>
            <w:pPr>
              <w:spacing w:after="0"/>
              <w:rPr>
                <w:sz w:val="4"/>
                <w:szCs w:val="4"/>
                <w:color w:val="auto"/>
              </w:rPr>
            </w:pPr>
          </w:p>
        </w:tc>
        <w:tc>
          <w:tcPr>
            <w:tcW w:w="2780" w:type="dxa"/>
            <w:vAlign w:val="bottom"/>
            <w:vMerge w:val="continue"/>
            <w:shd w:val="clear" w:color="auto" w:fill="2B338D"/>
          </w:tcPr>
          <w:p>
            <w:pPr>
              <w:spacing w:after="0"/>
              <w:rPr>
                <w:sz w:val="4"/>
                <w:szCs w:val="4"/>
                <w:color w:val="auto"/>
              </w:rPr>
            </w:pPr>
          </w:p>
        </w:tc>
        <w:tc>
          <w:tcPr>
            <w:tcW w:w="1420" w:type="dxa"/>
            <w:vAlign w:val="bottom"/>
            <w:shd w:val="clear" w:color="auto" w:fill="2B338D"/>
          </w:tcPr>
          <w:p>
            <w:pPr>
              <w:spacing w:after="0"/>
              <w:rPr>
                <w:sz w:val="4"/>
                <w:szCs w:val="4"/>
                <w:color w:val="auto"/>
              </w:rPr>
            </w:pPr>
          </w:p>
        </w:tc>
        <w:tc>
          <w:tcPr>
            <w:tcW w:w="0" w:type="dxa"/>
            <w:vAlign w:val="bottom"/>
          </w:tcPr>
          <w:p>
            <w:pPr>
              <w:spacing w:after="0"/>
              <w:rPr>
                <w:sz w:val="1"/>
                <w:szCs w:val="1"/>
                <w:color w:val="auto"/>
              </w:rPr>
            </w:pPr>
          </w:p>
        </w:tc>
      </w:tr>
      <w:tr>
        <w:trPr>
          <w:trHeight w:val="73"/>
        </w:trPr>
        <w:tc>
          <w:tcPr>
            <w:tcW w:w="2780" w:type="dxa"/>
            <w:vAlign w:val="bottom"/>
            <w:shd w:val="clear" w:color="auto" w:fill="000000"/>
          </w:tcPr>
          <w:p>
            <w:pPr>
              <w:spacing w:after="0"/>
              <w:rPr>
                <w:sz w:val="6"/>
                <w:szCs w:val="6"/>
                <w:color w:val="auto"/>
              </w:rPr>
            </w:pPr>
          </w:p>
        </w:tc>
        <w:tc>
          <w:tcPr>
            <w:tcW w:w="2040" w:type="dxa"/>
            <w:vAlign w:val="bottom"/>
            <w:shd w:val="clear" w:color="auto" w:fill="2B338D"/>
          </w:tcPr>
          <w:p>
            <w:pPr>
              <w:spacing w:after="0"/>
              <w:rPr>
                <w:sz w:val="6"/>
                <w:szCs w:val="6"/>
                <w:color w:val="auto"/>
              </w:rPr>
            </w:pPr>
          </w:p>
        </w:tc>
        <w:tc>
          <w:tcPr>
            <w:tcW w:w="780" w:type="dxa"/>
            <w:vAlign w:val="bottom"/>
            <w:shd w:val="clear" w:color="auto" w:fill="2B338D"/>
          </w:tcPr>
          <w:p>
            <w:pPr>
              <w:spacing w:after="0"/>
              <w:rPr>
                <w:sz w:val="6"/>
                <w:szCs w:val="6"/>
                <w:color w:val="auto"/>
              </w:rPr>
            </w:pPr>
          </w:p>
        </w:tc>
        <w:tc>
          <w:tcPr>
            <w:tcW w:w="1440" w:type="dxa"/>
            <w:vAlign w:val="bottom"/>
            <w:shd w:val="clear" w:color="auto" w:fill="2B338D"/>
          </w:tcPr>
          <w:p>
            <w:pPr>
              <w:spacing w:after="0"/>
              <w:rPr>
                <w:sz w:val="6"/>
                <w:szCs w:val="6"/>
                <w:color w:val="auto"/>
              </w:rPr>
            </w:pPr>
          </w:p>
        </w:tc>
        <w:tc>
          <w:tcPr>
            <w:tcW w:w="2780" w:type="dxa"/>
            <w:vAlign w:val="bottom"/>
            <w:shd w:val="clear" w:color="auto" w:fill="2B338D"/>
          </w:tcPr>
          <w:p>
            <w:pPr>
              <w:spacing w:after="0"/>
              <w:rPr>
                <w:sz w:val="6"/>
                <w:szCs w:val="6"/>
                <w:color w:val="auto"/>
              </w:rPr>
            </w:pPr>
          </w:p>
        </w:tc>
        <w:tc>
          <w:tcPr>
            <w:tcW w:w="1420" w:type="dxa"/>
            <w:vAlign w:val="bottom"/>
            <w:shd w:val="clear" w:color="auto" w:fill="2B338D"/>
          </w:tcPr>
          <w:p>
            <w:pPr>
              <w:spacing w:after="0"/>
              <w:rPr>
                <w:sz w:val="6"/>
                <w:szCs w:val="6"/>
                <w:color w:val="auto"/>
              </w:rPr>
            </w:pPr>
          </w:p>
        </w:tc>
        <w:tc>
          <w:tcPr>
            <w:tcW w:w="0" w:type="dxa"/>
            <w:vAlign w:val="bottom"/>
          </w:tcPr>
          <w:p>
            <w:pPr>
              <w:spacing w:after="0"/>
              <w:rPr>
                <w:sz w:val="1"/>
                <w:szCs w:val="1"/>
                <w:color w:val="auto"/>
              </w:rPr>
            </w:pPr>
          </w:p>
        </w:tc>
      </w:tr>
      <w:tr>
        <w:trPr>
          <w:trHeight w:val="231"/>
        </w:trPr>
        <w:tc>
          <w:tcPr>
            <w:tcW w:w="2780" w:type="dxa"/>
            <w:vAlign w:val="bottom"/>
          </w:tcPr>
          <w:p>
            <w:pPr>
              <w:ind w:left="100"/>
              <w:spacing w:after="0"/>
              <w:rPr>
                <w:sz w:val="20"/>
                <w:szCs w:val="20"/>
                <w:color w:val="auto"/>
              </w:rPr>
            </w:pPr>
            <w:r>
              <w:rPr>
                <w:rFonts w:ascii="Arial" w:cs="Arial" w:eastAsia="Arial" w:hAnsi="Arial"/>
                <w:sz w:val="14"/>
                <w:szCs w:val="14"/>
                <w:b w:val="1"/>
                <w:bCs w:val="1"/>
                <w:color w:val="auto"/>
              </w:rPr>
              <w:t>Jay Chaudhry</w:t>
            </w:r>
          </w:p>
        </w:tc>
        <w:tc>
          <w:tcPr>
            <w:tcW w:w="2820" w:type="dxa"/>
            <w:vAlign w:val="bottom"/>
            <w:gridSpan w:val="2"/>
          </w:tcPr>
          <w:p>
            <w:pPr>
              <w:jc w:val="center"/>
              <w:ind w:right="760"/>
              <w:spacing w:after="0"/>
              <w:rPr>
                <w:sz w:val="20"/>
                <w:szCs w:val="20"/>
                <w:color w:val="auto"/>
              </w:rPr>
            </w:pPr>
            <w:r>
              <w:rPr>
                <w:rFonts w:ascii="Arial" w:cs="Arial" w:eastAsia="Arial" w:hAnsi="Arial"/>
                <w:sz w:val="14"/>
                <w:szCs w:val="14"/>
                <w:color w:val="auto"/>
                <w:w w:val="99"/>
              </w:rPr>
              <w:t>—</w:t>
            </w:r>
          </w:p>
        </w:tc>
        <w:tc>
          <w:tcPr>
            <w:tcW w:w="144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2780" w:type="dxa"/>
            <w:vAlign w:val="bottom"/>
          </w:tcPr>
          <w:p>
            <w:pPr>
              <w:jc w:val="center"/>
              <w:ind w:right="744"/>
              <w:spacing w:after="0"/>
              <w:rPr>
                <w:sz w:val="20"/>
                <w:szCs w:val="20"/>
                <w:color w:val="auto"/>
              </w:rPr>
            </w:pPr>
            <w:r>
              <w:rPr>
                <w:rFonts w:ascii="Arial" w:cs="Arial" w:eastAsia="Arial" w:hAnsi="Arial"/>
                <w:sz w:val="14"/>
                <w:szCs w:val="14"/>
                <w:color w:val="auto"/>
              </w:rPr>
              <w:t>157,810</w:t>
            </w:r>
          </w:p>
        </w:tc>
        <w:tc>
          <w:tcPr>
            <w:tcW w:w="1420" w:type="dxa"/>
            <w:vAlign w:val="bottom"/>
          </w:tcPr>
          <w:p>
            <w:pPr>
              <w:jc w:val="right"/>
              <w:ind w:right="89"/>
              <w:spacing w:after="0"/>
              <w:rPr>
                <w:sz w:val="20"/>
                <w:szCs w:val="20"/>
                <w:color w:val="auto"/>
              </w:rPr>
            </w:pPr>
            <w:r>
              <w:rPr>
                <w:rFonts w:ascii="Arial" w:cs="Arial" w:eastAsia="Arial" w:hAnsi="Arial"/>
                <w:sz w:val="14"/>
                <w:szCs w:val="14"/>
                <w:color w:val="auto"/>
              </w:rPr>
              <w:t>20,931,918</w:t>
            </w:r>
          </w:p>
        </w:tc>
        <w:tc>
          <w:tcPr>
            <w:tcW w:w="0" w:type="dxa"/>
            <w:vAlign w:val="bottom"/>
          </w:tcPr>
          <w:p>
            <w:pPr>
              <w:spacing w:after="0"/>
              <w:rPr>
                <w:sz w:val="1"/>
                <w:szCs w:val="1"/>
                <w:color w:val="auto"/>
              </w:rPr>
            </w:pPr>
          </w:p>
        </w:tc>
      </w:tr>
      <w:tr>
        <w:trPr>
          <w:trHeight w:val="53"/>
        </w:trPr>
        <w:tc>
          <w:tcPr>
            <w:tcW w:w="2780" w:type="dxa"/>
            <w:vAlign w:val="bottom"/>
            <w:tcBorders>
              <w:bottom w:val="single" w:sz="8" w:color="auto"/>
            </w:tcBorders>
          </w:tcPr>
          <w:p>
            <w:pPr>
              <w:spacing w:after="0"/>
              <w:rPr>
                <w:sz w:val="4"/>
                <w:szCs w:val="4"/>
                <w:color w:val="auto"/>
              </w:rPr>
            </w:pPr>
          </w:p>
        </w:tc>
        <w:tc>
          <w:tcPr>
            <w:tcW w:w="20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278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2780" w:type="dxa"/>
            <w:vAlign w:val="bottom"/>
          </w:tcPr>
          <w:p>
            <w:pPr>
              <w:ind w:left="100"/>
              <w:spacing w:after="0"/>
              <w:rPr>
                <w:sz w:val="20"/>
                <w:szCs w:val="20"/>
                <w:color w:val="auto"/>
              </w:rPr>
            </w:pPr>
            <w:r>
              <w:rPr>
                <w:rFonts w:ascii="Arial" w:cs="Arial" w:eastAsia="Arial" w:hAnsi="Arial"/>
                <w:sz w:val="14"/>
                <w:szCs w:val="14"/>
                <w:b w:val="1"/>
                <w:bCs w:val="1"/>
                <w:color w:val="auto"/>
              </w:rPr>
              <w:t>Remo Canessa</w:t>
            </w:r>
          </w:p>
        </w:tc>
        <w:tc>
          <w:tcPr>
            <w:tcW w:w="2040" w:type="dxa"/>
            <w:vAlign w:val="bottom"/>
          </w:tcPr>
          <w:p>
            <w:pPr>
              <w:jc w:val="center"/>
              <w:spacing w:after="0"/>
              <w:rPr>
                <w:sz w:val="20"/>
                <w:szCs w:val="20"/>
                <w:color w:val="auto"/>
              </w:rPr>
            </w:pPr>
            <w:r>
              <w:rPr>
                <w:rFonts w:ascii="Arial" w:cs="Arial" w:eastAsia="Arial" w:hAnsi="Arial"/>
                <w:sz w:val="14"/>
                <w:szCs w:val="14"/>
                <w:color w:val="auto"/>
              </w:rPr>
              <w:t>200,000</w:t>
            </w:r>
          </w:p>
        </w:tc>
        <w:tc>
          <w:tcPr>
            <w:tcW w:w="780" w:type="dxa"/>
            <w:vAlign w:val="bottom"/>
          </w:tcPr>
          <w:p>
            <w:pPr>
              <w:spacing w:after="0"/>
              <w:rPr>
                <w:sz w:val="19"/>
                <w:szCs w:val="19"/>
                <w:color w:val="auto"/>
              </w:rPr>
            </w:pPr>
          </w:p>
        </w:tc>
        <w:tc>
          <w:tcPr>
            <w:tcW w:w="1440" w:type="dxa"/>
            <w:vAlign w:val="bottom"/>
          </w:tcPr>
          <w:p>
            <w:pPr>
              <w:jc w:val="right"/>
              <w:ind w:right="129"/>
              <w:spacing w:after="0"/>
              <w:rPr>
                <w:sz w:val="20"/>
                <w:szCs w:val="20"/>
                <w:color w:val="auto"/>
              </w:rPr>
            </w:pPr>
            <w:r>
              <w:rPr>
                <w:rFonts w:ascii="Arial" w:cs="Arial" w:eastAsia="Arial" w:hAnsi="Arial"/>
                <w:sz w:val="14"/>
                <w:szCs w:val="14"/>
                <w:color w:val="auto"/>
              </w:rPr>
              <w:t>31,070,055</w:t>
            </w:r>
          </w:p>
        </w:tc>
        <w:tc>
          <w:tcPr>
            <w:tcW w:w="2780" w:type="dxa"/>
            <w:vAlign w:val="bottom"/>
          </w:tcPr>
          <w:p>
            <w:pPr>
              <w:jc w:val="center"/>
              <w:ind w:right="744"/>
              <w:spacing w:after="0"/>
              <w:rPr>
                <w:sz w:val="20"/>
                <w:szCs w:val="20"/>
                <w:color w:val="auto"/>
              </w:rPr>
            </w:pPr>
            <w:r>
              <w:rPr>
                <w:rFonts w:ascii="Arial" w:cs="Arial" w:eastAsia="Arial" w:hAnsi="Arial"/>
                <w:sz w:val="14"/>
                <w:szCs w:val="14"/>
                <w:color w:val="auto"/>
              </w:rPr>
              <w:t>26,975</w:t>
            </w:r>
          </w:p>
        </w:tc>
        <w:tc>
          <w:tcPr>
            <w:tcW w:w="1420" w:type="dxa"/>
            <w:vAlign w:val="bottom"/>
          </w:tcPr>
          <w:p>
            <w:pPr>
              <w:jc w:val="right"/>
              <w:ind w:right="89"/>
              <w:spacing w:after="0"/>
              <w:rPr>
                <w:sz w:val="20"/>
                <w:szCs w:val="20"/>
                <w:color w:val="auto"/>
              </w:rPr>
            </w:pPr>
            <w:r>
              <w:rPr>
                <w:rFonts w:ascii="Arial" w:cs="Arial" w:eastAsia="Arial" w:hAnsi="Arial"/>
                <w:sz w:val="14"/>
                <w:szCs w:val="14"/>
                <w:color w:val="auto"/>
              </w:rPr>
              <w:t>5,151,339</w:t>
            </w:r>
          </w:p>
        </w:tc>
        <w:tc>
          <w:tcPr>
            <w:tcW w:w="0" w:type="dxa"/>
            <w:vAlign w:val="bottom"/>
          </w:tcPr>
          <w:p>
            <w:pPr>
              <w:spacing w:after="0"/>
              <w:rPr>
                <w:sz w:val="1"/>
                <w:szCs w:val="1"/>
                <w:color w:val="auto"/>
              </w:rPr>
            </w:pPr>
          </w:p>
        </w:tc>
      </w:tr>
      <w:tr>
        <w:trPr>
          <w:trHeight w:val="53"/>
        </w:trPr>
        <w:tc>
          <w:tcPr>
            <w:tcW w:w="2780" w:type="dxa"/>
            <w:vAlign w:val="bottom"/>
            <w:tcBorders>
              <w:bottom w:val="single" w:sz="8" w:color="auto"/>
            </w:tcBorders>
          </w:tcPr>
          <w:p>
            <w:pPr>
              <w:spacing w:after="0"/>
              <w:rPr>
                <w:sz w:val="4"/>
                <w:szCs w:val="4"/>
                <w:color w:val="auto"/>
              </w:rPr>
            </w:pPr>
          </w:p>
        </w:tc>
        <w:tc>
          <w:tcPr>
            <w:tcW w:w="20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278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2780" w:type="dxa"/>
            <w:vAlign w:val="bottom"/>
          </w:tcPr>
          <w:p>
            <w:pPr>
              <w:ind w:left="100"/>
              <w:spacing w:after="0"/>
              <w:rPr>
                <w:sz w:val="20"/>
                <w:szCs w:val="20"/>
                <w:color w:val="auto"/>
              </w:rPr>
            </w:pPr>
            <w:r>
              <w:rPr>
                <w:rFonts w:ascii="Arial" w:cs="Arial" w:eastAsia="Arial" w:hAnsi="Arial"/>
                <w:sz w:val="14"/>
                <w:szCs w:val="14"/>
                <w:b w:val="1"/>
                <w:bCs w:val="1"/>
                <w:color w:val="auto"/>
              </w:rPr>
              <w:t>Amit Sinha, Ph.D.</w:t>
            </w:r>
          </w:p>
        </w:tc>
        <w:tc>
          <w:tcPr>
            <w:tcW w:w="2040" w:type="dxa"/>
            <w:vAlign w:val="bottom"/>
          </w:tcPr>
          <w:p>
            <w:pPr>
              <w:jc w:val="center"/>
              <w:spacing w:after="0"/>
              <w:rPr>
                <w:sz w:val="20"/>
                <w:szCs w:val="20"/>
                <w:color w:val="auto"/>
              </w:rPr>
            </w:pPr>
            <w:r>
              <w:rPr>
                <w:rFonts w:ascii="Arial" w:cs="Arial" w:eastAsia="Arial" w:hAnsi="Arial"/>
                <w:sz w:val="14"/>
                <w:szCs w:val="14"/>
                <w:color w:val="auto"/>
              </w:rPr>
              <w:t>105,000</w:t>
            </w:r>
          </w:p>
        </w:tc>
        <w:tc>
          <w:tcPr>
            <w:tcW w:w="780" w:type="dxa"/>
            <w:vAlign w:val="bottom"/>
          </w:tcPr>
          <w:p>
            <w:pPr>
              <w:spacing w:after="0"/>
              <w:rPr>
                <w:sz w:val="19"/>
                <w:szCs w:val="19"/>
                <w:color w:val="auto"/>
              </w:rPr>
            </w:pPr>
          </w:p>
        </w:tc>
        <w:tc>
          <w:tcPr>
            <w:tcW w:w="1440" w:type="dxa"/>
            <w:vAlign w:val="bottom"/>
          </w:tcPr>
          <w:p>
            <w:pPr>
              <w:jc w:val="right"/>
              <w:ind w:right="129"/>
              <w:spacing w:after="0"/>
              <w:rPr>
                <w:sz w:val="20"/>
                <w:szCs w:val="20"/>
                <w:color w:val="auto"/>
              </w:rPr>
            </w:pPr>
            <w:r>
              <w:rPr>
                <w:rFonts w:ascii="Arial" w:cs="Arial" w:eastAsia="Arial" w:hAnsi="Arial"/>
                <w:sz w:val="14"/>
                <w:szCs w:val="14"/>
                <w:color w:val="auto"/>
              </w:rPr>
              <w:t>20,408,535</w:t>
            </w:r>
          </w:p>
        </w:tc>
        <w:tc>
          <w:tcPr>
            <w:tcW w:w="2780" w:type="dxa"/>
            <w:vAlign w:val="bottom"/>
          </w:tcPr>
          <w:p>
            <w:pPr>
              <w:jc w:val="center"/>
              <w:ind w:right="744"/>
              <w:spacing w:after="0"/>
              <w:rPr>
                <w:sz w:val="20"/>
                <w:szCs w:val="20"/>
                <w:color w:val="auto"/>
              </w:rPr>
            </w:pPr>
            <w:r>
              <w:rPr>
                <w:rFonts w:ascii="Arial" w:cs="Arial" w:eastAsia="Arial" w:hAnsi="Arial"/>
                <w:sz w:val="14"/>
                <w:szCs w:val="14"/>
                <w:color w:val="auto"/>
              </w:rPr>
              <w:t>52,366</w:t>
            </w:r>
          </w:p>
        </w:tc>
        <w:tc>
          <w:tcPr>
            <w:tcW w:w="1420" w:type="dxa"/>
            <w:vAlign w:val="bottom"/>
          </w:tcPr>
          <w:p>
            <w:pPr>
              <w:jc w:val="right"/>
              <w:ind w:right="89"/>
              <w:spacing w:after="0"/>
              <w:rPr>
                <w:sz w:val="20"/>
                <w:szCs w:val="20"/>
                <w:color w:val="auto"/>
              </w:rPr>
            </w:pPr>
            <w:r>
              <w:rPr>
                <w:rFonts w:ascii="Arial" w:cs="Arial" w:eastAsia="Arial" w:hAnsi="Arial"/>
                <w:sz w:val="14"/>
                <w:szCs w:val="14"/>
                <w:color w:val="auto"/>
              </w:rPr>
              <w:t>9,772,278</w:t>
            </w:r>
          </w:p>
        </w:tc>
        <w:tc>
          <w:tcPr>
            <w:tcW w:w="0" w:type="dxa"/>
            <w:vAlign w:val="bottom"/>
          </w:tcPr>
          <w:p>
            <w:pPr>
              <w:spacing w:after="0"/>
              <w:rPr>
                <w:sz w:val="1"/>
                <w:szCs w:val="1"/>
                <w:color w:val="auto"/>
              </w:rPr>
            </w:pPr>
          </w:p>
        </w:tc>
      </w:tr>
      <w:tr>
        <w:trPr>
          <w:trHeight w:val="53"/>
        </w:trPr>
        <w:tc>
          <w:tcPr>
            <w:tcW w:w="2780" w:type="dxa"/>
            <w:vAlign w:val="bottom"/>
            <w:tcBorders>
              <w:bottom w:val="single" w:sz="8" w:color="auto"/>
            </w:tcBorders>
          </w:tcPr>
          <w:p>
            <w:pPr>
              <w:spacing w:after="0"/>
              <w:rPr>
                <w:sz w:val="4"/>
                <w:szCs w:val="4"/>
                <w:color w:val="auto"/>
              </w:rPr>
            </w:pPr>
          </w:p>
        </w:tc>
        <w:tc>
          <w:tcPr>
            <w:tcW w:w="20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278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2780" w:type="dxa"/>
            <w:vAlign w:val="bottom"/>
          </w:tcPr>
          <w:p>
            <w:pPr>
              <w:ind w:left="100"/>
              <w:spacing w:after="0"/>
              <w:rPr>
                <w:sz w:val="20"/>
                <w:szCs w:val="20"/>
                <w:color w:val="auto"/>
              </w:rPr>
            </w:pPr>
            <w:r>
              <w:rPr>
                <w:rFonts w:ascii="Arial" w:cs="Arial" w:eastAsia="Arial" w:hAnsi="Arial"/>
                <w:sz w:val="14"/>
                <w:szCs w:val="14"/>
                <w:b w:val="1"/>
                <w:bCs w:val="1"/>
                <w:color w:val="auto"/>
              </w:rPr>
              <w:t>Dalibor Rajic</w:t>
            </w:r>
          </w:p>
        </w:tc>
        <w:tc>
          <w:tcPr>
            <w:tcW w:w="2040" w:type="dxa"/>
            <w:vAlign w:val="bottom"/>
          </w:tcPr>
          <w:p>
            <w:pPr>
              <w:jc w:val="center"/>
              <w:spacing w:after="0"/>
              <w:rPr>
                <w:sz w:val="20"/>
                <w:szCs w:val="20"/>
                <w:color w:val="auto"/>
              </w:rPr>
            </w:pPr>
            <w:r>
              <w:rPr>
                <w:rFonts w:ascii="Arial" w:cs="Arial" w:eastAsia="Arial" w:hAnsi="Arial"/>
                <w:sz w:val="14"/>
                <w:szCs w:val="14"/>
                <w:color w:val="auto"/>
              </w:rPr>
              <w:t>31,974</w:t>
            </w:r>
          </w:p>
        </w:tc>
        <w:tc>
          <w:tcPr>
            <w:tcW w:w="780" w:type="dxa"/>
            <w:vAlign w:val="bottom"/>
          </w:tcPr>
          <w:p>
            <w:pPr>
              <w:spacing w:after="0"/>
              <w:rPr>
                <w:sz w:val="19"/>
                <w:szCs w:val="19"/>
                <w:color w:val="auto"/>
              </w:rPr>
            </w:pPr>
          </w:p>
        </w:tc>
        <w:tc>
          <w:tcPr>
            <w:tcW w:w="1440" w:type="dxa"/>
            <w:vAlign w:val="bottom"/>
          </w:tcPr>
          <w:p>
            <w:pPr>
              <w:jc w:val="right"/>
              <w:ind w:right="129"/>
              <w:spacing w:after="0"/>
              <w:rPr>
                <w:sz w:val="20"/>
                <w:szCs w:val="20"/>
                <w:color w:val="auto"/>
              </w:rPr>
            </w:pPr>
            <w:r>
              <w:rPr>
                <w:rFonts w:ascii="Arial" w:cs="Arial" w:eastAsia="Arial" w:hAnsi="Arial"/>
                <w:sz w:val="14"/>
                <w:szCs w:val="14"/>
                <w:color w:val="auto"/>
              </w:rPr>
              <w:t>5,048,055</w:t>
            </w:r>
          </w:p>
        </w:tc>
        <w:tc>
          <w:tcPr>
            <w:tcW w:w="2780" w:type="dxa"/>
            <w:vAlign w:val="bottom"/>
          </w:tcPr>
          <w:p>
            <w:pPr>
              <w:jc w:val="center"/>
              <w:ind w:right="744"/>
              <w:spacing w:after="0"/>
              <w:rPr>
                <w:sz w:val="20"/>
                <w:szCs w:val="20"/>
                <w:color w:val="auto"/>
              </w:rPr>
            </w:pPr>
            <w:r>
              <w:rPr>
                <w:rFonts w:ascii="Arial" w:cs="Arial" w:eastAsia="Arial" w:hAnsi="Arial"/>
                <w:sz w:val="14"/>
                <w:szCs w:val="14"/>
                <w:color w:val="auto"/>
              </w:rPr>
              <w:t>119,378</w:t>
            </w:r>
          </w:p>
        </w:tc>
        <w:tc>
          <w:tcPr>
            <w:tcW w:w="1420" w:type="dxa"/>
            <w:vAlign w:val="bottom"/>
          </w:tcPr>
          <w:p>
            <w:pPr>
              <w:jc w:val="right"/>
              <w:ind w:right="89"/>
              <w:spacing w:after="0"/>
              <w:rPr>
                <w:sz w:val="20"/>
                <w:szCs w:val="20"/>
                <w:color w:val="auto"/>
              </w:rPr>
            </w:pPr>
            <w:r>
              <w:rPr>
                <w:rFonts w:ascii="Arial" w:cs="Arial" w:eastAsia="Arial" w:hAnsi="Arial"/>
                <w:sz w:val="14"/>
                <w:szCs w:val="14"/>
                <w:color w:val="auto"/>
              </w:rPr>
              <w:t>18,785,609</w:t>
            </w:r>
          </w:p>
        </w:tc>
        <w:tc>
          <w:tcPr>
            <w:tcW w:w="0" w:type="dxa"/>
            <w:vAlign w:val="bottom"/>
          </w:tcPr>
          <w:p>
            <w:pPr>
              <w:spacing w:after="0"/>
              <w:rPr>
                <w:sz w:val="1"/>
                <w:szCs w:val="1"/>
                <w:color w:val="auto"/>
              </w:rPr>
            </w:pPr>
          </w:p>
        </w:tc>
      </w:tr>
      <w:tr>
        <w:trPr>
          <w:trHeight w:val="53"/>
        </w:trPr>
        <w:tc>
          <w:tcPr>
            <w:tcW w:w="2780" w:type="dxa"/>
            <w:vAlign w:val="bottom"/>
            <w:tcBorders>
              <w:bottom w:val="single" w:sz="8" w:color="auto"/>
            </w:tcBorders>
          </w:tcPr>
          <w:p>
            <w:pPr>
              <w:spacing w:after="0"/>
              <w:rPr>
                <w:sz w:val="4"/>
                <w:szCs w:val="4"/>
                <w:color w:val="auto"/>
              </w:rPr>
            </w:pPr>
          </w:p>
        </w:tc>
        <w:tc>
          <w:tcPr>
            <w:tcW w:w="20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278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2780" w:type="dxa"/>
            <w:vAlign w:val="bottom"/>
          </w:tcPr>
          <w:p>
            <w:pPr>
              <w:ind w:left="100"/>
              <w:spacing w:after="0"/>
              <w:rPr>
                <w:sz w:val="20"/>
                <w:szCs w:val="20"/>
                <w:color w:val="auto"/>
              </w:rPr>
            </w:pPr>
            <w:r>
              <w:rPr>
                <w:rFonts w:ascii="Arial" w:cs="Arial" w:eastAsia="Arial" w:hAnsi="Arial"/>
                <w:sz w:val="14"/>
                <w:szCs w:val="14"/>
                <w:b w:val="1"/>
                <w:bCs w:val="1"/>
                <w:color w:val="auto"/>
              </w:rPr>
              <w:t>Robert Schlossman</w:t>
            </w:r>
          </w:p>
        </w:tc>
        <w:tc>
          <w:tcPr>
            <w:tcW w:w="2040" w:type="dxa"/>
            <w:vAlign w:val="bottom"/>
          </w:tcPr>
          <w:p>
            <w:pPr>
              <w:jc w:val="center"/>
              <w:spacing w:after="0"/>
              <w:rPr>
                <w:sz w:val="20"/>
                <w:szCs w:val="20"/>
                <w:color w:val="auto"/>
              </w:rPr>
            </w:pPr>
            <w:r>
              <w:rPr>
                <w:rFonts w:ascii="Arial" w:cs="Arial" w:eastAsia="Arial" w:hAnsi="Arial"/>
                <w:sz w:val="14"/>
                <w:szCs w:val="14"/>
                <w:color w:val="auto"/>
              </w:rPr>
              <w:t>61,000</w:t>
            </w:r>
          </w:p>
        </w:tc>
        <w:tc>
          <w:tcPr>
            <w:tcW w:w="780" w:type="dxa"/>
            <w:vAlign w:val="bottom"/>
          </w:tcPr>
          <w:p>
            <w:pPr>
              <w:spacing w:after="0"/>
              <w:rPr>
                <w:sz w:val="19"/>
                <w:szCs w:val="19"/>
                <w:color w:val="auto"/>
              </w:rPr>
            </w:pPr>
          </w:p>
        </w:tc>
        <w:tc>
          <w:tcPr>
            <w:tcW w:w="1440" w:type="dxa"/>
            <w:vAlign w:val="bottom"/>
          </w:tcPr>
          <w:p>
            <w:pPr>
              <w:jc w:val="right"/>
              <w:ind w:right="129"/>
              <w:spacing w:after="0"/>
              <w:rPr>
                <w:sz w:val="20"/>
                <w:szCs w:val="20"/>
                <w:color w:val="auto"/>
              </w:rPr>
            </w:pPr>
            <w:r>
              <w:rPr>
                <w:rFonts w:ascii="Arial" w:cs="Arial" w:eastAsia="Arial" w:hAnsi="Arial"/>
                <w:sz w:val="14"/>
                <w:szCs w:val="14"/>
                <w:color w:val="auto"/>
              </w:rPr>
              <w:t>8,135,965</w:t>
            </w:r>
          </w:p>
        </w:tc>
        <w:tc>
          <w:tcPr>
            <w:tcW w:w="2780" w:type="dxa"/>
            <w:vAlign w:val="bottom"/>
          </w:tcPr>
          <w:p>
            <w:pPr>
              <w:jc w:val="center"/>
              <w:ind w:right="744"/>
              <w:spacing w:after="0"/>
              <w:rPr>
                <w:sz w:val="20"/>
                <w:szCs w:val="20"/>
                <w:color w:val="auto"/>
              </w:rPr>
            </w:pPr>
            <w:r>
              <w:rPr>
                <w:rFonts w:ascii="Arial" w:cs="Arial" w:eastAsia="Arial" w:hAnsi="Arial"/>
                <w:sz w:val="14"/>
                <w:szCs w:val="14"/>
                <w:color w:val="auto"/>
              </w:rPr>
              <w:t>25,276</w:t>
            </w:r>
          </w:p>
        </w:tc>
        <w:tc>
          <w:tcPr>
            <w:tcW w:w="1420" w:type="dxa"/>
            <w:vAlign w:val="bottom"/>
          </w:tcPr>
          <w:p>
            <w:pPr>
              <w:jc w:val="right"/>
              <w:ind w:right="89"/>
              <w:spacing w:after="0"/>
              <w:rPr>
                <w:sz w:val="20"/>
                <w:szCs w:val="20"/>
                <w:color w:val="auto"/>
              </w:rPr>
            </w:pPr>
            <w:r>
              <w:rPr>
                <w:rFonts w:ascii="Arial" w:cs="Arial" w:eastAsia="Arial" w:hAnsi="Arial"/>
                <w:sz w:val="14"/>
                <w:szCs w:val="14"/>
                <w:color w:val="auto"/>
              </w:rPr>
              <w:t>4,712,978</w:t>
            </w:r>
          </w:p>
        </w:tc>
        <w:tc>
          <w:tcPr>
            <w:tcW w:w="0" w:type="dxa"/>
            <w:vAlign w:val="bottom"/>
          </w:tcPr>
          <w:p>
            <w:pPr>
              <w:spacing w:after="0"/>
              <w:rPr>
                <w:sz w:val="1"/>
                <w:szCs w:val="1"/>
                <w:color w:val="auto"/>
              </w:rPr>
            </w:pPr>
          </w:p>
        </w:tc>
      </w:tr>
      <w:tr>
        <w:trPr>
          <w:trHeight w:val="53"/>
        </w:trPr>
        <w:tc>
          <w:tcPr>
            <w:tcW w:w="2780" w:type="dxa"/>
            <w:vAlign w:val="bottom"/>
            <w:tcBorders>
              <w:bottom w:val="single" w:sz="8" w:color="auto"/>
            </w:tcBorders>
          </w:tcPr>
          <w:p>
            <w:pPr>
              <w:spacing w:after="0"/>
              <w:rPr>
                <w:sz w:val="4"/>
                <w:szCs w:val="4"/>
                <w:color w:val="auto"/>
              </w:rPr>
            </w:pPr>
          </w:p>
        </w:tc>
        <w:tc>
          <w:tcPr>
            <w:tcW w:w="20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278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340" w:right="120" w:hanging="332"/>
        <w:spacing w:after="0" w:line="242" w:lineRule="auto"/>
        <w:tabs>
          <w:tab w:leader="none" w:pos="332" w:val="left"/>
        </w:tabs>
        <w:numPr>
          <w:ilvl w:val="0"/>
          <w:numId w:val="50"/>
        </w:numPr>
        <w:rPr>
          <w:rFonts w:ascii="Arial" w:cs="Arial" w:eastAsia="Arial" w:hAnsi="Arial"/>
          <w:sz w:val="13"/>
          <w:szCs w:val="13"/>
          <w:color w:val="auto"/>
        </w:rPr>
      </w:pPr>
      <w:r>
        <w:rPr>
          <w:rFonts w:ascii="Arial" w:cs="Arial" w:eastAsia="Arial" w:hAnsi="Arial"/>
          <w:sz w:val="13"/>
          <w:szCs w:val="13"/>
          <w:color w:val="auto"/>
        </w:rPr>
        <w:t>The value realized on exercise is pre-tax and represents the difference between the market price of our common stock on the date of exercise less the option exercise price paid for those shares, multiplied by the number of shares for which the option was exercised.</w:t>
      </w:r>
    </w:p>
    <w:p>
      <w:pPr>
        <w:spacing w:after="0" w:line="49" w:lineRule="exact"/>
        <w:rPr>
          <w:rFonts w:ascii="Arial" w:cs="Arial" w:eastAsia="Arial" w:hAnsi="Arial"/>
          <w:sz w:val="13"/>
          <w:szCs w:val="13"/>
          <w:color w:val="auto"/>
        </w:rPr>
      </w:pPr>
    </w:p>
    <w:p>
      <w:pPr>
        <w:ind w:left="320" w:hanging="312"/>
        <w:spacing w:after="0"/>
        <w:tabs>
          <w:tab w:leader="none" w:pos="320" w:val="left"/>
        </w:tabs>
        <w:numPr>
          <w:ilvl w:val="0"/>
          <w:numId w:val="50"/>
        </w:numPr>
        <w:rPr>
          <w:rFonts w:ascii="Arial" w:cs="Arial" w:eastAsia="Arial" w:hAnsi="Arial"/>
          <w:sz w:val="13"/>
          <w:szCs w:val="13"/>
          <w:color w:val="auto"/>
        </w:rPr>
      </w:pPr>
      <w:r>
        <w:rPr>
          <w:rFonts w:ascii="Arial" w:cs="Arial" w:eastAsia="Arial" w:hAnsi="Arial"/>
          <w:sz w:val="13"/>
          <w:szCs w:val="13"/>
          <w:color w:val="auto"/>
        </w:rPr>
        <w:t>The value realized on vesting is calculated as the number of vested shares multiplied by the closing market price of our common stock on the vesting date.</w:t>
      </w: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b w:val="1"/>
          <w:bCs w:val="1"/>
          <w:color w:val="009ADA"/>
        </w:rPr>
        <w:t>Potential Payments Upon Termination or Change in Control</w:t>
      </w:r>
    </w:p>
    <w:p>
      <w:pPr>
        <w:spacing w:after="0" w:line="213" w:lineRule="exact"/>
        <w:rPr>
          <w:sz w:val="20"/>
          <w:szCs w:val="20"/>
          <w:color w:val="auto"/>
        </w:rPr>
      </w:pPr>
    </w:p>
    <w:p>
      <w:pPr>
        <w:ind w:right="100"/>
        <w:spacing w:after="0" w:line="337" w:lineRule="auto"/>
        <w:rPr>
          <w:sz w:val="20"/>
          <w:szCs w:val="20"/>
          <w:color w:val="auto"/>
        </w:rPr>
      </w:pPr>
      <w:r>
        <w:rPr>
          <w:rFonts w:ascii="Arial" w:cs="Arial" w:eastAsia="Arial" w:hAnsi="Arial"/>
          <w:sz w:val="16"/>
          <w:szCs w:val="16"/>
          <w:color w:val="auto"/>
        </w:rPr>
        <w:t>The tables below quantify (i) the potential payments to Messrs. Canessa, Rajic and Schlossman under the terms of the Severance Policy in the event of a qualifying termination of employment that is not in connection with a change in control of the Company and (ii) the potential payments to our Named Executive Officers under the terms of the Severance Policy in the event of a qualifying termination of employment in connection with a change in control of the Company. The amounts shown assume that the change in control and/or termination of employment occurred on July 31, 2021, the last business day of fiscal 2021. The values reflected also assume that the payments and benefits to our Named Executive Officers are not reduced by virtue of the provision in the Severance Policy relating to Sections 280G and 4999 of the Code.</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440" w:type="dxa"/>
            <w:vAlign w:val="bottom"/>
            <w:gridSpan w:val="4"/>
          </w:tcPr>
          <w:p>
            <w:pPr>
              <w:spacing w:after="0"/>
              <w:rPr>
                <w:sz w:val="20"/>
                <w:szCs w:val="20"/>
                <w:color w:val="auto"/>
              </w:rPr>
            </w:pPr>
            <w:r>
              <w:rPr>
                <w:rFonts w:ascii="Arial" w:cs="Arial" w:eastAsia="Arial" w:hAnsi="Arial"/>
                <w:sz w:val="16"/>
                <w:szCs w:val="16"/>
                <w:b w:val="1"/>
                <w:bCs w:val="1"/>
                <w:color w:val="auto"/>
              </w:rPr>
              <w:t>Potential Payments Upon Termination Not in Connection with a Change in Control</w:t>
            </w:r>
          </w:p>
        </w:tc>
        <w:tc>
          <w:tcPr>
            <w:tcW w:w="19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4"/>
        </w:trPr>
        <w:tc>
          <w:tcPr>
            <w:tcW w:w="46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80" w:type="dxa"/>
            <w:vAlign w:val="bottom"/>
            <w:gridSpan w:val="2"/>
          </w:tcPr>
          <w:p>
            <w:pPr>
              <w:spacing w:after="0"/>
              <w:rPr>
                <w:sz w:val="9"/>
                <w:szCs w:val="9"/>
                <w:color w:val="auto"/>
              </w:rPr>
            </w:pPr>
          </w:p>
        </w:tc>
        <w:tc>
          <w:tcPr>
            <w:tcW w:w="1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46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shd w:val="clear" w:color="auto" w:fill="929292"/>
          </w:tcPr>
          <w:p>
            <w:pPr>
              <w:spacing w:after="0"/>
              <w:rPr>
                <w:sz w:val="20"/>
                <w:szCs w:val="20"/>
                <w:color w:val="auto"/>
              </w:rPr>
            </w:pPr>
          </w:p>
        </w:tc>
        <w:tc>
          <w:tcPr>
            <w:tcW w:w="3280" w:type="dxa"/>
            <w:vAlign w:val="bottom"/>
            <w:gridSpan w:val="2"/>
            <w:shd w:val="clear" w:color="auto" w:fill="929292"/>
          </w:tcPr>
          <w:p>
            <w:pPr>
              <w:jc w:val="right"/>
              <w:ind w:right="264"/>
              <w:spacing w:after="0"/>
              <w:rPr>
                <w:sz w:val="20"/>
                <w:szCs w:val="20"/>
                <w:color w:val="auto"/>
              </w:rPr>
            </w:pPr>
            <w:r>
              <w:rPr>
                <w:rFonts w:ascii="Arial" w:cs="Arial" w:eastAsia="Arial" w:hAnsi="Arial"/>
                <w:sz w:val="16"/>
                <w:szCs w:val="16"/>
                <w:b w:val="1"/>
                <w:bCs w:val="1"/>
                <w:color w:val="FFFFFF"/>
              </w:rPr>
              <w:t>Value of Accelerated Equity Awards</w:t>
            </w: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4660" w:type="dxa"/>
            <w:vAlign w:val="bottom"/>
            <w:shd w:val="clear" w:color="auto" w:fill="000000"/>
          </w:tcPr>
          <w:p>
            <w:pPr>
              <w:spacing w:after="0"/>
              <w:rPr>
                <w:sz w:val="19"/>
                <w:szCs w:val="19"/>
                <w:color w:val="auto"/>
              </w:rPr>
            </w:pPr>
          </w:p>
        </w:tc>
        <w:tc>
          <w:tcPr>
            <w:tcW w:w="1500" w:type="dxa"/>
            <w:vAlign w:val="bottom"/>
            <w:shd w:val="clear" w:color="auto" w:fill="2B338D"/>
          </w:tcPr>
          <w:p>
            <w:pPr>
              <w:spacing w:after="0"/>
              <w:rPr>
                <w:sz w:val="19"/>
                <w:szCs w:val="19"/>
                <w:color w:val="auto"/>
              </w:rPr>
            </w:pPr>
          </w:p>
        </w:tc>
        <w:tc>
          <w:tcPr>
            <w:tcW w:w="140" w:type="dxa"/>
            <w:vAlign w:val="bottom"/>
            <w:shd w:val="clear" w:color="auto" w:fill="2B338D"/>
          </w:tcPr>
          <w:p>
            <w:pPr>
              <w:spacing w:after="0"/>
              <w:rPr>
                <w:sz w:val="19"/>
                <w:szCs w:val="19"/>
                <w:color w:val="auto"/>
              </w:rPr>
            </w:pPr>
          </w:p>
        </w:tc>
        <w:tc>
          <w:tcPr>
            <w:tcW w:w="140" w:type="dxa"/>
            <w:vAlign w:val="bottom"/>
            <w:shd w:val="clear" w:color="auto" w:fill="2B338D"/>
          </w:tcPr>
          <w:p>
            <w:pPr>
              <w:spacing w:after="0"/>
              <w:rPr>
                <w:sz w:val="19"/>
                <w:szCs w:val="19"/>
                <w:color w:val="auto"/>
              </w:rPr>
            </w:pPr>
          </w:p>
        </w:tc>
        <w:tc>
          <w:tcPr>
            <w:tcW w:w="1920" w:type="dxa"/>
            <w:vAlign w:val="bottom"/>
            <w:shd w:val="clear" w:color="auto" w:fill="2B338D"/>
          </w:tcPr>
          <w:p>
            <w:pPr>
              <w:jc w:val="right"/>
              <w:ind w:right="443"/>
              <w:spacing w:after="0"/>
              <w:rPr>
                <w:sz w:val="20"/>
                <w:szCs w:val="20"/>
                <w:color w:val="auto"/>
              </w:rPr>
            </w:pPr>
            <w:r>
              <w:rPr>
                <w:rFonts w:ascii="Arial" w:cs="Arial" w:eastAsia="Arial" w:hAnsi="Arial"/>
                <w:sz w:val="16"/>
                <w:szCs w:val="16"/>
                <w:b w:val="1"/>
                <w:bCs w:val="1"/>
                <w:color w:val="FFFFFF"/>
              </w:rPr>
              <w:t>Restricted Stock</w:t>
            </w:r>
          </w:p>
        </w:tc>
        <w:tc>
          <w:tcPr>
            <w:tcW w:w="1360" w:type="dxa"/>
            <w:vAlign w:val="bottom"/>
            <w:shd w:val="clear" w:color="auto" w:fill="2B338D"/>
          </w:tcPr>
          <w:p>
            <w:pPr>
              <w:spacing w:after="0"/>
              <w:rPr>
                <w:sz w:val="19"/>
                <w:szCs w:val="19"/>
                <w:color w:val="auto"/>
              </w:rPr>
            </w:pPr>
          </w:p>
        </w:tc>
        <w:tc>
          <w:tcPr>
            <w:tcW w:w="1300" w:type="dxa"/>
            <w:vAlign w:val="bottom"/>
            <w:shd w:val="clear" w:color="auto" w:fill="009ADA"/>
          </w:tcPr>
          <w:p>
            <w:pPr>
              <w:spacing w:after="0"/>
              <w:rPr>
                <w:sz w:val="19"/>
                <w:szCs w:val="19"/>
                <w:color w:val="auto"/>
              </w:rPr>
            </w:pPr>
          </w:p>
        </w:tc>
        <w:tc>
          <w:tcPr>
            <w:tcW w:w="140" w:type="dxa"/>
            <w:vAlign w:val="bottom"/>
            <w:shd w:val="clear" w:color="auto" w:fill="009ADA"/>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660" w:type="dxa"/>
            <w:vAlign w:val="bottom"/>
            <w:shd w:val="clear" w:color="auto" w:fill="000000"/>
          </w:tcPr>
          <w:p>
            <w:pPr>
              <w:spacing w:after="0"/>
              <w:rPr>
                <w:sz w:val="18"/>
                <w:szCs w:val="18"/>
                <w:color w:val="auto"/>
              </w:rPr>
            </w:pPr>
          </w:p>
        </w:tc>
        <w:tc>
          <w:tcPr>
            <w:tcW w:w="1500" w:type="dxa"/>
            <w:vAlign w:val="bottom"/>
            <w:vMerge w:val="restart"/>
            <w:shd w:val="clear" w:color="auto" w:fill="2B338D"/>
          </w:tcPr>
          <w:p>
            <w:pPr>
              <w:jc w:val="right"/>
              <w:spacing w:after="0"/>
              <w:rPr>
                <w:sz w:val="20"/>
                <w:szCs w:val="20"/>
                <w:color w:val="auto"/>
              </w:rPr>
            </w:pPr>
            <w:r>
              <w:rPr>
                <w:rFonts w:ascii="Arial" w:cs="Arial" w:eastAsia="Arial" w:hAnsi="Arial"/>
                <w:sz w:val="16"/>
                <w:szCs w:val="16"/>
                <w:b w:val="1"/>
                <w:bCs w:val="1"/>
                <w:color w:val="FFFFFF"/>
              </w:rPr>
              <w:t>Salary Severance</w:t>
            </w:r>
          </w:p>
        </w:tc>
        <w:tc>
          <w:tcPr>
            <w:tcW w:w="140" w:type="dxa"/>
            <w:vAlign w:val="bottom"/>
            <w:shd w:val="clear" w:color="auto" w:fill="2B338D"/>
          </w:tcPr>
          <w:p>
            <w:pPr>
              <w:spacing w:after="0"/>
              <w:rPr>
                <w:sz w:val="18"/>
                <w:szCs w:val="18"/>
                <w:color w:val="auto"/>
              </w:rPr>
            </w:pPr>
          </w:p>
        </w:tc>
        <w:tc>
          <w:tcPr>
            <w:tcW w:w="140" w:type="dxa"/>
            <w:vAlign w:val="bottom"/>
            <w:shd w:val="clear" w:color="auto" w:fill="2B338D"/>
          </w:tcPr>
          <w:p>
            <w:pPr>
              <w:spacing w:after="0"/>
              <w:rPr>
                <w:sz w:val="18"/>
                <w:szCs w:val="18"/>
                <w:color w:val="auto"/>
              </w:rPr>
            </w:pPr>
          </w:p>
        </w:tc>
        <w:tc>
          <w:tcPr>
            <w:tcW w:w="1920" w:type="dxa"/>
            <w:vAlign w:val="bottom"/>
            <w:shd w:val="clear" w:color="auto" w:fill="2B338D"/>
          </w:tcPr>
          <w:p>
            <w:pPr>
              <w:jc w:val="right"/>
              <w:ind w:right="443"/>
              <w:spacing w:after="0"/>
              <w:rPr>
                <w:sz w:val="20"/>
                <w:szCs w:val="20"/>
                <w:color w:val="auto"/>
              </w:rPr>
            </w:pPr>
            <w:r>
              <w:rPr>
                <w:rFonts w:ascii="Arial" w:cs="Arial" w:eastAsia="Arial" w:hAnsi="Arial"/>
                <w:sz w:val="16"/>
                <w:szCs w:val="16"/>
                <w:b w:val="1"/>
                <w:bCs w:val="1"/>
                <w:color w:val="FFFFFF"/>
              </w:rPr>
              <w:t>Units</w:t>
            </w:r>
          </w:p>
        </w:tc>
        <w:tc>
          <w:tcPr>
            <w:tcW w:w="1360" w:type="dxa"/>
            <w:vAlign w:val="bottom"/>
            <w:shd w:val="clear" w:color="auto" w:fill="2B338D"/>
          </w:tcPr>
          <w:p>
            <w:pPr>
              <w:jc w:val="right"/>
              <w:ind w:right="64"/>
              <w:spacing w:after="0"/>
              <w:rPr>
                <w:sz w:val="20"/>
                <w:szCs w:val="20"/>
                <w:color w:val="auto"/>
              </w:rPr>
            </w:pPr>
            <w:r>
              <w:rPr>
                <w:rFonts w:ascii="Arial" w:cs="Arial" w:eastAsia="Arial" w:hAnsi="Arial"/>
                <w:sz w:val="16"/>
                <w:szCs w:val="16"/>
                <w:b w:val="1"/>
                <w:bCs w:val="1"/>
                <w:color w:val="FFFFFF"/>
              </w:rPr>
              <w:t>Options</w:t>
            </w:r>
          </w:p>
        </w:tc>
        <w:tc>
          <w:tcPr>
            <w:tcW w:w="1300" w:type="dxa"/>
            <w:vAlign w:val="bottom"/>
            <w:vMerge w:val="restart"/>
            <w:shd w:val="clear" w:color="auto" w:fill="009ADA"/>
          </w:tcPr>
          <w:p>
            <w:pPr>
              <w:jc w:val="right"/>
              <w:spacing w:after="0"/>
              <w:rPr>
                <w:sz w:val="20"/>
                <w:szCs w:val="20"/>
                <w:color w:val="auto"/>
              </w:rPr>
            </w:pPr>
            <w:r>
              <w:rPr>
                <w:rFonts w:ascii="Arial" w:cs="Arial" w:eastAsia="Arial" w:hAnsi="Arial"/>
                <w:sz w:val="16"/>
                <w:szCs w:val="16"/>
                <w:b w:val="1"/>
                <w:bCs w:val="1"/>
                <w:color w:val="FFFFFF"/>
              </w:rPr>
              <w:t>Total</w:t>
            </w:r>
          </w:p>
        </w:tc>
        <w:tc>
          <w:tcPr>
            <w:tcW w:w="140" w:type="dxa"/>
            <w:vAlign w:val="bottom"/>
            <w:shd w:val="clear" w:color="auto" w:fill="009ADA"/>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4660" w:type="dxa"/>
            <w:vAlign w:val="bottom"/>
            <w:shd w:val="clear" w:color="auto" w:fill="000000"/>
          </w:tcPr>
          <w:p>
            <w:pPr>
              <w:spacing w:after="0"/>
              <w:rPr>
                <w:sz w:val="7"/>
                <w:szCs w:val="7"/>
                <w:color w:val="auto"/>
              </w:rPr>
            </w:pPr>
          </w:p>
        </w:tc>
        <w:tc>
          <w:tcPr>
            <w:tcW w:w="1500" w:type="dxa"/>
            <w:vAlign w:val="bottom"/>
            <w:vMerge w:val="continue"/>
            <w:shd w:val="clear" w:color="auto" w:fill="2B338D"/>
          </w:tcPr>
          <w:p>
            <w:pPr>
              <w:spacing w:after="0"/>
              <w:rPr>
                <w:sz w:val="7"/>
                <w:szCs w:val="7"/>
                <w:color w:val="auto"/>
              </w:rPr>
            </w:pPr>
          </w:p>
        </w:tc>
        <w:tc>
          <w:tcPr>
            <w:tcW w:w="280" w:type="dxa"/>
            <w:vAlign w:val="bottom"/>
            <w:gridSpan w:val="2"/>
            <w:shd w:val="clear" w:color="auto" w:fill="2B338D"/>
          </w:tcPr>
          <w:p>
            <w:pPr>
              <w:spacing w:after="0"/>
              <w:rPr>
                <w:sz w:val="7"/>
                <w:szCs w:val="7"/>
                <w:color w:val="auto"/>
              </w:rPr>
            </w:pPr>
          </w:p>
        </w:tc>
        <w:tc>
          <w:tcPr>
            <w:tcW w:w="1920" w:type="dxa"/>
            <w:vAlign w:val="bottom"/>
            <w:vMerge w:val="restart"/>
            <w:shd w:val="clear" w:color="auto" w:fill="2B338D"/>
          </w:tcPr>
          <w:p>
            <w:pPr>
              <w:jc w:val="right"/>
              <w:ind w:right="443"/>
              <w:spacing w:after="0"/>
              <w:rPr>
                <w:sz w:val="20"/>
                <w:szCs w:val="20"/>
                <w:color w:val="auto"/>
              </w:rPr>
            </w:pPr>
            <w:r>
              <w:rPr>
                <w:rFonts w:ascii="Arial" w:cs="Arial" w:eastAsia="Arial" w:hAnsi="Arial"/>
                <w:sz w:val="16"/>
                <w:szCs w:val="16"/>
                <w:b w:val="1"/>
                <w:bCs w:val="1"/>
                <w:color w:val="FFFFFF"/>
              </w:rPr>
              <w:t>($)</w:t>
            </w:r>
            <w:r>
              <w:rPr>
                <w:rFonts w:ascii="Arial" w:cs="Arial" w:eastAsia="Arial" w:hAnsi="Arial"/>
                <w:sz w:val="21"/>
                <w:szCs w:val="21"/>
                <w:b w:val="1"/>
                <w:bCs w:val="1"/>
                <w:color w:val="FFFFFF"/>
                <w:vertAlign w:val="superscript"/>
              </w:rPr>
              <w:t>(1)</w:t>
            </w:r>
          </w:p>
        </w:tc>
        <w:tc>
          <w:tcPr>
            <w:tcW w:w="1360" w:type="dxa"/>
            <w:vAlign w:val="bottom"/>
            <w:vMerge w:val="restart"/>
            <w:shd w:val="clear" w:color="auto" w:fill="2B338D"/>
          </w:tcPr>
          <w:p>
            <w:pPr>
              <w:jc w:val="right"/>
              <w:ind w:right="64"/>
              <w:spacing w:after="0"/>
              <w:rPr>
                <w:sz w:val="20"/>
                <w:szCs w:val="20"/>
                <w:color w:val="auto"/>
              </w:rPr>
            </w:pPr>
            <w:r>
              <w:rPr>
                <w:rFonts w:ascii="Arial" w:cs="Arial" w:eastAsia="Arial" w:hAnsi="Arial"/>
                <w:sz w:val="16"/>
                <w:szCs w:val="16"/>
                <w:b w:val="1"/>
                <w:bCs w:val="1"/>
                <w:color w:val="FFFFFF"/>
              </w:rPr>
              <w:t>($)</w:t>
            </w:r>
            <w:r>
              <w:rPr>
                <w:rFonts w:ascii="Arial" w:cs="Arial" w:eastAsia="Arial" w:hAnsi="Arial"/>
                <w:sz w:val="21"/>
                <w:szCs w:val="21"/>
                <w:b w:val="1"/>
                <w:bCs w:val="1"/>
                <w:color w:val="FFFFFF"/>
                <w:vertAlign w:val="superscript"/>
              </w:rPr>
              <w:t>(2)</w:t>
            </w:r>
          </w:p>
        </w:tc>
        <w:tc>
          <w:tcPr>
            <w:tcW w:w="1300" w:type="dxa"/>
            <w:vAlign w:val="bottom"/>
            <w:vMerge w:val="continue"/>
            <w:shd w:val="clear" w:color="auto" w:fill="009ADA"/>
          </w:tcPr>
          <w:p>
            <w:pPr>
              <w:spacing w:after="0"/>
              <w:rPr>
                <w:sz w:val="7"/>
                <w:szCs w:val="7"/>
                <w:color w:val="auto"/>
              </w:rPr>
            </w:pPr>
          </w:p>
        </w:tc>
        <w:tc>
          <w:tcPr>
            <w:tcW w:w="140" w:type="dxa"/>
            <w:vAlign w:val="bottom"/>
            <w:shd w:val="clear" w:color="auto" w:fill="009ADA"/>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4660" w:type="dxa"/>
            <w:vAlign w:val="bottom"/>
            <w:vMerge w:val="restart"/>
            <w:shd w:val="clear" w:color="auto" w:fill="000000"/>
          </w:tcPr>
          <w:p>
            <w:pPr>
              <w:ind w:left="100"/>
              <w:spacing w:after="0"/>
              <w:rPr>
                <w:sz w:val="20"/>
                <w:szCs w:val="20"/>
                <w:color w:val="auto"/>
              </w:rPr>
            </w:pPr>
            <w:r>
              <w:rPr>
                <w:rFonts w:ascii="Arial" w:cs="Arial" w:eastAsia="Arial" w:hAnsi="Arial"/>
                <w:sz w:val="16"/>
                <w:szCs w:val="16"/>
                <w:b w:val="1"/>
                <w:bCs w:val="1"/>
                <w:color w:val="FFFFFF"/>
              </w:rPr>
              <w:t>Named Executive Officer</w:t>
            </w:r>
          </w:p>
        </w:tc>
        <w:tc>
          <w:tcPr>
            <w:tcW w:w="1500" w:type="dxa"/>
            <w:vAlign w:val="bottom"/>
            <w:vMerge w:val="restart"/>
            <w:shd w:val="clear" w:color="auto" w:fill="2B338D"/>
          </w:tcPr>
          <w:p>
            <w:pPr>
              <w:jc w:val="right"/>
              <w:spacing w:after="0"/>
              <w:rPr>
                <w:sz w:val="20"/>
                <w:szCs w:val="20"/>
                <w:color w:val="auto"/>
              </w:rPr>
            </w:pPr>
            <w:r>
              <w:rPr>
                <w:rFonts w:ascii="Arial" w:cs="Arial" w:eastAsia="Arial" w:hAnsi="Arial"/>
                <w:sz w:val="16"/>
                <w:szCs w:val="16"/>
                <w:b w:val="1"/>
                <w:bCs w:val="1"/>
                <w:color w:val="FFFFFF"/>
              </w:rPr>
              <w:t>($)</w:t>
            </w:r>
          </w:p>
        </w:tc>
        <w:tc>
          <w:tcPr>
            <w:tcW w:w="140" w:type="dxa"/>
            <w:vAlign w:val="bottom"/>
            <w:shd w:val="clear" w:color="auto" w:fill="2B338D"/>
          </w:tcPr>
          <w:p>
            <w:pPr>
              <w:spacing w:after="0"/>
              <w:rPr>
                <w:sz w:val="14"/>
                <w:szCs w:val="14"/>
                <w:color w:val="auto"/>
              </w:rPr>
            </w:pPr>
          </w:p>
        </w:tc>
        <w:tc>
          <w:tcPr>
            <w:tcW w:w="140" w:type="dxa"/>
            <w:vAlign w:val="bottom"/>
            <w:shd w:val="clear" w:color="auto" w:fill="2B338D"/>
          </w:tcPr>
          <w:p>
            <w:pPr>
              <w:spacing w:after="0"/>
              <w:rPr>
                <w:sz w:val="14"/>
                <w:szCs w:val="14"/>
                <w:color w:val="auto"/>
              </w:rPr>
            </w:pPr>
          </w:p>
        </w:tc>
        <w:tc>
          <w:tcPr>
            <w:tcW w:w="1920" w:type="dxa"/>
            <w:vAlign w:val="bottom"/>
            <w:vMerge w:val="continue"/>
            <w:shd w:val="clear" w:color="auto" w:fill="2B338D"/>
          </w:tcPr>
          <w:p>
            <w:pPr>
              <w:spacing w:after="0"/>
              <w:rPr>
                <w:sz w:val="14"/>
                <w:szCs w:val="14"/>
                <w:color w:val="auto"/>
              </w:rPr>
            </w:pPr>
          </w:p>
        </w:tc>
        <w:tc>
          <w:tcPr>
            <w:tcW w:w="1360" w:type="dxa"/>
            <w:vAlign w:val="bottom"/>
            <w:vMerge w:val="continue"/>
            <w:shd w:val="clear" w:color="auto" w:fill="2B338D"/>
          </w:tcPr>
          <w:p>
            <w:pPr>
              <w:spacing w:after="0"/>
              <w:rPr>
                <w:sz w:val="14"/>
                <w:szCs w:val="14"/>
                <w:color w:val="auto"/>
              </w:rPr>
            </w:pPr>
          </w:p>
        </w:tc>
        <w:tc>
          <w:tcPr>
            <w:tcW w:w="1300" w:type="dxa"/>
            <w:vAlign w:val="bottom"/>
            <w:vMerge w:val="restart"/>
            <w:shd w:val="clear" w:color="auto" w:fill="009ADA"/>
          </w:tcPr>
          <w:p>
            <w:pPr>
              <w:jc w:val="right"/>
              <w:spacing w:after="0"/>
              <w:rPr>
                <w:sz w:val="20"/>
                <w:szCs w:val="20"/>
                <w:color w:val="auto"/>
              </w:rPr>
            </w:pPr>
            <w:r>
              <w:rPr>
                <w:rFonts w:ascii="Arial" w:cs="Arial" w:eastAsia="Arial" w:hAnsi="Arial"/>
                <w:sz w:val="16"/>
                <w:szCs w:val="16"/>
                <w:b w:val="1"/>
                <w:bCs w:val="1"/>
                <w:color w:val="FFFFFF"/>
              </w:rPr>
              <w:t>($)</w:t>
            </w:r>
          </w:p>
        </w:tc>
        <w:tc>
          <w:tcPr>
            <w:tcW w:w="140" w:type="dxa"/>
            <w:vAlign w:val="bottom"/>
            <w:shd w:val="clear" w:color="auto" w:fill="009ADA"/>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660" w:type="dxa"/>
            <w:vAlign w:val="bottom"/>
            <w:vMerge w:val="continue"/>
            <w:shd w:val="clear" w:color="auto" w:fill="000000"/>
          </w:tcPr>
          <w:p>
            <w:pPr>
              <w:spacing w:after="0"/>
              <w:rPr>
                <w:sz w:val="4"/>
                <w:szCs w:val="4"/>
                <w:color w:val="auto"/>
              </w:rPr>
            </w:pPr>
          </w:p>
        </w:tc>
        <w:tc>
          <w:tcPr>
            <w:tcW w:w="1500" w:type="dxa"/>
            <w:vAlign w:val="bottom"/>
            <w:vMerge w:val="continue"/>
            <w:shd w:val="clear" w:color="auto" w:fill="2B338D"/>
          </w:tcPr>
          <w:p>
            <w:pPr>
              <w:spacing w:after="0"/>
              <w:rPr>
                <w:sz w:val="4"/>
                <w:szCs w:val="4"/>
                <w:color w:val="auto"/>
              </w:rPr>
            </w:pPr>
          </w:p>
        </w:tc>
        <w:tc>
          <w:tcPr>
            <w:tcW w:w="140" w:type="dxa"/>
            <w:vAlign w:val="bottom"/>
            <w:shd w:val="clear" w:color="auto" w:fill="2B338D"/>
          </w:tcPr>
          <w:p>
            <w:pPr>
              <w:spacing w:after="0"/>
              <w:rPr>
                <w:sz w:val="4"/>
                <w:szCs w:val="4"/>
                <w:color w:val="auto"/>
              </w:rPr>
            </w:pPr>
          </w:p>
        </w:tc>
        <w:tc>
          <w:tcPr>
            <w:tcW w:w="140" w:type="dxa"/>
            <w:vAlign w:val="bottom"/>
            <w:shd w:val="clear" w:color="auto" w:fill="2B338D"/>
          </w:tcPr>
          <w:p>
            <w:pPr>
              <w:spacing w:after="0"/>
              <w:rPr>
                <w:sz w:val="4"/>
                <w:szCs w:val="4"/>
                <w:color w:val="auto"/>
              </w:rPr>
            </w:pPr>
          </w:p>
        </w:tc>
        <w:tc>
          <w:tcPr>
            <w:tcW w:w="1920" w:type="dxa"/>
            <w:vAlign w:val="bottom"/>
            <w:shd w:val="clear" w:color="auto" w:fill="2B338D"/>
          </w:tcPr>
          <w:p>
            <w:pPr>
              <w:spacing w:after="0"/>
              <w:rPr>
                <w:sz w:val="4"/>
                <w:szCs w:val="4"/>
                <w:color w:val="auto"/>
              </w:rPr>
            </w:pPr>
          </w:p>
        </w:tc>
        <w:tc>
          <w:tcPr>
            <w:tcW w:w="1360" w:type="dxa"/>
            <w:vAlign w:val="bottom"/>
            <w:shd w:val="clear" w:color="auto" w:fill="2B338D"/>
          </w:tcPr>
          <w:p>
            <w:pPr>
              <w:spacing w:after="0"/>
              <w:rPr>
                <w:sz w:val="4"/>
                <w:szCs w:val="4"/>
                <w:color w:val="auto"/>
              </w:rPr>
            </w:pPr>
          </w:p>
        </w:tc>
        <w:tc>
          <w:tcPr>
            <w:tcW w:w="1300" w:type="dxa"/>
            <w:vAlign w:val="bottom"/>
            <w:vMerge w:val="continue"/>
            <w:shd w:val="clear" w:color="auto" w:fill="009ADA"/>
          </w:tcPr>
          <w:p>
            <w:pPr>
              <w:spacing w:after="0"/>
              <w:rPr>
                <w:sz w:val="4"/>
                <w:szCs w:val="4"/>
                <w:color w:val="auto"/>
              </w:rPr>
            </w:pPr>
          </w:p>
        </w:tc>
        <w:tc>
          <w:tcPr>
            <w:tcW w:w="140" w:type="dxa"/>
            <w:vAlign w:val="bottom"/>
            <w:shd w:val="clear" w:color="auto" w:fill="009ADA"/>
          </w:tcPr>
          <w:p>
            <w:pPr>
              <w:spacing w:after="0"/>
              <w:rPr>
                <w:sz w:val="4"/>
                <w:szCs w:val="4"/>
                <w:color w:val="auto"/>
              </w:rPr>
            </w:pPr>
          </w:p>
        </w:tc>
        <w:tc>
          <w:tcPr>
            <w:tcW w:w="0" w:type="dxa"/>
            <w:vAlign w:val="bottom"/>
          </w:tcPr>
          <w:p>
            <w:pPr>
              <w:spacing w:after="0"/>
              <w:rPr>
                <w:sz w:val="1"/>
                <w:szCs w:val="1"/>
                <w:color w:val="auto"/>
              </w:rPr>
            </w:pPr>
          </w:p>
        </w:tc>
      </w:tr>
      <w:tr>
        <w:trPr>
          <w:trHeight w:val="73"/>
        </w:trPr>
        <w:tc>
          <w:tcPr>
            <w:tcW w:w="4660" w:type="dxa"/>
            <w:vAlign w:val="bottom"/>
            <w:shd w:val="clear" w:color="auto" w:fill="000000"/>
          </w:tcPr>
          <w:p>
            <w:pPr>
              <w:spacing w:after="0"/>
              <w:rPr>
                <w:sz w:val="6"/>
                <w:szCs w:val="6"/>
                <w:color w:val="auto"/>
              </w:rPr>
            </w:pPr>
          </w:p>
        </w:tc>
        <w:tc>
          <w:tcPr>
            <w:tcW w:w="1500" w:type="dxa"/>
            <w:vAlign w:val="bottom"/>
            <w:shd w:val="clear" w:color="auto" w:fill="2B338D"/>
          </w:tcPr>
          <w:p>
            <w:pPr>
              <w:spacing w:after="0"/>
              <w:rPr>
                <w:sz w:val="6"/>
                <w:szCs w:val="6"/>
                <w:color w:val="auto"/>
              </w:rPr>
            </w:pPr>
          </w:p>
        </w:tc>
        <w:tc>
          <w:tcPr>
            <w:tcW w:w="140" w:type="dxa"/>
            <w:vAlign w:val="bottom"/>
            <w:shd w:val="clear" w:color="auto" w:fill="2B338D"/>
          </w:tcPr>
          <w:p>
            <w:pPr>
              <w:spacing w:after="0"/>
              <w:rPr>
                <w:sz w:val="6"/>
                <w:szCs w:val="6"/>
                <w:color w:val="auto"/>
              </w:rPr>
            </w:pPr>
          </w:p>
        </w:tc>
        <w:tc>
          <w:tcPr>
            <w:tcW w:w="140" w:type="dxa"/>
            <w:vAlign w:val="bottom"/>
            <w:shd w:val="clear" w:color="auto" w:fill="2B338D"/>
          </w:tcPr>
          <w:p>
            <w:pPr>
              <w:spacing w:after="0"/>
              <w:rPr>
                <w:sz w:val="6"/>
                <w:szCs w:val="6"/>
                <w:color w:val="auto"/>
              </w:rPr>
            </w:pPr>
          </w:p>
        </w:tc>
        <w:tc>
          <w:tcPr>
            <w:tcW w:w="1920" w:type="dxa"/>
            <w:vAlign w:val="bottom"/>
            <w:shd w:val="clear" w:color="auto" w:fill="2B338D"/>
          </w:tcPr>
          <w:p>
            <w:pPr>
              <w:spacing w:after="0"/>
              <w:rPr>
                <w:sz w:val="6"/>
                <w:szCs w:val="6"/>
                <w:color w:val="auto"/>
              </w:rPr>
            </w:pPr>
          </w:p>
        </w:tc>
        <w:tc>
          <w:tcPr>
            <w:tcW w:w="1360" w:type="dxa"/>
            <w:vAlign w:val="bottom"/>
            <w:shd w:val="clear" w:color="auto" w:fill="2B338D"/>
          </w:tcPr>
          <w:p>
            <w:pPr>
              <w:spacing w:after="0"/>
              <w:rPr>
                <w:sz w:val="6"/>
                <w:szCs w:val="6"/>
                <w:color w:val="auto"/>
              </w:rPr>
            </w:pPr>
          </w:p>
        </w:tc>
        <w:tc>
          <w:tcPr>
            <w:tcW w:w="1300" w:type="dxa"/>
            <w:vAlign w:val="bottom"/>
            <w:shd w:val="clear" w:color="auto" w:fill="009ADA"/>
          </w:tcPr>
          <w:p>
            <w:pPr>
              <w:spacing w:after="0"/>
              <w:rPr>
                <w:sz w:val="6"/>
                <w:szCs w:val="6"/>
                <w:color w:val="auto"/>
              </w:rPr>
            </w:pPr>
          </w:p>
        </w:tc>
        <w:tc>
          <w:tcPr>
            <w:tcW w:w="140" w:type="dxa"/>
            <w:vAlign w:val="bottom"/>
            <w:shd w:val="clear" w:color="auto" w:fill="009ADA"/>
          </w:tcPr>
          <w:p>
            <w:pPr>
              <w:spacing w:after="0"/>
              <w:rPr>
                <w:sz w:val="6"/>
                <w:szCs w:val="6"/>
                <w:color w:val="auto"/>
              </w:rPr>
            </w:pPr>
          </w:p>
        </w:tc>
        <w:tc>
          <w:tcPr>
            <w:tcW w:w="0" w:type="dxa"/>
            <w:vAlign w:val="bottom"/>
          </w:tcPr>
          <w:p>
            <w:pPr>
              <w:spacing w:after="0"/>
              <w:rPr>
                <w:sz w:val="1"/>
                <w:szCs w:val="1"/>
                <w:color w:val="auto"/>
              </w:rPr>
            </w:pPr>
          </w:p>
        </w:tc>
      </w:tr>
      <w:tr>
        <w:trPr>
          <w:trHeight w:val="231"/>
        </w:trPr>
        <w:tc>
          <w:tcPr>
            <w:tcW w:w="4660" w:type="dxa"/>
            <w:vAlign w:val="bottom"/>
          </w:tcPr>
          <w:p>
            <w:pPr>
              <w:ind w:left="100"/>
              <w:spacing w:after="0"/>
              <w:rPr>
                <w:sz w:val="20"/>
                <w:szCs w:val="20"/>
                <w:color w:val="auto"/>
              </w:rPr>
            </w:pPr>
            <w:r>
              <w:rPr>
                <w:rFonts w:ascii="Arial" w:cs="Arial" w:eastAsia="Arial" w:hAnsi="Arial"/>
                <w:sz w:val="14"/>
                <w:szCs w:val="14"/>
                <w:b w:val="1"/>
                <w:bCs w:val="1"/>
                <w:color w:val="auto"/>
              </w:rPr>
              <w:t>Mr. Canessa</w:t>
            </w:r>
          </w:p>
        </w:tc>
        <w:tc>
          <w:tcPr>
            <w:tcW w:w="1500" w:type="dxa"/>
            <w:vAlign w:val="bottom"/>
          </w:tcPr>
          <w:p>
            <w:pPr>
              <w:jc w:val="right"/>
              <w:spacing w:after="0"/>
              <w:rPr>
                <w:sz w:val="20"/>
                <w:szCs w:val="20"/>
                <w:color w:val="auto"/>
              </w:rPr>
            </w:pPr>
            <w:r>
              <w:rPr>
                <w:rFonts w:ascii="Arial" w:cs="Arial" w:eastAsia="Arial" w:hAnsi="Arial"/>
                <w:sz w:val="14"/>
                <w:szCs w:val="14"/>
                <w:color w:val="auto"/>
              </w:rPr>
              <w:t>187,500</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20" w:type="dxa"/>
            <w:vAlign w:val="bottom"/>
          </w:tcPr>
          <w:p>
            <w:pPr>
              <w:jc w:val="right"/>
              <w:ind w:right="503"/>
              <w:spacing w:after="0"/>
              <w:rPr>
                <w:sz w:val="20"/>
                <w:szCs w:val="20"/>
                <w:color w:val="auto"/>
              </w:rPr>
            </w:pPr>
            <w:r>
              <w:rPr>
                <w:rFonts w:ascii="Arial" w:cs="Arial" w:eastAsia="Arial" w:hAnsi="Arial"/>
                <w:sz w:val="14"/>
                <w:szCs w:val="14"/>
                <w:color w:val="auto"/>
              </w:rPr>
              <w:t>3,369,267</w:t>
            </w:r>
          </w:p>
        </w:tc>
        <w:tc>
          <w:tcPr>
            <w:tcW w:w="1360" w:type="dxa"/>
            <w:vAlign w:val="bottom"/>
          </w:tcPr>
          <w:p>
            <w:pPr>
              <w:jc w:val="right"/>
              <w:ind w:right="64"/>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3,556,767</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
        </w:trPr>
        <w:tc>
          <w:tcPr>
            <w:tcW w:w="466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4660" w:type="dxa"/>
            <w:vAlign w:val="bottom"/>
          </w:tcPr>
          <w:p>
            <w:pPr>
              <w:ind w:left="100"/>
              <w:spacing w:after="0"/>
              <w:rPr>
                <w:sz w:val="20"/>
                <w:szCs w:val="20"/>
                <w:color w:val="auto"/>
              </w:rPr>
            </w:pPr>
            <w:r>
              <w:rPr>
                <w:rFonts w:ascii="Arial" w:cs="Arial" w:eastAsia="Arial" w:hAnsi="Arial"/>
                <w:sz w:val="14"/>
                <w:szCs w:val="14"/>
                <w:b w:val="1"/>
                <w:bCs w:val="1"/>
                <w:color w:val="auto"/>
              </w:rPr>
              <w:t>Mr. Rajic</w:t>
            </w:r>
          </w:p>
        </w:tc>
        <w:tc>
          <w:tcPr>
            <w:tcW w:w="1500" w:type="dxa"/>
            <w:vAlign w:val="bottom"/>
          </w:tcPr>
          <w:p>
            <w:pPr>
              <w:jc w:val="right"/>
              <w:spacing w:after="0"/>
              <w:rPr>
                <w:sz w:val="20"/>
                <w:szCs w:val="20"/>
                <w:color w:val="auto"/>
              </w:rPr>
            </w:pPr>
            <w:r>
              <w:rPr>
                <w:rFonts w:ascii="Arial" w:cs="Arial" w:eastAsia="Arial" w:hAnsi="Arial"/>
                <w:sz w:val="14"/>
                <w:szCs w:val="14"/>
                <w:color w:val="auto"/>
              </w:rPr>
              <w:t>200,000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20" w:type="dxa"/>
            <w:vAlign w:val="bottom"/>
          </w:tcPr>
          <w:p>
            <w:pPr>
              <w:jc w:val="right"/>
              <w:ind w:right="503"/>
              <w:spacing w:after="0"/>
              <w:rPr>
                <w:sz w:val="20"/>
                <w:szCs w:val="20"/>
                <w:color w:val="auto"/>
              </w:rPr>
            </w:pPr>
            <w:r>
              <w:rPr>
                <w:rFonts w:ascii="Arial" w:cs="Arial" w:eastAsia="Arial" w:hAnsi="Arial"/>
                <w:sz w:val="14"/>
                <w:szCs w:val="14"/>
                <w:color w:val="auto"/>
              </w:rPr>
              <w:t>8,203,063</w:t>
            </w:r>
          </w:p>
        </w:tc>
        <w:tc>
          <w:tcPr>
            <w:tcW w:w="1360" w:type="dxa"/>
            <w:vAlign w:val="bottom"/>
          </w:tcPr>
          <w:p>
            <w:pPr>
              <w:jc w:val="right"/>
              <w:ind w:right="124"/>
              <w:spacing w:after="0"/>
              <w:rPr>
                <w:sz w:val="20"/>
                <w:szCs w:val="20"/>
                <w:color w:val="auto"/>
              </w:rPr>
            </w:pPr>
            <w:r>
              <w:rPr>
                <w:rFonts w:ascii="Arial" w:cs="Arial" w:eastAsia="Arial" w:hAnsi="Arial"/>
                <w:sz w:val="14"/>
                <w:szCs w:val="14"/>
                <w:color w:val="auto"/>
              </w:rPr>
              <w:t>3,493,500</w:t>
            </w:r>
          </w:p>
        </w:tc>
        <w:tc>
          <w:tcPr>
            <w:tcW w:w="1300" w:type="dxa"/>
            <w:vAlign w:val="bottom"/>
          </w:tcPr>
          <w:p>
            <w:pPr>
              <w:jc w:val="right"/>
              <w:spacing w:after="0"/>
              <w:rPr>
                <w:sz w:val="20"/>
                <w:szCs w:val="20"/>
                <w:color w:val="auto"/>
              </w:rPr>
            </w:pPr>
            <w:r>
              <w:rPr>
                <w:rFonts w:ascii="Arial" w:cs="Arial" w:eastAsia="Arial" w:hAnsi="Arial"/>
                <w:sz w:val="14"/>
                <w:szCs w:val="14"/>
                <w:color w:val="auto"/>
              </w:rPr>
              <w:t>11,896,563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2"/>
        </w:trPr>
        <w:tc>
          <w:tcPr>
            <w:tcW w:w="466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4660" w:type="dxa"/>
            <w:vAlign w:val="bottom"/>
          </w:tcPr>
          <w:p>
            <w:pPr>
              <w:ind w:left="100"/>
              <w:spacing w:after="0"/>
              <w:rPr>
                <w:sz w:val="20"/>
                <w:szCs w:val="20"/>
                <w:color w:val="auto"/>
              </w:rPr>
            </w:pPr>
            <w:r>
              <w:rPr>
                <w:rFonts w:ascii="Arial" w:cs="Arial" w:eastAsia="Arial" w:hAnsi="Arial"/>
                <w:sz w:val="14"/>
                <w:szCs w:val="14"/>
                <w:b w:val="1"/>
                <w:bCs w:val="1"/>
                <w:color w:val="auto"/>
              </w:rPr>
              <w:t>Mr. Schlossman</w:t>
            </w:r>
          </w:p>
        </w:tc>
        <w:tc>
          <w:tcPr>
            <w:tcW w:w="1500" w:type="dxa"/>
            <w:vAlign w:val="bottom"/>
          </w:tcPr>
          <w:p>
            <w:pPr>
              <w:jc w:val="right"/>
              <w:spacing w:after="0"/>
              <w:rPr>
                <w:sz w:val="20"/>
                <w:szCs w:val="20"/>
                <w:color w:val="auto"/>
              </w:rPr>
            </w:pPr>
            <w:r>
              <w:rPr>
                <w:rFonts w:ascii="Arial" w:cs="Arial" w:eastAsia="Arial" w:hAnsi="Arial"/>
                <w:sz w:val="14"/>
                <w:szCs w:val="14"/>
                <w:color w:val="auto"/>
              </w:rPr>
              <w:t>81,250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20" w:type="dxa"/>
            <w:vAlign w:val="bottom"/>
          </w:tcPr>
          <w:p>
            <w:pPr>
              <w:jc w:val="right"/>
              <w:ind w:right="503"/>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124"/>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81,250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466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2962275</wp:posOffset>
            </wp:positionH>
            <wp:positionV relativeFrom="paragraph">
              <wp:posOffset>-1071245</wp:posOffset>
            </wp:positionV>
            <wp:extent cx="8255" cy="50546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8255" cy="505460"/>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-1071245</wp:posOffset>
            </wp:positionV>
            <wp:extent cx="2186305" cy="50546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2186305" cy="505460"/>
                    </a:xfrm>
                    <a:prstGeom prst="rect">
                      <a:avLst/>
                    </a:prstGeom>
                    <a:noFill/>
                  </pic:spPr>
                </pic:pic>
              </a:graphicData>
            </a:graphic>
          </wp:anchor>
        </w:drawing>
      </w:r>
    </w:p>
    <w:p>
      <w:pPr>
        <w:spacing w:after="0" w:line="109" w:lineRule="exact"/>
        <w:rPr>
          <w:sz w:val="20"/>
          <w:szCs w:val="20"/>
          <w:color w:val="auto"/>
        </w:rPr>
      </w:pPr>
    </w:p>
    <w:p>
      <w:pPr>
        <w:ind w:left="340" w:right="180" w:hanging="332"/>
        <w:spacing w:after="0"/>
        <w:tabs>
          <w:tab w:leader="none" w:pos="332" w:val="left"/>
        </w:tabs>
        <w:numPr>
          <w:ilvl w:val="0"/>
          <w:numId w:val="51"/>
        </w:numPr>
        <w:rPr>
          <w:rFonts w:ascii="Arial" w:cs="Arial" w:eastAsia="Arial" w:hAnsi="Arial"/>
          <w:sz w:val="13"/>
          <w:szCs w:val="13"/>
          <w:color w:val="auto"/>
        </w:rPr>
      </w:pPr>
      <w:r>
        <w:rPr>
          <w:rFonts w:ascii="Arial" w:cs="Arial" w:eastAsia="Arial" w:hAnsi="Arial"/>
          <w:sz w:val="13"/>
          <w:szCs w:val="13"/>
          <w:color w:val="auto"/>
        </w:rPr>
        <w:t>These amounts reflect the aggregate market value of the unvested shares of our common stock underlying outstanding restricted stock unit awards. The aggregate market value is equal to the product obtained by multiplying (i) the number of unvested shares of our common stock subject to outstanding restricted stock unit awards as of July 31, 2021, by (ii) $235.91 (the closing market price of our common stock on Nasdaq on July 30, 2021, the last trading day in the fiscal year ended July 31, 2021).</w:t>
      </w:r>
    </w:p>
    <w:p>
      <w:pPr>
        <w:spacing w:after="0" w:line="51" w:lineRule="exact"/>
        <w:rPr>
          <w:rFonts w:ascii="Arial" w:cs="Arial" w:eastAsia="Arial" w:hAnsi="Arial"/>
          <w:sz w:val="13"/>
          <w:szCs w:val="13"/>
          <w:color w:val="auto"/>
        </w:rPr>
      </w:pPr>
    </w:p>
    <w:p>
      <w:pPr>
        <w:jc w:val="both"/>
        <w:ind w:left="340" w:right="100" w:hanging="332"/>
        <w:spacing w:after="0"/>
        <w:tabs>
          <w:tab w:leader="none" w:pos="332" w:val="left"/>
        </w:tabs>
        <w:numPr>
          <w:ilvl w:val="0"/>
          <w:numId w:val="51"/>
        </w:numPr>
        <w:rPr>
          <w:rFonts w:ascii="Arial" w:cs="Arial" w:eastAsia="Arial" w:hAnsi="Arial"/>
          <w:sz w:val="13"/>
          <w:szCs w:val="13"/>
          <w:color w:val="auto"/>
        </w:rPr>
      </w:pPr>
      <w:r>
        <w:rPr>
          <w:rFonts w:ascii="Arial" w:cs="Arial" w:eastAsia="Arial" w:hAnsi="Arial"/>
          <w:sz w:val="13"/>
          <w:szCs w:val="13"/>
          <w:color w:val="auto"/>
        </w:rPr>
        <w:t>These amounts reflect the aggregate market value of the unvested shares of our common stock underlying outstanding options. The aggregate market value is equal to (i) the product obtained by multiplying (x) the number of unvested shares of our common stock subject to vesting of outstanding options as of July 31, 2021, by (y) $235.91 (the closing market price of our common stock on Nasdaq on July 30, 2021, the last trading day in the fiscal year ended July 31, 2021), minus (ii) the aggregate exercise price for such unvested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361950</wp:posOffset>
            </wp:positionV>
            <wp:extent cx="342900" cy="21463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342900" cy="214630"/>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jc w:val="both"/>
        <w:ind w:left="5540"/>
        <w:spacing w:after="0"/>
        <w:tabs>
          <w:tab w:leader="none" w:pos="9780" w:val="left"/>
        </w:tabs>
        <w:rPr>
          <w:sz w:val="20"/>
          <w:szCs w:val="20"/>
          <w:color w:val="auto"/>
        </w:rPr>
      </w:pPr>
      <w:r>
        <w:rPr>
          <w:rFonts w:ascii="Arial" w:cs="Arial" w:eastAsia="Arial" w:hAnsi="Arial"/>
          <w:sz w:val="29"/>
          <w:szCs w:val="29"/>
          <w:color w:val="auto"/>
          <w:vertAlign w:val="superscript"/>
        </w:rPr>
        <w:t>62</w:t>
      </w:r>
      <w:r>
        <w:rPr>
          <w:sz w:val="20"/>
          <w:szCs w:val="20"/>
          <w:color w:val="auto"/>
        </w:rPr>
        <w:tab/>
      </w:r>
      <w:r>
        <w:rPr>
          <w:rFonts w:ascii="Arial" w:cs="Arial" w:eastAsia="Arial" w:hAnsi="Arial"/>
          <w:sz w:val="14"/>
          <w:szCs w:val="14"/>
          <w:color w:val="auto"/>
        </w:rPr>
        <w:t>2021 Proxy Statement</w:t>
      </w:r>
    </w:p>
    <w:p>
      <w:pPr>
        <w:sectPr>
          <w:pgSz w:w="11900" w:h="16838" w:orient="portrait"/>
          <w:cols w:equalWidth="0" w:num="1">
            <w:col w:w="11240"/>
          </w:cols>
          <w:pgMar w:left="320" w:top="172" w:right="339" w:bottom="1440" w:gutter="0" w:footer="0" w:header="0"/>
        </w:sectPr>
      </w:pPr>
    </w:p>
    <w:bookmarkStart w:id="66" w:name="page67"/>
    <w:bookmarkEnd w:id="66"/>
    <w:p>
      <w:pPr>
        <w:ind w:left="280"/>
        <w:spacing w:after="0"/>
        <w:rPr>
          <w:sz w:val="20"/>
          <w:szCs w:val="20"/>
          <w:color w:val="auto"/>
        </w:rPr>
      </w:pPr>
      <w:r>
        <w:rPr>
          <w:rFonts w:ascii="Arial" w:cs="Arial" w:eastAsia="Arial" w:hAnsi="Arial"/>
          <w:sz w:val="13"/>
          <w:szCs w:val="13"/>
          <w:b w:val="1"/>
          <w:bCs w:val="1"/>
          <w:color w:val="929292"/>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7470" cy="6032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7470" cy="60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00" w:type="dxa"/>
            <w:vAlign w:val="bottom"/>
            <w:gridSpan w:val="4"/>
          </w:tcPr>
          <w:p>
            <w:pPr>
              <w:spacing w:after="0"/>
              <w:rPr>
                <w:sz w:val="20"/>
                <w:szCs w:val="20"/>
                <w:color w:val="auto"/>
              </w:rPr>
            </w:pPr>
            <w:r>
              <w:rPr>
                <w:rFonts w:ascii="Arial" w:cs="Arial" w:eastAsia="Arial" w:hAnsi="Arial"/>
                <w:sz w:val="16"/>
                <w:szCs w:val="16"/>
                <w:b w:val="1"/>
                <w:bCs w:val="1"/>
                <w:color w:val="auto"/>
              </w:rPr>
              <w:t>Potential Payments Upon Termination in Connection with a Change in Control</w:t>
            </w:r>
          </w:p>
        </w:tc>
        <w:tc>
          <w:tcPr>
            <w:tcW w:w="1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26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860" w:type="dxa"/>
            <w:vAlign w:val="bottom"/>
            <w:gridSpan w:val="2"/>
          </w:tcPr>
          <w:p>
            <w:pPr>
              <w:spacing w:after="0"/>
              <w:rPr>
                <w:sz w:val="13"/>
                <w:szCs w:val="13"/>
                <w:color w:val="auto"/>
              </w:rPr>
            </w:pPr>
          </w:p>
        </w:tc>
        <w:tc>
          <w:tcPr>
            <w:tcW w:w="16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26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860" w:type="dxa"/>
            <w:vAlign w:val="bottom"/>
            <w:gridSpan w:val="2"/>
            <w:shd w:val="clear" w:color="auto" w:fill="929292"/>
          </w:tcPr>
          <w:p>
            <w:pPr>
              <w:ind w:left="620"/>
              <w:spacing w:after="0"/>
              <w:rPr>
                <w:sz w:val="20"/>
                <w:szCs w:val="20"/>
                <w:color w:val="auto"/>
              </w:rPr>
            </w:pPr>
            <w:r>
              <w:rPr>
                <w:rFonts w:ascii="Arial" w:cs="Arial" w:eastAsia="Arial" w:hAnsi="Arial"/>
                <w:sz w:val="16"/>
                <w:szCs w:val="16"/>
                <w:b w:val="1"/>
                <w:bCs w:val="1"/>
                <w:color w:val="FFFFFF"/>
              </w:rPr>
              <w:t>Value of Accelerated</w:t>
            </w:r>
          </w:p>
        </w:tc>
        <w:tc>
          <w:tcPr>
            <w:tcW w:w="16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6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860" w:type="dxa"/>
            <w:vAlign w:val="bottom"/>
            <w:gridSpan w:val="2"/>
            <w:shd w:val="clear" w:color="auto" w:fill="929292"/>
          </w:tcPr>
          <w:p>
            <w:pPr>
              <w:jc w:val="right"/>
              <w:ind w:right="805"/>
              <w:spacing w:after="0"/>
              <w:rPr>
                <w:sz w:val="20"/>
                <w:szCs w:val="20"/>
                <w:color w:val="auto"/>
              </w:rPr>
            </w:pPr>
            <w:r>
              <w:rPr>
                <w:rFonts w:ascii="Arial" w:cs="Arial" w:eastAsia="Arial" w:hAnsi="Arial"/>
                <w:sz w:val="16"/>
                <w:szCs w:val="16"/>
                <w:b w:val="1"/>
                <w:bCs w:val="1"/>
                <w:color w:val="FFFFFF"/>
              </w:rPr>
              <w:t>Equity Awards</w:t>
            </w:r>
          </w:p>
        </w:tc>
        <w:tc>
          <w:tcPr>
            <w:tcW w:w="16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600" w:type="dxa"/>
            <w:vAlign w:val="bottom"/>
            <w:shd w:val="clear" w:color="auto" w:fill="000000"/>
          </w:tcPr>
          <w:p>
            <w:pPr>
              <w:spacing w:after="0"/>
              <w:rPr>
                <w:sz w:val="18"/>
                <w:szCs w:val="18"/>
                <w:color w:val="auto"/>
              </w:rPr>
            </w:pPr>
          </w:p>
        </w:tc>
        <w:tc>
          <w:tcPr>
            <w:tcW w:w="1280" w:type="dxa"/>
            <w:vAlign w:val="bottom"/>
            <w:shd w:val="clear" w:color="auto" w:fill="2B338D"/>
          </w:tcPr>
          <w:p>
            <w:pPr>
              <w:spacing w:after="0"/>
              <w:rPr>
                <w:sz w:val="18"/>
                <w:szCs w:val="18"/>
                <w:color w:val="auto"/>
              </w:rPr>
            </w:pPr>
          </w:p>
        </w:tc>
        <w:tc>
          <w:tcPr>
            <w:tcW w:w="1560" w:type="dxa"/>
            <w:vAlign w:val="bottom"/>
            <w:shd w:val="clear" w:color="auto" w:fill="2B338D"/>
          </w:tcPr>
          <w:p>
            <w:pPr>
              <w:spacing w:after="0"/>
              <w:rPr>
                <w:sz w:val="18"/>
                <w:szCs w:val="18"/>
                <w:color w:val="auto"/>
              </w:rPr>
            </w:pPr>
          </w:p>
        </w:tc>
        <w:tc>
          <w:tcPr>
            <w:tcW w:w="1660" w:type="dxa"/>
            <w:vAlign w:val="bottom"/>
            <w:vMerge w:val="restart"/>
            <w:shd w:val="clear" w:color="auto" w:fill="2B338D"/>
          </w:tcPr>
          <w:p>
            <w:pPr>
              <w:jc w:val="right"/>
              <w:ind w:right="184"/>
              <w:spacing w:after="0"/>
              <w:rPr>
                <w:sz w:val="20"/>
                <w:szCs w:val="20"/>
                <w:color w:val="auto"/>
              </w:rPr>
            </w:pPr>
            <w:r>
              <w:rPr>
                <w:rFonts w:ascii="Arial" w:cs="Arial" w:eastAsia="Arial" w:hAnsi="Arial"/>
                <w:sz w:val="16"/>
                <w:szCs w:val="16"/>
                <w:b w:val="1"/>
                <w:bCs w:val="1"/>
                <w:color w:val="FFFFFF"/>
              </w:rPr>
              <w:t>Restricted Stock</w:t>
            </w:r>
          </w:p>
        </w:tc>
        <w:tc>
          <w:tcPr>
            <w:tcW w:w="1200" w:type="dxa"/>
            <w:vAlign w:val="bottom"/>
            <w:shd w:val="clear" w:color="auto" w:fill="2B338D"/>
          </w:tcPr>
          <w:p>
            <w:pPr>
              <w:spacing w:after="0"/>
              <w:rPr>
                <w:sz w:val="18"/>
                <w:szCs w:val="18"/>
                <w:color w:val="auto"/>
              </w:rPr>
            </w:pPr>
          </w:p>
        </w:tc>
        <w:tc>
          <w:tcPr>
            <w:tcW w:w="1640" w:type="dxa"/>
            <w:vAlign w:val="bottom"/>
            <w:shd w:val="clear" w:color="auto" w:fill="2B338D"/>
          </w:tcPr>
          <w:p>
            <w:pPr>
              <w:jc w:val="right"/>
              <w:ind w:right="84"/>
              <w:spacing w:after="0"/>
              <w:rPr>
                <w:sz w:val="20"/>
                <w:szCs w:val="20"/>
                <w:color w:val="auto"/>
              </w:rPr>
            </w:pPr>
            <w:r>
              <w:rPr>
                <w:rFonts w:ascii="Arial" w:cs="Arial" w:eastAsia="Arial" w:hAnsi="Arial"/>
                <w:sz w:val="16"/>
                <w:szCs w:val="16"/>
                <w:b w:val="1"/>
                <w:bCs w:val="1"/>
                <w:color w:val="FFFFFF"/>
              </w:rPr>
              <w:t>Health Benefit</w:t>
            </w:r>
          </w:p>
        </w:tc>
        <w:tc>
          <w:tcPr>
            <w:tcW w:w="1160" w:type="dxa"/>
            <w:vAlign w:val="bottom"/>
            <w:shd w:val="clear" w:color="auto" w:fill="009ADA"/>
          </w:tcPr>
          <w:p>
            <w:pPr>
              <w:spacing w:after="0"/>
              <w:rPr>
                <w:sz w:val="18"/>
                <w:szCs w:val="18"/>
                <w:color w:val="auto"/>
              </w:rPr>
            </w:pPr>
          </w:p>
        </w:tc>
        <w:tc>
          <w:tcPr>
            <w:tcW w:w="140" w:type="dxa"/>
            <w:vAlign w:val="bottom"/>
            <w:shd w:val="clear" w:color="auto" w:fill="009ADA"/>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2600" w:type="dxa"/>
            <w:vAlign w:val="bottom"/>
            <w:shd w:val="clear" w:color="auto" w:fill="000000"/>
          </w:tcPr>
          <w:p>
            <w:pPr>
              <w:spacing w:after="0"/>
              <w:rPr>
                <w:sz w:val="7"/>
                <w:szCs w:val="7"/>
                <w:color w:val="auto"/>
              </w:rPr>
            </w:pPr>
          </w:p>
        </w:tc>
        <w:tc>
          <w:tcPr>
            <w:tcW w:w="1280" w:type="dxa"/>
            <w:vAlign w:val="bottom"/>
            <w:vMerge w:val="restart"/>
            <w:shd w:val="clear" w:color="auto" w:fill="2B338D"/>
          </w:tcPr>
          <w:p>
            <w:pPr>
              <w:jc w:val="right"/>
              <w:spacing w:after="0"/>
              <w:rPr>
                <w:sz w:val="20"/>
                <w:szCs w:val="20"/>
                <w:color w:val="auto"/>
              </w:rPr>
            </w:pPr>
            <w:r>
              <w:rPr>
                <w:rFonts w:ascii="Arial" w:cs="Arial" w:eastAsia="Arial" w:hAnsi="Arial"/>
                <w:sz w:val="16"/>
                <w:szCs w:val="16"/>
                <w:b w:val="1"/>
                <w:bCs w:val="1"/>
                <w:color w:val="FFFFFF"/>
              </w:rPr>
              <w:t>Salary</w:t>
            </w:r>
          </w:p>
        </w:tc>
        <w:tc>
          <w:tcPr>
            <w:tcW w:w="1560" w:type="dxa"/>
            <w:vAlign w:val="bottom"/>
            <w:vMerge w:val="restart"/>
            <w:shd w:val="clear" w:color="auto" w:fill="2B338D"/>
          </w:tcPr>
          <w:p>
            <w:pPr>
              <w:jc w:val="right"/>
              <w:ind w:right="85"/>
              <w:spacing w:after="0"/>
              <w:rPr>
                <w:sz w:val="20"/>
                <w:szCs w:val="20"/>
                <w:color w:val="auto"/>
              </w:rPr>
            </w:pPr>
            <w:r>
              <w:rPr>
                <w:rFonts w:ascii="Arial" w:cs="Arial" w:eastAsia="Arial" w:hAnsi="Arial"/>
                <w:sz w:val="16"/>
                <w:szCs w:val="16"/>
                <w:b w:val="1"/>
                <w:bCs w:val="1"/>
                <w:color w:val="FFFFFF"/>
              </w:rPr>
              <w:t>Bonus</w:t>
            </w:r>
          </w:p>
        </w:tc>
        <w:tc>
          <w:tcPr>
            <w:tcW w:w="1660" w:type="dxa"/>
            <w:vAlign w:val="bottom"/>
            <w:vMerge w:val="continue"/>
            <w:shd w:val="clear" w:color="auto" w:fill="2B338D"/>
          </w:tcPr>
          <w:p>
            <w:pPr>
              <w:spacing w:after="0"/>
              <w:rPr>
                <w:sz w:val="7"/>
                <w:szCs w:val="7"/>
                <w:color w:val="auto"/>
              </w:rPr>
            </w:pPr>
          </w:p>
        </w:tc>
        <w:tc>
          <w:tcPr>
            <w:tcW w:w="1200" w:type="dxa"/>
            <w:vAlign w:val="bottom"/>
            <w:shd w:val="clear" w:color="auto" w:fill="2B338D"/>
          </w:tcPr>
          <w:p>
            <w:pPr>
              <w:spacing w:after="0"/>
              <w:rPr>
                <w:sz w:val="7"/>
                <w:szCs w:val="7"/>
                <w:color w:val="auto"/>
              </w:rPr>
            </w:pPr>
          </w:p>
        </w:tc>
        <w:tc>
          <w:tcPr>
            <w:tcW w:w="1640" w:type="dxa"/>
            <w:vAlign w:val="bottom"/>
            <w:vMerge w:val="restart"/>
            <w:shd w:val="clear" w:color="auto" w:fill="2B338D"/>
          </w:tcPr>
          <w:p>
            <w:pPr>
              <w:jc w:val="right"/>
              <w:ind w:right="84"/>
              <w:spacing w:after="0"/>
              <w:rPr>
                <w:sz w:val="20"/>
                <w:szCs w:val="20"/>
                <w:color w:val="auto"/>
              </w:rPr>
            </w:pPr>
            <w:r>
              <w:rPr>
                <w:rFonts w:ascii="Arial" w:cs="Arial" w:eastAsia="Arial" w:hAnsi="Arial"/>
                <w:sz w:val="16"/>
                <w:szCs w:val="16"/>
                <w:b w:val="1"/>
                <w:bCs w:val="1"/>
                <w:color w:val="FFFFFF"/>
              </w:rPr>
              <w:t>Severance</w:t>
            </w:r>
          </w:p>
        </w:tc>
        <w:tc>
          <w:tcPr>
            <w:tcW w:w="1160" w:type="dxa"/>
            <w:vAlign w:val="bottom"/>
            <w:shd w:val="clear" w:color="auto" w:fill="009ADA"/>
          </w:tcPr>
          <w:p>
            <w:pPr>
              <w:spacing w:after="0"/>
              <w:rPr>
                <w:sz w:val="7"/>
                <w:szCs w:val="7"/>
                <w:color w:val="auto"/>
              </w:rPr>
            </w:pPr>
          </w:p>
        </w:tc>
        <w:tc>
          <w:tcPr>
            <w:tcW w:w="140" w:type="dxa"/>
            <w:vAlign w:val="bottom"/>
            <w:shd w:val="clear" w:color="auto" w:fill="009ADA"/>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600" w:type="dxa"/>
            <w:vAlign w:val="bottom"/>
            <w:shd w:val="clear" w:color="auto" w:fill="000000"/>
          </w:tcPr>
          <w:p>
            <w:pPr>
              <w:spacing w:after="0"/>
              <w:rPr>
                <w:sz w:val="9"/>
                <w:szCs w:val="9"/>
                <w:color w:val="auto"/>
              </w:rPr>
            </w:pPr>
          </w:p>
        </w:tc>
        <w:tc>
          <w:tcPr>
            <w:tcW w:w="1280" w:type="dxa"/>
            <w:vAlign w:val="bottom"/>
            <w:vMerge w:val="continue"/>
            <w:shd w:val="clear" w:color="auto" w:fill="2B338D"/>
          </w:tcPr>
          <w:p>
            <w:pPr>
              <w:spacing w:after="0"/>
              <w:rPr>
                <w:sz w:val="9"/>
                <w:szCs w:val="9"/>
                <w:color w:val="auto"/>
              </w:rPr>
            </w:pPr>
          </w:p>
        </w:tc>
        <w:tc>
          <w:tcPr>
            <w:tcW w:w="1560" w:type="dxa"/>
            <w:vAlign w:val="bottom"/>
            <w:vMerge w:val="continue"/>
            <w:shd w:val="clear" w:color="auto" w:fill="2B338D"/>
          </w:tcPr>
          <w:p>
            <w:pPr>
              <w:spacing w:after="0"/>
              <w:rPr>
                <w:sz w:val="9"/>
                <w:szCs w:val="9"/>
                <w:color w:val="auto"/>
              </w:rPr>
            </w:pPr>
          </w:p>
        </w:tc>
        <w:tc>
          <w:tcPr>
            <w:tcW w:w="1660" w:type="dxa"/>
            <w:vAlign w:val="bottom"/>
            <w:vMerge w:val="restart"/>
            <w:shd w:val="clear" w:color="auto" w:fill="2B338D"/>
          </w:tcPr>
          <w:p>
            <w:pPr>
              <w:jc w:val="right"/>
              <w:ind w:right="184"/>
              <w:spacing w:after="0"/>
              <w:rPr>
                <w:sz w:val="20"/>
                <w:szCs w:val="20"/>
                <w:color w:val="auto"/>
              </w:rPr>
            </w:pPr>
            <w:r>
              <w:rPr>
                <w:rFonts w:ascii="Arial" w:cs="Arial" w:eastAsia="Arial" w:hAnsi="Arial"/>
                <w:sz w:val="16"/>
                <w:szCs w:val="16"/>
                <w:b w:val="1"/>
                <w:bCs w:val="1"/>
                <w:color w:val="FFFFFF"/>
              </w:rPr>
              <w:t>Units</w:t>
            </w:r>
          </w:p>
        </w:tc>
        <w:tc>
          <w:tcPr>
            <w:tcW w:w="1200" w:type="dxa"/>
            <w:vAlign w:val="bottom"/>
            <w:vMerge w:val="restart"/>
            <w:shd w:val="clear" w:color="auto" w:fill="2B338D"/>
          </w:tcPr>
          <w:p>
            <w:pPr>
              <w:jc w:val="right"/>
              <w:ind w:right="85"/>
              <w:spacing w:after="0"/>
              <w:rPr>
                <w:sz w:val="20"/>
                <w:szCs w:val="20"/>
                <w:color w:val="auto"/>
              </w:rPr>
            </w:pPr>
            <w:r>
              <w:rPr>
                <w:rFonts w:ascii="Arial" w:cs="Arial" w:eastAsia="Arial" w:hAnsi="Arial"/>
                <w:sz w:val="16"/>
                <w:szCs w:val="16"/>
                <w:b w:val="1"/>
                <w:bCs w:val="1"/>
                <w:color w:val="FFFFFF"/>
              </w:rPr>
              <w:t>Options</w:t>
            </w:r>
          </w:p>
        </w:tc>
        <w:tc>
          <w:tcPr>
            <w:tcW w:w="1640" w:type="dxa"/>
            <w:vAlign w:val="bottom"/>
            <w:vMerge w:val="continue"/>
            <w:shd w:val="clear" w:color="auto" w:fill="2B338D"/>
          </w:tcPr>
          <w:p>
            <w:pPr>
              <w:spacing w:after="0"/>
              <w:rPr>
                <w:sz w:val="9"/>
                <w:szCs w:val="9"/>
                <w:color w:val="auto"/>
              </w:rPr>
            </w:pPr>
          </w:p>
        </w:tc>
        <w:tc>
          <w:tcPr>
            <w:tcW w:w="1160" w:type="dxa"/>
            <w:vAlign w:val="bottom"/>
            <w:shd w:val="clear" w:color="auto" w:fill="009ADA"/>
          </w:tcPr>
          <w:p>
            <w:pPr>
              <w:spacing w:after="0"/>
              <w:rPr>
                <w:sz w:val="9"/>
                <w:szCs w:val="9"/>
                <w:color w:val="auto"/>
              </w:rPr>
            </w:pPr>
          </w:p>
        </w:tc>
        <w:tc>
          <w:tcPr>
            <w:tcW w:w="140" w:type="dxa"/>
            <w:vAlign w:val="bottom"/>
            <w:shd w:val="clear" w:color="auto" w:fill="009ADA"/>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600" w:type="dxa"/>
            <w:vAlign w:val="bottom"/>
            <w:shd w:val="clear" w:color="auto" w:fill="000000"/>
          </w:tcPr>
          <w:p>
            <w:pPr>
              <w:spacing w:after="0"/>
              <w:rPr>
                <w:sz w:val="9"/>
                <w:szCs w:val="9"/>
                <w:color w:val="auto"/>
              </w:rPr>
            </w:pPr>
          </w:p>
        </w:tc>
        <w:tc>
          <w:tcPr>
            <w:tcW w:w="1280" w:type="dxa"/>
            <w:vAlign w:val="bottom"/>
            <w:vMerge w:val="restart"/>
            <w:shd w:val="clear" w:color="auto" w:fill="2B338D"/>
          </w:tcPr>
          <w:p>
            <w:pPr>
              <w:jc w:val="right"/>
              <w:spacing w:after="0"/>
              <w:rPr>
                <w:sz w:val="20"/>
                <w:szCs w:val="20"/>
                <w:color w:val="auto"/>
              </w:rPr>
            </w:pPr>
            <w:r>
              <w:rPr>
                <w:rFonts w:ascii="Arial" w:cs="Arial" w:eastAsia="Arial" w:hAnsi="Arial"/>
                <w:sz w:val="16"/>
                <w:szCs w:val="16"/>
                <w:b w:val="1"/>
                <w:bCs w:val="1"/>
                <w:color w:val="FFFFFF"/>
              </w:rPr>
              <w:t>Severance</w:t>
            </w:r>
          </w:p>
        </w:tc>
        <w:tc>
          <w:tcPr>
            <w:tcW w:w="1560" w:type="dxa"/>
            <w:vAlign w:val="bottom"/>
            <w:vMerge w:val="restart"/>
            <w:shd w:val="clear" w:color="auto" w:fill="2B338D"/>
          </w:tcPr>
          <w:p>
            <w:pPr>
              <w:jc w:val="right"/>
              <w:ind w:right="85"/>
              <w:spacing w:after="0"/>
              <w:rPr>
                <w:sz w:val="20"/>
                <w:szCs w:val="20"/>
                <w:color w:val="auto"/>
              </w:rPr>
            </w:pPr>
            <w:r>
              <w:rPr>
                <w:rFonts w:ascii="Arial" w:cs="Arial" w:eastAsia="Arial" w:hAnsi="Arial"/>
                <w:sz w:val="16"/>
                <w:szCs w:val="16"/>
                <w:b w:val="1"/>
                <w:bCs w:val="1"/>
                <w:color w:val="FFFFFF"/>
              </w:rPr>
              <w:t>Severance</w:t>
            </w:r>
          </w:p>
        </w:tc>
        <w:tc>
          <w:tcPr>
            <w:tcW w:w="1660" w:type="dxa"/>
            <w:vAlign w:val="bottom"/>
            <w:vMerge w:val="continue"/>
            <w:shd w:val="clear" w:color="auto" w:fill="2B338D"/>
          </w:tcPr>
          <w:p>
            <w:pPr>
              <w:spacing w:after="0"/>
              <w:rPr>
                <w:sz w:val="9"/>
                <w:szCs w:val="9"/>
                <w:color w:val="auto"/>
              </w:rPr>
            </w:pPr>
          </w:p>
        </w:tc>
        <w:tc>
          <w:tcPr>
            <w:tcW w:w="1200" w:type="dxa"/>
            <w:vAlign w:val="bottom"/>
            <w:vMerge w:val="continue"/>
            <w:shd w:val="clear" w:color="auto" w:fill="2B338D"/>
          </w:tcPr>
          <w:p>
            <w:pPr>
              <w:spacing w:after="0"/>
              <w:rPr>
                <w:sz w:val="9"/>
                <w:szCs w:val="9"/>
                <w:color w:val="auto"/>
              </w:rPr>
            </w:pPr>
          </w:p>
        </w:tc>
        <w:tc>
          <w:tcPr>
            <w:tcW w:w="1640" w:type="dxa"/>
            <w:vAlign w:val="bottom"/>
            <w:vMerge w:val="restart"/>
            <w:shd w:val="clear" w:color="auto" w:fill="2B338D"/>
          </w:tcPr>
          <w:p>
            <w:pPr>
              <w:jc w:val="right"/>
              <w:ind w:right="84"/>
              <w:spacing w:after="0"/>
              <w:rPr>
                <w:sz w:val="20"/>
                <w:szCs w:val="20"/>
                <w:color w:val="auto"/>
              </w:rPr>
            </w:pPr>
            <w:r>
              <w:rPr>
                <w:rFonts w:ascii="Arial" w:cs="Arial" w:eastAsia="Arial" w:hAnsi="Arial"/>
                <w:sz w:val="16"/>
                <w:szCs w:val="16"/>
                <w:b w:val="1"/>
                <w:bCs w:val="1"/>
                <w:color w:val="FFFFFF"/>
              </w:rPr>
              <w:t>Payments</w:t>
            </w:r>
          </w:p>
        </w:tc>
        <w:tc>
          <w:tcPr>
            <w:tcW w:w="1160" w:type="dxa"/>
            <w:vAlign w:val="bottom"/>
            <w:vMerge w:val="restart"/>
            <w:shd w:val="clear" w:color="auto" w:fill="009ADA"/>
          </w:tcPr>
          <w:p>
            <w:pPr>
              <w:jc w:val="right"/>
              <w:spacing w:after="0"/>
              <w:rPr>
                <w:sz w:val="20"/>
                <w:szCs w:val="20"/>
                <w:color w:val="auto"/>
              </w:rPr>
            </w:pPr>
            <w:r>
              <w:rPr>
                <w:rFonts w:ascii="Arial" w:cs="Arial" w:eastAsia="Arial" w:hAnsi="Arial"/>
                <w:sz w:val="16"/>
                <w:szCs w:val="16"/>
                <w:b w:val="1"/>
                <w:bCs w:val="1"/>
                <w:color w:val="FFFFFF"/>
              </w:rPr>
              <w:t>Total</w:t>
            </w:r>
          </w:p>
        </w:tc>
        <w:tc>
          <w:tcPr>
            <w:tcW w:w="140" w:type="dxa"/>
            <w:vAlign w:val="bottom"/>
            <w:shd w:val="clear" w:color="auto" w:fill="009ADA"/>
          </w:tcPr>
          <w:p>
            <w:pPr>
              <w:spacing w:after="0"/>
              <w:rPr>
                <w:sz w:val="9"/>
                <w:szCs w:val="9"/>
                <w:color w:val="auto"/>
              </w:rPr>
            </w:pPr>
          </w:p>
        </w:tc>
        <w:tc>
          <w:tcPr>
            <w:tcW w:w="0" w:type="dxa"/>
            <w:vAlign w:val="bottom"/>
          </w:tcPr>
          <w:p>
            <w:pPr>
              <w:spacing w:after="0"/>
              <w:rPr>
                <w:sz w:val="1"/>
                <w:szCs w:val="1"/>
                <w:color w:val="auto"/>
              </w:rPr>
            </w:pPr>
          </w:p>
        </w:tc>
      </w:tr>
      <w:tr>
        <w:trPr>
          <w:trHeight w:val="82"/>
        </w:trPr>
        <w:tc>
          <w:tcPr>
            <w:tcW w:w="2600" w:type="dxa"/>
            <w:vAlign w:val="bottom"/>
            <w:shd w:val="clear" w:color="auto" w:fill="000000"/>
          </w:tcPr>
          <w:p>
            <w:pPr>
              <w:spacing w:after="0"/>
              <w:rPr>
                <w:sz w:val="7"/>
                <w:szCs w:val="7"/>
                <w:color w:val="auto"/>
              </w:rPr>
            </w:pPr>
          </w:p>
        </w:tc>
        <w:tc>
          <w:tcPr>
            <w:tcW w:w="1280" w:type="dxa"/>
            <w:vAlign w:val="bottom"/>
            <w:vMerge w:val="continue"/>
            <w:shd w:val="clear" w:color="auto" w:fill="2B338D"/>
          </w:tcPr>
          <w:p>
            <w:pPr>
              <w:spacing w:after="0"/>
              <w:rPr>
                <w:sz w:val="7"/>
                <w:szCs w:val="7"/>
                <w:color w:val="auto"/>
              </w:rPr>
            </w:pPr>
          </w:p>
        </w:tc>
        <w:tc>
          <w:tcPr>
            <w:tcW w:w="1560" w:type="dxa"/>
            <w:vAlign w:val="bottom"/>
            <w:vMerge w:val="continue"/>
            <w:shd w:val="clear" w:color="auto" w:fill="2B338D"/>
          </w:tcPr>
          <w:p>
            <w:pPr>
              <w:spacing w:after="0"/>
              <w:rPr>
                <w:sz w:val="7"/>
                <w:szCs w:val="7"/>
                <w:color w:val="auto"/>
              </w:rPr>
            </w:pPr>
          </w:p>
        </w:tc>
        <w:tc>
          <w:tcPr>
            <w:tcW w:w="1660" w:type="dxa"/>
            <w:vAlign w:val="bottom"/>
            <w:vMerge w:val="restart"/>
            <w:shd w:val="clear" w:color="auto" w:fill="2B338D"/>
          </w:tcPr>
          <w:p>
            <w:pPr>
              <w:jc w:val="right"/>
              <w:ind w:right="184"/>
              <w:spacing w:after="0"/>
              <w:rPr>
                <w:sz w:val="20"/>
                <w:szCs w:val="20"/>
                <w:color w:val="auto"/>
              </w:rPr>
            </w:pPr>
            <w:r>
              <w:rPr>
                <w:rFonts w:ascii="Arial" w:cs="Arial" w:eastAsia="Arial" w:hAnsi="Arial"/>
                <w:sz w:val="16"/>
                <w:szCs w:val="16"/>
                <w:b w:val="1"/>
                <w:bCs w:val="1"/>
                <w:color w:val="FFFFFF"/>
              </w:rPr>
              <w:t>($)</w:t>
            </w:r>
            <w:r>
              <w:rPr>
                <w:rFonts w:ascii="Arial" w:cs="Arial" w:eastAsia="Arial" w:hAnsi="Arial"/>
                <w:sz w:val="21"/>
                <w:szCs w:val="21"/>
                <w:b w:val="1"/>
                <w:bCs w:val="1"/>
                <w:color w:val="FFFFFF"/>
                <w:vertAlign w:val="superscript"/>
              </w:rPr>
              <w:t>(1)</w:t>
            </w:r>
          </w:p>
        </w:tc>
        <w:tc>
          <w:tcPr>
            <w:tcW w:w="1200" w:type="dxa"/>
            <w:vAlign w:val="bottom"/>
            <w:vMerge w:val="restart"/>
            <w:shd w:val="clear" w:color="auto" w:fill="2B338D"/>
          </w:tcPr>
          <w:p>
            <w:pPr>
              <w:jc w:val="right"/>
              <w:ind w:right="85"/>
              <w:spacing w:after="0"/>
              <w:rPr>
                <w:sz w:val="20"/>
                <w:szCs w:val="20"/>
                <w:color w:val="auto"/>
              </w:rPr>
            </w:pPr>
            <w:r>
              <w:rPr>
                <w:rFonts w:ascii="Arial" w:cs="Arial" w:eastAsia="Arial" w:hAnsi="Arial"/>
                <w:sz w:val="16"/>
                <w:szCs w:val="16"/>
                <w:b w:val="1"/>
                <w:bCs w:val="1"/>
                <w:color w:val="FFFFFF"/>
              </w:rPr>
              <w:t>($)</w:t>
            </w:r>
            <w:r>
              <w:rPr>
                <w:rFonts w:ascii="Arial" w:cs="Arial" w:eastAsia="Arial" w:hAnsi="Arial"/>
                <w:sz w:val="21"/>
                <w:szCs w:val="21"/>
                <w:b w:val="1"/>
                <w:bCs w:val="1"/>
                <w:color w:val="FFFFFF"/>
                <w:vertAlign w:val="superscript"/>
              </w:rPr>
              <w:t>(2)</w:t>
            </w:r>
          </w:p>
        </w:tc>
        <w:tc>
          <w:tcPr>
            <w:tcW w:w="1640" w:type="dxa"/>
            <w:vAlign w:val="bottom"/>
            <w:vMerge w:val="continue"/>
            <w:shd w:val="clear" w:color="auto" w:fill="2B338D"/>
          </w:tcPr>
          <w:p>
            <w:pPr>
              <w:spacing w:after="0"/>
              <w:rPr>
                <w:sz w:val="7"/>
                <w:szCs w:val="7"/>
                <w:color w:val="auto"/>
              </w:rPr>
            </w:pPr>
          </w:p>
        </w:tc>
        <w:tc>
          <w:tcPr>
            <w:tcW w:w="1160" w:type="dxa"/>
            <w:vAlign w:val="bottom"/>
            <w:vMerge w:val="continue"/>
            <w:shd w:val="clear" w:color="auto" w:fill="009ADA"/>
          </w:tcPr>
          <w:p>
            <w:pPr>
              <w:spacing w:after="0"/>
              <w:rPr>
                <w:sz w:val="7"/>
                <w:szCs w:val="7"/>
                <w:color w:val="auto"/>
              </w:rPr>
            </w:pPr>
          </w:p>
        </w:tc>
        <w:tc>
          <w:tcPr>
            <w:tcW w:w="140" w:type="dxa"/>
            <w:vAlign w:val="bottom"/>
            <w:shd w:val="clear" w:color="auto" w:fill="009ADA"/>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2600" w:type="dxa"/>
            <w:vAlign w:val="bottom"/>
            <w:vMerge w:val="restart"/>
            <w:shd w:val="clear" w:color="auto" w:fill="000000"/>
          </w:tcPr>
          <w:p>
            <w:pPr>
              <w:ind w:left="100"/>
              <w:spacing w:after="0"/>
              <w:rPr>
                <w:sz w:val="20"/>
                <w:szCs w:val="20"/>
                <w:color w:val="auto"/>
              </w:rPr>
            </w:pPr>
            <w:r>
              <w:rPr>
                <w:rFonts w:ascii="Arial" w:cs="Arial" w:eastAsia="Arial" w:hAnsi="Arial"/>
                <w:sz w:val="16"/>
                <w:szCs w:val="16"/>
                <w:b w:val="1"/>
                <w:bCs w:val="1"/>
                <w:color w:val="FFFFFF"/>
              </w:rPr>
              <w:t>Named Executive Officer</w:t>
            </w:r>
          </w:p>
        </w:tc>
        <w:tc>
          <w:tcPr>
            <w:tcW w:w="1280" w:type="dxa"/>
            <w:vAlign w:val="bottom"/>
            <w:vMerge w:val="restart"/>
            <w:shd w:val="clear" w:color="auto" w:fill="2B338D"/>
          </w:tcPr>
          <w:p>
            <w:pPr>
              <w:jc w:val="right"/>
              <w:spacing w:after="0"/>
              <w:rPr>
                <w:sz w:val="20"/>
                <w:szCs w:val="20"/>
                <w:color w:val="auto"/>
              </w:rPr>
            </w:pPr>
            <w:r>
              <w:rPr>
                <w:rFonts w:ascii="Arial" w:cs="Arial" w:eastAsia="Arial" w:hAnsi="Arial"/>
                <w:sz w:val="16"/>
                <w:szCs w:val="16"/>
                <w:b w:val="1"/>
                <w:bCs w:val="1"/>
                <w:color w:val="FFFFFF"/>
              </w:rPr>
              <w:t>($)</w:t>
            </w:r>
          </w:p>
        </w:tc>
        <w:tc>
          <w:tcPr>
            <w:tcW w:w="1560" w:type="dxa"/>
            <w:vAlign w:val="bottom"/>
            <w:vMerge w:val="restart"/>
            <w:shd w:val="clear" w:color="auto" w:fill="2B338D"/>
          </w:tcPr>
          <w:p>
            <w:pPr>
              <w:jc w:val="right"/>
              <w:ind w:right="85"/>
              <w:spacing w:after="0"/>
              <w:rPr>
                <w:sz w:val="20"/>
                <w:szCs w:val="20"/>
                <w:color w:val="auto"/>
              </w:rPr>
            </w:pPr>
            <w:r>
              <w:rPr>
                <w:rFonts w:ascii="Arial" w:cs="Arial" w:eastAsia="Arial" w:hAnsi="Arial"/>
                <w:sz w:val="16"/>
                <w:szCs w:val="16"/>
                <w:b w:val="1"/>
                <w:bCs w:val="1"/>
                <w:color w:val="FFFFFF"/>
              </w:rPr>
              <w:t>($)</w:t>
            </w:r>
          </w:p>
        </w:tc>
        <w:tc>
          <w:tcPr>
            <w:tcW w:w="1660" w:type="dxa"/>
            <w:vAlign w:val="bottom"/>
            <w:vMerge w:val="continue"/>
            <w:shd w:val="clear" w:color="auto" w:fill="2B338D"/>
          </w:tcPr>
          <w:p>
            <w:pPr>
              <w:spacing w:after="0"/>
              <w:rPr>
                <w:sz w:val="14"/>
                <w:szCs w:val="14"/>
                <w:color w:val="auto"/>
              </w:rPr>
            </w:pPr>
          </w:p>
        </w:tc>
        <w:tc>
          <w:tcPr>
            <w:tcW w:w="1200" w:type="dxa"/>
            <w:vAlign w:val="bottom"/>
            <w:vMerge w:val="continue"/>
            <w:shd w:val="clear" w:color="auto" w:fill="2B338D"/>
          </w:tcPr>
          <w:p>
            <w:pPr>
              <w:spacing w:after="0"/>
              <w:rPr>
                <w:sz w:val="14"/>
                <w:szCs w:val="14"/>
                <w:color w:val="auto"/>
              </w:rPr>
            </w:pPr>
          </w:p>
        </w:tc>
        <w:tc>
          <w:tcPr>
            <w:tcW w:w="1640" w:type="dxa"/>
            <w:vAlign w:val="bottom"/>
            <w:vMerge w:val="restart"/>
            <w:shd w:val="clear" w:color="auto" w:fill="2B338D"/>
          </w:tcPr>
          <w:p>
            <w:pPr>
              <w:jc w:val="right"/>
              <w:ind w:right="84"/>
              <w:spacing w:after="0"/>
              <w:rPr>
                <w:sz w:val="20"/>
                <w:szCs w:val="20"/>
                <w:color w:val="auto"/>
              </w:rPr>
            </w:pPr>
            <w:r>
              <w:rPr>
                <w:rFonts w:ascii="Arial" w:cs="Arial" w:eastAsia="Arial" w:hAnsi="Arial"/>
                <w:sz w:val="16"/>
                <w:szCs w:val="16"/>
                <w:b w:val="1"/>
                <w:bCs w:val="1"/>
                <w:color w:val="FFFFFF"/>
              </w:rPr>
              <w:t>($)</w:t>
            </w:r>
          </w:p>
        </w:tc>
        <w:tc>
          <w:tcPr>
            <w:tcW w:w="1160" w:type="dxa"/>
            <w:vAlign w:val="bottom"/>
            <w:vMerge w:val="restart"/>
            <w:shd w:val="clear" w:color="auto" w:fill="009ADA"/>
          </w:tcPr>
          <w:p>
            <w:pPr>
              <w:jc w:val="right"/>
              <w:spacing w:after="0"/>
              <w:rPr>
                <w:sz w:val="20"/>
                <w:szCs w:val="20"/>
                <w:color w:val="auto"/>
              </w:rPr>
            </w:pPr>
            <w:r>
              <w:rPr>
                <w:rFonts w:ascii="Arial" w:cs="Arial" w:eastAsia="Arial" w:hAnsi="Arial"/>
                <w:sz w:val="16"/>
                <w:szCs w:val="16"/>
                <w:b w:val="1"/>
                <w:bCs w:val="1"/>
                <w:color w:val="FFFFFF"/>
              </w:rPr>
              <w:t>($)</w:t>
            </w:r>
          </w:p>
        </w:tc>
        <w:tc>
          <w:tcPr>
            <w:tcW w:w="140" w:type="dxa"/>
            <w:vAlign w:val="bottom"/>
            <w:shd w:val="clear" w:color="auto" w:fill="009ADA"/>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600" w:type="dxa"/>
            <w:vAlign w:val="bottom"/>
            <w:vMerge w:val="continue"/>
            <w:shd w:val="clear" w:color="auto" w:fill="000000"/>
          </w:tcPr>
          <w:p>
            <w:pPr>
              <w:spacing w:after="0"/>
              <w:rPr>
                <w:sz w:val="4"/>
                <w:szCs w:val="4"/>
                <w:color w:val="auto"/>
              </w:rPr>
            </w:pPr>
          </w:p>
        </w:tc>
        <w:tc>
          <w:tcPr>
            <w:tcW w:w="1280" w:type="dxa"/>
            <w:vAlign w:val="bottom"/>
            <w:vMerge w:val="continue"/>
            <w:shd w:val="clear" w:color="auto" w:fill="2B338D"/>
          </w:tcPr>
          <w:p>
            <w:pPr>
              <w:spacing w:after="0"/>
              <w:rPr>
                <w:sz w:val="4"/>
                <w:szCs w:val="4"/>
                <w:color w:val="auto"/>
              </w:rPr>
            </w:pPr>
          </w:p>
        </w:tc>
        <w:tc>
          <w:tcPr>
            <w:tcW w:w="1560" w:type="dxa"/>
            <w:vAlign w:val="bottom"/>
            <w:vMerge w:val="continue"/>
            <w:shd w:val="clear" w:color="auto" w:fill="2B338D"/>
          </w:tcPr>
          <w:p>
            <w:pPr>
              <w:spacing w:after="0"/>
              <w:rPr>
                <w:sz w:val="4"/>
                <w:szCs w:val="4"/>
                <w:color w:val="auto"/>
              </w:rPr>
            </w:pPr>
          </w:p>
        </w:tc>
        <w:tc>
          <w:tcPr>
            <w:tcW w:w="1660" w:type="dxa"/>
            <w:vAlign w:val="bottom"/>
            <w:shd w:val="clear" w:color="auto" w:fill="2B338D"/>
          </w:tcPr>
          <w:p>
            <w:pPr>
              <w:spacing w:after="0"/>
              <w:rPr>
                <w:sz w:val="4"/>
                <w:szCs w:val="4"/>
                <w:color w:val="auto"/>
              </w:rPr>
            </w:pPr>
          </w:p>
        </w:tc>
        <w:tc>
          <w:tcPr>
            <w:tcW w:w="1200" w:type="dxa"/>
            <w:vAlign w:val="bottom"/>
            <w:shd w:val="clear" w:color="auto" w:fill="2B338D"/>
          </w:tcPr>
          <w:p>
            <w:pPr>
              <w:spacing w:after="0"/>
              <w:rPr>
                <w:sz w:val="4"/>
                <w:szCs w:val="4"/>
                <w:color w:val="auto"/>
              </w:rPr>
            </w:pPr>
          </w:p>
        </w:tc>
        <w:tc>
          <w:tcPr>
            <w:tcW w:w="1640" w:type="dxa"/>
            <w:vAlign w:val="bottom"/>
            <w:vMerge w:val="continue"/>
            <w:shd w:val="clear" w:color="auto" w:fill="2B338D"/>
          </w:tcPr>
          <w:p>
            <w:pPr>
              <w:spacing w:after="0"/>
              <w:rPr>
                <w:sz w:val="4"/>
                <w:szCs w:val="4"/>
                <w:color w:val="auto"/>
              </w:rPr>
            </w:pPr>
          </w:p>
        </w:tc>
        <w:tc>
          <w:tcPr>
            <w:tcW w:w="1160" w:type="dxa"/>
            <w:vAlign w:val="bottom"/>
            <w:vMerge w:val="continue"/>
            <w:shd w:val="clear" w:color="auto" w:fill="009ADA"/>
          </w:tcPr>
          <w:p>
            <w:pPr>
              <w:spacing w:after="0"/>
              <w:rPr>
                <w:sz w:val="4"/>
                <w:szCs w:val="4"/>
                <w:color w:val="auto"/>
              </w:rPr>
            </w:pPr>
          </w:p>
        </w:tc>
        <w:tc>
          <w:tcPr>
            <w:tcW w:w="140" w:type="dxa"/>
            <w:vAlign w:val="bottom"/>
            <w:shd w:val="clear" w:color="auto" w:fill="009ADA"/>
          </w:tcPr>
          <w:p>
            <w:pPr>
              <w:spacing w:after="0"/>
              <w:rPr>
                <w:sz w:val="4"/>
                <w:szCs w:val="4"/>
                <w:color w:val="auto"/>
              </w:rPr>
            </w:pPr>
          </w:p>
        </w:tc>
        <w:tc>
          <w:tcPr>
            <w:tcW w:w="0" w:type="dxa"/>
            <w:vAlign w:val="bottom"/>
          </w:tcPr>
          <w:p>
            <w:pPr>
              <w:spacing w:after="0"/>
              <w:rPr>
                <w:sz w:val="1"/>
                <w:szCs w:val="1"/>
                <w:color w:val="auto"/>
              </w:rPr>
            </w:pPr>
          </w:p>
        </w:tc>
      </w:tr>
      <w:tr>
        <w:trPr>
          <w:trHeight w:val="73"/>
        </w:trPr>
        <w:tc>
          <w:tcPr>
            <w:tcW w:w="2600" w:type="dxa"/>
            <w:vAlign w:val="bottom"/>
            <w:shd w:val="clear" w:color="auto" w:fill="000000"/>
          </w:tcPr>
          <w:p>
            <w:pPr>
              <w:spacing w:after="0"/>
              <w:rPr>
                <w:sz w:val="6"/>
                <w:szCs w:val="6"/>
                <w:color w:val="auto"/>
              </w:rPr>
            </w:pPr>
          </w:p>
        </w:tc>
        <w:tc>
          <w:tcPr>
            <w:tcW w:w="1280" w:type="dxa"/>
            <w:vAlign w:val="bottom"/>
            <w:shd w:val="clear" w:color="auto" w:fill="2B338D"/>
          </w:tcPr>
          <w:p>
            <w:pPr>
              <w:spacing w:after="0"/>
              <w:rPr>
                <w:sz w:val="6"/>
                <w:szCs w:val="6"/>
                <w:color w:val="auto"/>
              </w:rPr>
            </w:pPr>
          </w:p>
        </w:tc>
        <w:tc>
          <w:tcPr>
            <w:tcW w:w="1560" w:type="dxa"/>
            <w:vAlign w:val="bottom"/>
            <w:shd w:val="clear" w:color="auto" w:fill="2B338D"/>
          </w:tcPr>
          <w:p>
            <w:pPr>
              <w:spacing w:after="0"/>
              <w:rPr>
                <w:sz w:val="6"/>
                <w:szCs w:val="6"/>
                <w:color w:val="auto"/>
              </w:rPr>
            </w:pPr>
          </w:p>
        </w:tc>
        <w:tc>
          <w:tcPr>
            <w:tcW w:w="1660" w:type="dxa"/>
            <w:vAlign w:val="bottom"/>
            <w:shd w:val="clear" w:color="auto" w:fill="2B338D"/>
          </w:tcPr>
          <w:p>
            <w:pPr>
              <w:spacing w:after="0"/>
              <w:rPr>
                <w:sz w:val="6"/>
                <w:szCs w:val="6"/>
                <w:color w:val="auto"/>
              </w:rPr>
            </w:pPr>
          </w:p>
        </w:tc>
        <w:tc>
          <w:tcPr>
            <w:tcW w:w="1200" w:type="dxa"/>
            <w:vAlign w:val="bottom"/>
            <w:shd w:val="clear" w:color="auto" w:fill="2B338D"/>
          </w:tcPr>
          <w:p>
            <w:pPr>
              <w:spacing w:after="0"/>
              <w:rPr>
                <w:sz w:val="6"/>
                <w:szCs w:val="6"/>
                <w:color w:val="auto"/>
              </w:rPr>
            </w:pPr>
          </w:p>
        </w:tc>
        <w:tc>
          <w:tcPr>
            <w:tcW w:w="1640" w:type="dxa"/>
            <w:vAlign w:val="bottom"/>
            <w:shd w:val="clear" w:color="auto" w:fill="2B338D"/>
          </w:tcPr>
          <w:p>
            <w:pPr>
              <w:spacing w:after="0"/>
              <w:rPr>
                <w:sz w:val="6"/>
                <w:szCs w:val="6"/>
                <w:color w:val="auto"/>
              </w:rPr>
            </w:pPr>
          </w:p>
        </w:tc>
        <w:tc>
          <w:tcPr>
            <w:tcW w:w="1160" w:type="dxa"/>
            <w:vAlign w:val="bottom"/>
            <w:shd w:val="clear" w:color="auto" w:fill="009ADA"/>
          </w:tcPr>
          <w:p>
            <w:pPr>
              <w:spacing w:after="0"/>
              <w:rPr>
                <w:sz w:val="6"/>
                <w:szCs w:val="6"/>
                <w:color w:val="auto"/>
              </w:rPr>
            </w:pPr>
          </w:p>
        </w:tc>
        <w:tc>
          <w:tcPr>
            <w:tcW w:w="140" w:type="dxa"/>
            <w:vAlign w:val="bottom"/>
            <w:shd w:val="clear" w:color="auto" w:fill="009ADA"/>
          </w:tcPr>
          <w:p>
            <w:pPr>
              <w:spacing w:after="0"/>
              <w:rPr>
                <w:sz w:val="6"/>
                <w:szCs w:val="6"/>
                <w:color w:val="auto"/>
              </w:rPr>
            </w:pPr>
          </w:p>
        </w:tc>
        <w:tc>
          <w:tcPr>
            <w:tcW w:w="0" w:type="dxa"/>
            <w:vAlign w:val="bottom"/>
          </w:tcPr>
          <w:p>
            <w:pPr>
              <w:spacing w:after="0"/>
              <w:rPr>
                <w:sz w:val="1"/>
                <w:szCs w:val="1"/>
                <w:color w:val="auto"/>
              </w:rPr>
            </w:pPr>
          </w:p>
        </w:tc>
      </w:tr>
      <w:tr>
        <w:trPr>
          <w:trHeight w:val="231"/>
        </w:trPr>
        <w:tc>
          <w:tcPr>
            <w:tcW w:w="2600" w:type="dxa"/>
            <w:vAlign w:val="bottom"/>
          </w:tcPr>
          <w:p>
            <w:pPr>
              <w:ind w:left="100"/>
              <w:spacing w:after="0"/>
              <w:rPr>
                <w:sz w:val="20"/>
                <w:szCs w:val="20"/>
                <w:color w:val="auto"/>
              </w:rPr>
            </w:pPr>
            <w:r>
              <w:rPr>
                <w:rFonts w:ascii="Arial" w:cs="Arial" w:eastAsia="Arial" w:hAnsi="Arial"/>
                <w:sz w:val="14"/>
                <w:szCs w:val="14"/>
                <w:b w:val="1"/>
                <w:bCs w:val="1"/>
                <w:color w:val="auto"/>
              </w:rPr>
              <w:t>Mr. Chaudhry</w:t>
            </w:r>
          </w:p>
        </w:tc>
        <w:tc>
          <w:tcPr>
            <w:tcW w:w="1280" w:type="dxa"/>
            <w:vAlign w:val="bottom"/>
          </w:tcPr>
          <w:p>
            <w:pPr>
              <w:jc w:val="right"/>
              <w:spacing w:after="0"/>
              <w:rPr>
                <w:sz w:val="20"/>
                <w:szCs w:val="20"/>
                <w:color w:val="auto"/>
              </w:rPr>
            </w:pPr>
            <w:r>
              <w:rPr>
                <w:rFonts w:ascii="Arial" w:cs="Arial" w:eastAsia="Arial" w:hAnsi="Arial"/>
                <w:sz w:val="14"/>
                <w:szCs w:val="14"/>
                <w:color w:val="auto"/>
              </w:rPr>
              <w:t>23,660</w:t>
            </w:r>
          </w:p>
        </w:tc>
        <w:tc>
          <w:tcPr>
            <w:tcW w:w="1560" w:type="dxa"/>
            <w:vAlign w:val="bottom"/>
          </w:tcPr>
          <w:p>
            <w:pPr>
              <w:jc w:val="right"/>
              <w:ind w:right="125"/>
              <w:spacing w:after="0"/>
              <w:rPr>
                <w:sz w:val="20"/>
                <w:szCs w:val="20"/>
                <w:color w:val="auto"/>
              </w:rPr>
            </w:pPr>
            <w:r>
              <w:rPr>
                <w:rFonts w:ascii="Arial" w:cs="Arial" w:eastAsia="Arial" w:hAnsi="Arial"/>
                <w:sz w:val="14"/>
                <w:szCs w:val="14"/>
                <w:color w:val="auto"/>
              </w:rPr>
              <w:t>—</w:t>
            </w:r>
          </w:p>
        </w:tc>
        <w:tc>
          <w:tcPr>
            <w:tcW w:w="1660" w:type="dxa"/>
            <w:vAlign w:val="bottom"/>
          </w:tcPr>
          <w:p>
            <w:pPr>
              <w:ind w:left="620"/>
              <w:spacing w:after="0"/>
              <w:rPr>
                <w:sz w:val="20"/>
                <w:szCs w:val="20"/>
                <w:color w:val="auto"/>
              </w:rPr>
            </w:pPr>
            <w:r>
              <w:rPr>
                <w:rFonts w:ascii="Arial" w:cs="Arial" w:eastAsia="Arial" w:hAnsi="Arial"/>
                <w:sz w:val="14"/>
                <w:szCs w:val="14"/>
                <w:color w:val="auto"/>
              </w:rPr>
              <w:t>70,773,000</w:t>
            </w:r>
          </w:p>
        </w:tc>
        <w:tc>
          <w:tcPr>
            <w:tcW w:w="1200" w:type="dxa"/>
            <w:vAlign w:val="bottom"/>
          </w:tcPr>
          <w:p>
            <w:pPr>
              <w:jc w:val="right"/>
              <w:ind w:right="125"/>
              <w:spacing w:after="0"/>
              <w:rPr>
                <w:sz w:val="20"/>
                <w:szCs w:val="20"/>
                <w:color w:val="auto"/>
              </w:rPr>
            </w:pPr>
            <w:r>
              <w:rPr>
                <w:rFonts w:ascii="Arial" w:cs="Arial" w:eastAsia="Arial" w:hAnsi="Arial"/>
                <w:sz w:val="14"/>
                <w:szCs w:val="14"/>
                <w:color w:val="auto"/>
              </w:rPr>
              <w:t>—</w:t>
            </w:r>
          </w:p>
        </w:tc>
        <w:tc>
          <w:tcPr>
            <w:tcW w:w="1640" w:type="dxa"/>
            <w:vAlign w:val="bottom"/>
          </w:tcPr>
          <w:p>
            <w:pPr>
              <w:jc w:val="right"/>
              <w:ind w:right="144"/>
              <w:spacing w:after="0"/>
              <w:rPr>
                <w:sz w:val="20"/>
                <w:szCs w:val="20"/>
                <w:color w:val="auto"/>
              </w:rPr>
            </w:pPr>
            <w:r>
              <w:rPr>
                <w:rFonts w:ascii="Arial" w:cs="Arial" w:eastAsia="Arial" w:hAnsi="Arial"/>
                <w:sz w:val="14"/>
                <w:szCs w:val="14"/>
                <w:color w:val="auto"/>
              </w:rPr>
              <w:t>36,000</w:t>
            </w:r>
          </w:p>
        </w:tc>
        <w:tc>
          <w:tcPr>
            <w:tcW w:w="1160" w:type="dxa"/>
            <w:vAlign w:val="bottom"/>
          </w:tcPr>
          <w:p>
            <w:pPr>
              <w:jc w:val="right"/>
              <w:spacing w:after="0"/>
              <w:rPr>
                <w:sz w:val="20"/>
                <w:szCs w:val="20"/>
                <w:color w:val="auto"/>
              </w:rPr>
            </w:pPr>
            <w:r>
              <w:rPr>
                <w:rFonts w:ascii="Arial" w:cs="Arial" w:eastAsia="Arial" w:hAnsi="Arial"/>
                <w:sz w:val="14"/>
                <w:szCs w:val="14"/>
                <w:color w:val="auto"/>
              </w:rPr>
              <w:t>70,832,660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
        </w:trPr>
        <w:tc>
          <w:tcPr>
            <w:tcW w:w="260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16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2600" w:type="dxa"/>
            <w:vAlign w:val="bottom"/>
          </w:tcPr>
          <w:p>
            <w:pPr>
              <w:ind w:left="100"/>
              <w:spacing w:after="0"/>
              <w:rPr>
                <w:sz w:val="20"/>
                <w:szCs w:val="20"/>
                <w:color w:val="auto"/>
              </w:rPr>
            </w:pPr>
            <w:r>
              <w:rPr>
                <w:rFonts w:ascii="Arial" w:cs="Arial" w:eastAsia="Arial" w:hAnsi="Arial"/>
                <w:sz w:val="14"/>
                <w:szCs w:val="14"/>
                <w:b w:val="1"/>
                <w:bCs w:val="1"/>
                <w:color w:val="auto"/>
              </w:rPr>
              <w:t>Mr. Canessa</w:t>
            </w:r>
          </w:p>
        </w:tc>
        <w:tc>
          <w:tcPr>
            <w:tcW w:w="1280" w:type="dxa"/>
            <w:vAlign w:val="bottom"/>
          </w:tcPr>
          <w:p>
            <w:pPr>
              <w:jc w:val="right"/>
              <w:spacing w:after="0"/>
              <w:rPr>
                <w:sz w:val="20"/>
                <w:szCs w:val="20"/>
                <w:color w:val="auto"/>
              </w:rPr>
            </w:pPr>
            <w:r>
              <w:rPr>
                <w:rFonts w:ascii="Arial" w:cs="Arial" w:eastAsia="Arial" w:hAnsi="Arial"/>
                <w:sz w:val="14"/>
                <w:szCs w:val="14"/>
                <w:color w:val="auto"/>
              </w:rPr>
              <w:t>375,000</w:t>
            </w:r>
          </w:p>
        </w:tc>
        <w:tc>
          <w:tcPr>
            <w:tcW w:w="1560" w:type="dxa"/>
            <w:vAlign w:val="bottom"/>
          </w:tcPr>
          <w:p>
            <w:pPr>
              <w:jc w:val="right"/>
              <w:ind w:right="125"/>
              <w:spacing w:after="0"/>
              <w:rPr>
                <w:sz w:val="20"/>
                <w:szCs w:val="20"/>
                <w:color w:val="auto"/>
              </w:rPr>
            </w:pPr>
            <w:r>
              <w:rPr>
                <w:rFonts w:ascii="Arial" w:cs="Arial" w:eastAsia="Arial" w:hAnsi="Arial"/>
                <w:sz w:val="14"/>
                <w:szCs w:val="14"/>
                <w:color w:val="auto"/>
              </w:rPr>
              <w:t>328,280</w:t>
            </w:r>
          </w:p>
        </w:tc>
        <w:tc>
          <w:tcPr>
            <w:tcW w:w="1660" w:type="dxa"/>
            <w:vAlign w:val="bottom"/>
          </w:tcPr>
          <w:p>
            <w:pPr>
              <w:ind w:left="620"/>
              <w:spacing w:after="0"/>
              <w:rPr>
                <w:sz w:val="20"/>
                <w:szCs w:val="20"/>
                <w:color w:val="auto"/>
              </w:rPr>
            </w:pPr>
            <w:r>
              <w:rPr>
                <w:rFonts w:ascii="Arial" w:cs="Arial" w:eastAsia="Arial" w:hAnsi="Arial"/>
                <w:sz w:val="14"/>
                <w:szCs w:val="14"/>
                <w:color w:val="auto"/>
              </w:rPr>
              <w:t>39,964,805</w:t>
            </w:r>
          </w:p>
        </w:tc>
        <w:tc>
          <w:tcPr>
            <w:tcW w:w="1200" w:type="dxa"/>
            <w:vAlign w:val="bottom"/>
          </w:tcPr>
          <w:p>
            <w:pPr>
              <w:jc w:val="right"/>
              <w:ind w:right="85"/>
              <w:spacing w:after="0"/>
              <w:rPr>
                <w:sz w:val="20"/>
                <w:szCs w:val="20"/>
                <w:color w:val="auto"/>
              </w:rPr>
            </w:pPr>
            <w:r>
              <w:rPr>
                <w:rFonts w:ascii="Arial" w:cs="Arial" w:eastAsia="Arial" w:hAnsi="Arial"/>
                <w:sz w:val="14"/>
                <w:szCs w:val="14"/>
                <w:color w:val="auto"/>
              </w:rPr>
              <w:t>—</w:t>
            </w:r>
          </w:p>
        </w:tc>
        <w:tc>
          <w:tcPr>
            <w:tcW w:w="1640" w:type="dxa"/>
            <w:vAlign w:val="bottom"/>
          </w:tcPr>
          <w:p>
            <w:pPr>
              <w:jc w:val="right"/>
              <w:ind w:right="144"/>
              <w:spacing w:after="0"/>
              <w:rPr>
                <w:sz w:val="20"/>
                <w:szCs w:val="20"/>
                <w:color w:val="auto"/>
              </w:rPr>
            </w:pPr>
            <w:r>
              <w:rPr>
                <w:rFonts w:ascii="Arial" w:cs="Arial" w:eastAsia="Arial" w:hAnsi="Arial"/>
                <w:sz w:val="14"/>
                <w:szCs w:val="14"/>
                <w:color w:val="auto"/>
              </w:rPr>
              <w:t>36,000</w:t>
            </w:r>
          </w:p>
        </w:tc>
        <w:tc>
          <w:tcPr>
            <w:tcW w:w="1160" w:type="dxa"/>
            <w:vAlign w:val="bottom"/>
          </w:tcPr>
          <w:p>
            <w:pPr>
              <w:jc w:val="right"/>
              <w:spacing w:after="0"/>
              <w:rPr>
                <w:sz w:val="20"/>
                <w:szCs w:val="20"/>
                <w:color w:val="auto"/>
              </w:rPr>
            </w:pPr>
            <w:r>
              <w:rPr>
                <w:rFonts w:ascii="Arial" w:cs="Arial" w:eastAsia="Arial" w:hAnsi="Arial"/>
                <w:sz w:val="14"/>
                <w:szCs w:val="14"/>
                <w:color w:val="auto"/>
              </w:rPr>
              <w:t>40,704,086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260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16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2600" w:type="dxa"/>
            <w:vAlign w:val="bottom"/>
          </w:tcPr>
          <w:p>
            <w:pPr>
              <w:ind w:left="100"/>
              <w:spacing w:after="0"/>
              <w:rPr>
                <w:sz w:val="20"/>
                <w:szCs w:val="20"/>
                <w:color w:val="auto"/>
              </w:rPr>
            </w:pPr>
            <w:r>
              <w:rPr>
                <w:rFonts w:ascii="Arial" w:cs="Arial" w:eastAsia="Arial" w:hAnsi="Arial"/>
                <w:sz w:val="14"/>
                <w:szCs w:val="14"/>
                <w:b w:val="1"/>
                <w:bCs w:val="1"/>
                <w:color w:val="auto"/>
              </w:rPr>
              <w:t>Dr. Sinha</w:t>
            </w:r>
          </w:p>
        </w:tc>
        <w:tc>
          <w:tcPr>
            <w:tcW w:w="1280" w:type="dxa"/>
            <w:vAlign w:val="bottom"/>
          </w:tcPr>
          <w:p>
            <w:pPr>
              <w:jc w:val="right"/>
              <w:spacing w:after="0"/>
              <w:rPr>
                <w:sz w:val="20"/>
                <w:szCs w:val="20"/>
                <w:color w:val="auto"/>
              </w:rPr>
            </w:pPr>
            <w:r>
              <w:rPr>
                <w:rFonts w:ascii="Arial" w:cs="Arial" w:eastAsia="Arial" w:hAnsi="Arial"/>
                <w:sz w:val="14"/>
                <w:szCs w:val="14"/>
                <w:color w:val="auto"/>
              </w:rPr>
              <w:t>375,000</w:t>
            </w:r>
          </w:p>
        </w:tc>
        <w:tc>
          <w:tcPr>
            <w:tcW w:w="1560" w:type="dxa"/>
            <w:vAlign w:val="bottom"/>
          </w:tcPr>
          <w:p>
            <w:pPr>
              <w:jc w:val="right"/>
              <w:ind w:right="125"/>
              <w:spacing w:after="0"/>
              <w:rPr>
                <w:sz w:val="20"/>
                <w:szCs w:val="20"/>
                <w:color w:val="auto"/>
              </w:rPr>
            </w:pPr>
            <w:r>
              <w:rPr>
                <w:rFonts w:ascii="Arial" w:cs="Arial" w:eastAsia="Arial" w:hAnsi="Arial"/>
                <w:sz w:val="14"/>
                <w:szCs w:val="14"/>
                <w:color w:val="auto"/>
              </w:rPr>
              <w:t>328,281</w:t>
            </w:r>
          </w:p>
        </w:tc>
        <w:tc>
          <w:tcPr>
            <w:tcW w:w="1660" w:type="dxa"/>
            <w:vAlign w:val="bottom"/>
          </w:tcPr>
          <w:p>
            <w:pPr>
              <w:ind w:left="620"/>
              <w:spacing w:after="0"/>
              <w:rPr>
                <w:sz w:val="20"/>
                <w:szCs w:val="20"/>
                <w:color w:val="auto"/>
              </w:rPr>
            </w:pPr>
            <w:r>
              <w:rPr>
                <w:rFonts w:ascii="Arial" w:cs="Arial" w:eastAsia="Arial" w:hAnsi="Arial"/>
                <w:sz w:val="14"/>
                <w:szCs w:val="14"/>
                <w:color w:val="auto"/>
              </w:rPr>
              <w:t>68,349,025</w:t>
            </w:r>
          </w:p>
        </w:tc>
        <w:tc>
          <w:tcPr>
            <w:tcW w:w="1200" w:type="dxa"/>
            <w:vAlign w:val="bottom"/>
          </w:tcPr>
          <w:p>
            <w:pPr>
              <w:jc w:val="right"/>
              <w:ind w:right="125"/>
              <w:spacing w:after="0"/>
              <w:rPr>
                <w:sz w:val="20"/>
                <w:szCs w:val="20"/>
                <w:color w:val="auto"/>
              </w:rPr>
            </w:pPr>
            <w:r>
              <w:rPr>
                <w:rFonts w:ascii="Arial" w:cs="Arial" w:eastAsia="Arial" w:hAnsi="Arial"/>
                <w:sz w:val="14"/>
                <w:szCs w:val="14"/>
                <w:color w:val="auto"/>
              </w:rPr>
              <w:t>6,387,833</w:t>
            </w:r>
          </w:p>
        </w:tc>
        <w:tc>
          <w:tcPr>
            <w:tcW w:w="1640" w:type="dxa"/>
            <w:vAlign w:val="bottom"/>
          </w:tcPr>
          <w:p>
            <w:pPr>
              <w:jc w:val="right"/>
              <w:ind w:right="144"/>
              <w:spacing w:after="0"/>
              <w:rPr>
                <w:sz w:val="20"/>
                <w:szCs w:val="20"/>
                <w:color w:val="auto"/>
              </w:rPr>
            </w:pPr>
            <w:r>
              <w:rPr>
                <w:rFonts w:ascii="Arial" w:cs="Arial" w:eastAsia="Arial" w:hAnsi="Arial"/>
                <w:sz w:val="14"/>
                <w:szCs w:val="14"/>
                <w:color w:val="auto"/>
              </w:rPr>
              <w:t>36,000</w:t>
            </w:r>
          </w:p>
        </w:tc>
        <w:tc>
          <w:tcPr>
            <w:tcW w:w="1160" w:type="dxa"/>
            <w:vAlign w:val="bottom"/>
          </w:tcPr>
          <w:p>
            <w:pPr>
              <w:jc w:val="right"/>
              <w:spacing w:after="0"/>
              <w:rPr>
                <w:sz w:val="20"/>
                <w:szCs w:val="20"/>
                <w:color w:val="auto"/>
              </w:rPr>
            </w:pPr>
            <w:r>
              <w:rPr>
                <w:rFonts w:ascii="Arial" w:cs="Arial" w:eastAsia="Arial" w:hAnsi="Arial"/>
                <w:sz w:val="14"/>
                <w:szCs w:val="14"/>
                <w:color w:val="auto"/>
              </w:rPr>
              <w:t>75,476,139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260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16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2600" w:type="dxa"/>
            <w:vAlign w:val="bottom"/>
          </w:tcPr>
          <w:p>
            <w:pPr>
              <w:ind w:left="100"/>
              <w:spacing w:after="0"/>
              <w:rPr>
                <w:sz w:val="20"/>
                <w:szCs w:val="20"/>
                <w:color w:val="auto"/>
              </w:rPr>
            </w:pPr>
            <w:r>
              <w:rPr>
                <w:rFonts w:ascii="Arial" w:cs="Arial" w:eastAsia="Arial" w:hAnsi="Arial"/>
                <w:sz w:val="14"/>
                <w:szCs w:val="14"/>
                <w:b w:val="1"/>
                <w:bCs w:val="1"/>
                <w:color w:val="auto"/>
              </w:rPr>
              <w:t>Mr. Rajic</w:t>
            </w:r>
          </w:p>
        </w:tc>
        <w:tc>
          <w:tcPr>
            <w:tcW w:w="1280" w:type="dxa"/>
            <w:vAlign w:val="bottom"/>
          </w:tcPr>
          <w:p>
            <w:pPr>
              <w:jc w:val="right"/>
              <w:spacing w:after="0"/>
              <w:rPr>
                <w:sz w:val="20"/>
                <w:szCs w:val="20"/>
                <w:color w:val="auto"/>
              </w:rPr>
            </w:pPr>
            <w:r>
              <w:rPr>
                <w:rFonts w:ascii="Arial" w:cs="Arial" w:eastAsia="Arial" w:hAnsi="Arial"/>
                <w:sz w:val="14"/>
                <w:szCs w:val="14"/>
                <w:color w:val="auto"/>
              </w:rPr>
              <w:t>400,000</w:t>
            </w:r>
          </w:p>
        </w:tc>
        <w:tc>
          <w:tcPr>
            <w:tcW w:w="1560" w:type="dxa"/>
            <w:vAlign w:val="bottom"/>
          </w:tcPr>
          <w:p>
            <w:pPr>
              <w:jc w:val="right"/>
              <w:ind w:right="125"/>
              <w:spacing w:after="0"/>
              <w:rPr>
                <w:sz w:val="20"/>
                <w:szCs w:val="20"/>
                <w:color w:val="auto"/>
              </w:rPr>
            </w:pPr>
            <w:r>
              <w:rPr>
                <w:rFonts w:ascii="Arial" w:cs="Arial" w:eastAsia="Arial" w:hAnsi="Arial"/>
                <w:sz w:val="14"/>
                <w:szCs w:val="14"/>
                <w:color w:val="auto"/>
              </w:rPr>
              <w:t>414,925</w:t>
            </w:r>
          </w:p>
        </w:tc>
        <w:tc>
          <w:tcPr>
            <w:tcW w:w="1660" w:type="dxa"/>
            <w:vAlign w:val="bottom"/>
          </w:tcPr>
          <w:p>
            <w:pPr>
              <w:ind w:left="620"/>
              <w:spacing w:after="0"/>
              <w:rPr>
                <w:sz w:val="20"/>
                <w:szCs w:val="20"/>
                <w:color w:val="auto"/>
              </w:rPr>
            </w:pPr>
            <w:r>
              <w:rPr>
                <w:rFonts w:ascii="Arial" w:cs="Arial" w:eastAsia="Arial" w:hAnsi="Arial"/>
                <w:sz w:val="14"/>
                <w:szCs w:val="14"/>
                <w:color w:val="auto"/>
              </w:rPr>
              <w:t>80,589,923</w:t>
            </w:r>
          </w:p>
        </w:tc>
        <w:tc>
          <w:tcPr>
            <w:tcW w:w="1200" w:type="dxa"/>
            <w:vAlign w:val="bottom"/>
          </w:tcPr>
          <w:p>
            <w:pPr>
              <w:jc w:val="right"/>
              <w:ind w:right="125"/>
              <w:spacing w:after="0"/>
              <w:rPr>
                <w:sz w:val="20"/>
                <w:szCs w:val="20"/>
                <w:color w:val="auto"/>
              </w:rPr>
            </w:pPr>
            <w:r>
              <w:rPr>
                <w:rFonts w:ascii="Arial" w:cs="Arial" w:eastAsia="Arial" w:hAnsi="Arial"/>
                <w:sz w:val="14"/>
                <w:szCs w:val="14"/>
                <w:color w:val="auto"/>
              </w:rPr>
              <w:t>15,138,500</w:t>
            </w:r>
          </w:p>
        </w:tc>
        <w:tc>
          <w:tcPr>
            <w:tcW w:w="1640" w:type="dxa"/>
            <w:vAlign w:val="bottom"/>
          </w:tcPr>
          <w:p>
            <w:pPr>
              <w:jc w:val="right"/>
              <w:ind w:right="144"/>
              <w:spacing w:after="0"/>
              <w:rPr>
                <w:sz w:val="20"/>
                <w:szCs w:val="20"/>
                <w:color w:val="auto"/>
              </w:rPr>
            </w:pPr>
            <w:r>
              <w:rPr>
                <w:rFonts w:ascii="Arial" w:cs="Arial" w:eastAsia="Arial" w:hAnsi="Arial"/>
                <w:sz w:val="14"/>
                <w:szCs w:val="14"/>
                <w:color w:val="auto"/>
              </w:rPr>
              <w:t>36,000</w:t>
            </w:r>
          </w:p>
        </w:tc>
        <w:tc>
          <w:tcPr>
            <w:tcW w:w="1160" w:type="dxa"/>
            <w:vAlign w:val="bottom"/>
          </w:tcPr>
          <w:p>
            <w:pPr>
              <w:jc w:val="right"/>
              <w:spacing w:after="0"/>
              <w:rPr>
                <w:sz w:val="20"/>
                <w:szCs w:val="20"/>
                <w:color w:val="auto"/>
              </w:rPr>
            </w:pPr>
            <w:r>
              <w:rPr>
                <w:rFonts w:ascii="Arial" w:cs="Arial" w:eastAsia="Arial" w:hAnsi="Arial"/>
                <w:sz w:val="14"/>
                <w:szCs w:val="14"/>
                <w:color w:val="auto"/>
              </w:rPr>
              <w:t>96,579,348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260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16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2600" w:type="dxa"/>
            <w:vAlign w:val="bottom"/>
          </w:tcPr>
          <w:p>
            <w:pPr>
              <w:ind w:left="100"/>
              <w:spacing w:after="0"/>
              <w:rPr>
                <w:sz w:val="20"/>
                <w:szCs w:val="20"/>
                <w:color w:val="auto"/>
              </w:rPr>
            </w:pPr>
            <w:r>
              <w:rPr>
                <w:rFonts w:ascii="Arial" w:cs="Arial" w:eastAsia="Arial" w:hAnsi="Arial"/>
                <w:sz w:val="14"/>
                <w:szCs w:val="14"/>
                <w:b w:val="1"/>
                <w:bCs w:val="1"/>
                <w:color w:val="auto"/>
              </w:rPr>
              <w:t>Mr. Schlossman</w:t>
            </w:r>
          </w:p>
        </w:tc>
        <w:tc>
          <w:tcPr>
            <w:tcW w:w="1280" w:type="dxa"/>
            <w:vAlign w:val="bottom"/>
          </w:tcPr>
          <w:p>
            <w:pPr>
              <w:jc w:val="right"/>
              <w:spacing w:after="0"/>
              <w:rPr>
                <w:sz w:val="20"/>
                <w:szCs w:val="20"/>
                <w:color w:val="auto"/>
              </w:rPr>
            </w:pPr>
            <w:r>
              <w:rPr>
                <w:rFonts w:ascii="Arial" w:cs="Arial" w:eastAsia="Arial" w:hAnsi="Arial"/>
                <w:sz w:val="14"/>
                <w:szCs w:val="14"/>
                <w:color w:val="auto"/>
              </w:rPr>
              <w:t>325,000</w:t>
            </w:r>
          </w:p>
        </w:tc>
        <w:tc>
          <w:tcPr>
            <w:tcW w:w="1560" w:type="dxa"/>
            <w:vAlign w:val="bottom"/>
          </w:tcPr>
          <w:p>
            <w:pPr>
              <w:jc w:val="right"/>
              <w:ind w:right="125"/>
              <w:spacing w:after="0"/>
              <w:rPr>
                <w:sz w:val="20"/>
                <w:szCs w:val="20"/>
                <w:color w:val="auto"/>
              </w:rPr>
            </w:pPr>
            <w:r>
              <w:rPr>
                <w:rFonts w:ascii="Arial" w:cs="Arial" w:eastAsia="Arial" w:hAnsi="Arial"/>
                <w:sz w:val="14"/>
                <w:szCs w:val="14"/>
                <w:color w:val="auto"/>
              </w:rPr>
              <w:t>216,666</w:t>
            </w:r>
          </w:p>
        </w:tc>
        <w:tc>
          <w:tcPr>
            <w:tcW w:w="1660" w:type="dxa"/>
            <w:vAlign w:val="bottom"/>
          </w:tcPr>
          <w:p>
            <w:pPr>
              <w:ind w:left="620"/>
              <w:spacing w:after="0"/>
              <w:rPr>
                <w:sz w:val="20"/>
                <w:szCs w:val="20"/>
                <w:color w:val="auto"/>
              </w:rPr>
            </w:pPr>
            <w:r>
              <w:rPr>
                <w:rFonts w:ascii="Arial" w:cs="Arial" w:eastAsia="Arial" w:hAnsi="Arial"/>
                <w:sz w:val="14"/>
                <w:szCs w:val="14"/>
                <w:color w:val="auto"/>
              </w:rPr>
              <w:t>31,455,060</w:t>
            </w:r>
          </w:p>
        </w:tc>
        <w:tc>
          <w:tcPr>
            <w:tcW w:w="1200" w:type="dxa"/>
            <w:vAlign w:val="bottom"/>
          </w:tcPr>
          <w:p>
            <w:pPr>
              <w:jc w:val="right"/>
              <w:ind w:right="125"/>
              <w:spacing w:after="0"/>
              <w:rPr>
                <w:sz w:val="20"/>
                <w:szCs w:val="20"/>
                <w:color w:val="auto"/>
              </w:rPr>
            </w:pPr>
            <w:r>
              <w:rPr>
                <w:rFonts w:ascii="Arial" w:cs="Arial" w:eastAsia="Arial" w:hAnsi="Arial"/>
                <w:sz w:val="14"/>
                <w:szCs w:val="14"/>
                <w:color w:val="auto"/>
              </w:rPr>
              <w:t>—</w:t>
            </w:r>
          </w:p>
        </w:tc>
        <w:tc>
          <w:tcPr>
            <w:tcW w:w="1640" w:type="dxa"/>
            <w:vAlign w:val="bottom"/>
          </w:tcPr>
          <w:p>
            <w:pPr>
              <w:jc w:val="right"/>
              <w:ind w:right="144"/>
              <w:spacing w:after="0"/>
              <w:rPr>
                <w:sz w:val="20"/>
                <w:szCs w:val="20"/>
                <w:color w:val="auto"/>
              </w:rPr>
            </w:pPr>
            <w:r>
              <w:rPr>
                <w:rFonts w:ascii="Arial" w:cs="Arial" w:eastAsia="Arial" w:hAnsi="Arial"/>
                <w:sz w:val="14"/>
                <w:szCs w:val="14"/>
                <w:color w:val="auto"/>
              </w:rPr>
              <w:t>36,000</w:t>
            </w:r>
          </w:p>
        </w:tc>
        <w:tc>
          <w:tcPr>
            <w:tcW w:w="1160" w:type="dxa"/>
            <w:vAlign w:val="bottom"/>
          </w:tcPr>
          <w:p>
            <w:pPr>
              <w:jc w:val="right"/>
              <w:spacing w:after="0"/>
              <w:rPr>
                <w:sz w:val="20"/>
                <w:szCs w:val="20"/>
                <w:color w:val="auto"/>
              </w:rPr>
            </w:pPr>
            <w:r>
              <w:rPr>
                <w:rFonts w:ascii="Arial" w:cs="Arial" w:eastAsia="Arial" w:hAnsi="Arial"/>
                <w:sz w:val="14"/>
                <w:szCs w:val="14"/>
                <w:color w:val="auto"/>
              </w:rPr>
              <w:t>32,032,726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260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16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6305550</wp:posOffset>
            </wp:positionH>
            <wp:positionV relativeFrom="paragraph">
              <wp:posOffset>-1490980</wp:posOffset>
            </wp:positionV>
            <wp:extent cx="8255" cy="54864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8255" cy="548640"/>
                    </a:xfrm>
                    <a:prstGeom prst="rect">
                      <a:avLst/>
                    </a:prstGeom>
                    <a:noFill/>
                  </pic:spPr>
                </pic:pic>
              </a:graphicData>
            </a:graphic>
          </wp:anchor>
        </w:drawing>
        <w:drawing>
          <wp:anchor simplePos="0" relativeHeight="251657728" behindDoc="1" locked="0" layoutInCell="0" allowOverlap="1">
            <wp:simplePos x="0" y="0"/>
            <wp:positionH relativeFrom="column">
              <wp:posOffset>2550795</wp:posOffset>
            </wp:positionH>
            <wp:positionV relativeFrom="paragraph">
              <wp:posOffset>-1490980</wp:posOffset>
            </wp:positionV>
            <wp:extent cx="8890" cy="54864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8890" cy="548640"/>
                    </a:xfrm>
                    <a:prstGeom prst="rect">
                      <a:avLst/>
                    </a:prstGeom>
                    <a:noFill/>
                  </pic:spPr>
                </pic:pic>
              </a:graphicData>
            </a:graphic>
          </wp:anchor>
        </w:drawing>
        <w:drawing>
          <wp:anchor simplePos="0" relativeHeight="251657728" behindDoc="1" locked="0" layoutInCell="0" allowOverlap="1">
            <wp:simplePos x="0" y="0"/>
            <wp:positionH relativeFrom="column">
              <wp:posOffset>1651000</wp:posOffset>
            </wp:positionH>
            <wp:positionV relativeFrom="paragraph">
              <wp:posOffset>-1490980</wp:posOffset>
            </wp:positionV>
            <wp:extent cx="8890" cy="54864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8890" cy="548640"/>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-1490980</wp:posOffset>
            </wp:positionV>
            <wp:extent cx="1825625" cy="54864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825625" cy="548640"/>
                    </a:xfrm>
                    <a:prstGeom prst="rect">
                      <a:avLst/>
                    </a:prstGeom>
                    <a:noFill/>
                  </pic:spPr>
                </pic:pic>
              </a:graphicData>
            </a:graphic>
          </wp:anchor>
        </w:drawing>
      </w:r>
    </w:p>
    <w:p>
      <w:pPr>
        <w:spacing w:after="0" w:line="163" w:lineRule="exact"/>
        <w:rPr>
          <w:sz w:val="20"/>
          <w:szCs w:val="20"/>
          <w:color w:val="auto"/>
        </w:rPr>
      </w:pPr>
    </w:p>
    <w:p>
      <w:pPr>
        <w:ind w:left="340" w:right="140" w:hanging="332"/>
        <w:spacing w:after="0" w:line="239" w:lineRule="auto"/>
        <w:tabs>
          <w:tab w:leader="none" w:pos="332" w:val="left"/>
        </w:tabs>
        <w:numPr>
          <w:ilvl w:val="0"/>
          <w:numId w:val="52"/>
        </w:numPr>
        <w:rPr>
          <w:rFonts w:ascii="Arial" w:cs="Arial" w:eastAsia="Arial" w:hAnsi="Arial"/>
          <w:sz w:val="13"/>
          <w:szCs w:val="13"/>
          <w:color w:val="auto"/>
        </w:rPr>
      </w:pPr>
      <w:r>
        <w:rPr>
          <w:rFonts w:ascii="Arial" w:cs="Arial" w:eastAsia="Arial" w:hAnsi="Arial"/>
          <w:sz w:val="13"/>
          <w:szCs w:val="13"/>
          <w:color w:val="auto"/>
        </w:rPr>
        <w:t>These amounts reflect the aggregate market value of the unvested shares of our common stock underlying outstanding restricted stock unit awards. The aggregate market value is equal to the product obtained by multiplying (i) the number of unvested shares of our common stock subject to outstanding restricted stock unit awards as of July 31, 2021, by (ii) $235.91 (the closing market price of our common stock on the Nasdaq Global Select Market on July 30, 2021, the last trading day in the fiscal year ended July 31, 2021). For performance-based restricted stock unit awards, the assumed number of unvested shares is equal to the target number of shares subject to such award.</w:t>
      </w:r>
    </w:p>
    <w:p>
      <w:pPr>
        <w:spacing w:after="0" w:line="52" w:lineRule="exact"/>
        <w:rPr>
          <w:rFonts w:ascii="Arial" w:cs="Arial" w:eastAsia="Arial" w:hAnsi="Arial"/>
          <w:sz w:val="13"/>
          <w:szCs w:val="13"/>
          <w:color w:val="auto"/>
        </w:rPr>
      </w:pPr>
    </w:p>
    <w:p>
      <w:pPr>
        <w:ind w:left="340" w:right="20" w:hanging="332"/>
        <w:spacing w:after="0"/>
        <w:tabs>
          <w:tab w:leader="none" w:pos="332" w:val="left"/>
        </w:tabs>
        <w:numPr>
          <w:ilvl w:val="0"/>
          <w:numId w:val="52"/>
        </w:numPr>
        <w:rPr>
          <w:rFonts w:ascii="Arial" w:cs="Arial" w:eastAsia="Arial" w:hAnsi="Arial"/>
          <w:sz w:val="13"/>
          <w:szCs w:val="13"/>
          <w:color w:val="auto"/>
        </w:rPr>
      </w:pPr>
      <w:r>
        <w:rPr>
          <w:rFonts w:ascii="Arial" w:cs="Arial" w:eastAsia="Arial" w:hAnsi="Arial"/>
          <w:sz w:val="13"/>
          <w:szCs w:val="13"/>
          <w:color w:val="auto"/>
        </w:rPr>
        <w:t>These amounts reflect the aggregate market value of the unvested shares of our common stock underlying outstanding options. The aggregate market value is equal to (i) the product obtained by multiplying (x) the number of unvested shares of our common stock subject to outstanding options as of July 31, 2021, by (y) $235.91 (the closing market price of our common stock on the Nasdaq Global Select Market on July 30, 2021, the last trading day in the fiscal year ended July 31, 2021), minus (ii) the aggregate exercise price for such unvested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224790</wp:posOffset>
            </wp:positionV>
            <wp:extent cx="342900" cy="21463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342900" cy="214630"/>
                    </a:xfrm>
                    <a:prstGeom prst="rect">
                      <a:avLst/>
                    </a:prstGeom>
                    <a:noFill/>
                  </pic:spPr>
                </pic:pic>
              </a:graphicData>
            </a:graphic>
          </wp:anchor>
        </w:drawing>
      </w:r>
    </w:p>
    <w:p>
      <w:pPr>
        <w:spacing w:after="0" w:line="272" w:lineRule="exact"/>
        <w:rPr>
          <w:sz w:val="20"/>
          <w:szCs w:val="20"/>
          <w:color w:val="auto"/>
        </w:rPr>
      </w:pPr>
    </w:p>
    <w:p>
      <w:pPr>
        <w:ind w:left="5540"/>
        <w:spacing w:after="0"/>
        <w:tabs>
          <w:tab w:leader="none" w:pos="9780" w:val="left"/>
        </w:tabs>
        <w:rPr>
          <w:sz w:val="20"/>
          <w:szCs w:val="20"/>
          <w:color w:val="auto"/>
        </w:rPr>
      </w:pPr>
      <w:r>
        <w:rPr>
          <w:rFonts w:ascii="Arial" w:cs="Arial" w:eastAsia="Arial" w:hAnsi="Arial"/>
          <w:sz w:val="29"/>
          <w:szCs w:val="29"/>
          <w:color w:val="auto"/>
          <w:vertAlign w:val="superscript"/>
        </w:rPr>
        <w:t>63</w:t>
      </w:r>
      <w:r>
        <w:rPr>
          <w:sz w:val="20"/>
          <w:szCs w:val="20"/>
          <w:color w:val="auto"/>
        </w:rPr>
        <w:tab/>
      </w:r>
      <w:r>
        <w:rPr>
          <w:rFonts w:ascii="Arial" w:cs="Arial" w:eastAsia="Arial" w:hAnsi="Arial"/>
          <w:sz w:val="14"/>
          <w:szCs w:val="14"/>
          <w:color w:val="auto"/>
        </w:rPr>
        <w:t>2021 Proxy Statement</w:t>
      </w:r>
    </w:p>
    <w:p>
      <w:pPr>
        <w:sectPr>
          <w:pgSz w:w="11900" w:h="16838" w:orient="portrait"/>
          <w:cols w:equalWidth="0" w:num="1">
            <w:col w:w="11240"/>
          </w:cols>
          <w:pgMar w:left="320" w:top="172" w:right="339" w:bottom="1440" w:gutter="0" w:footer="0" w:header="0"/>
        </w:sectPr>
      </w:pPr>
    </w:p>
    <w:bookmarkStart w:id="67" w:name="page68"/>
    <w:bookmarkEnd w:id="67"/>
    <w:p>
      <w:pPr>
        <w:ind w:left="280"/>
        <w:spacing w:after="0"/>
        <w:rPr>
          <w:sz w:val="20"/>
          <w:szCs w:val="20"/>
          <w:color w:val="auto"/>
        </w:rPr>
      </w:pPr>
      <w:r>
        <w:rPr>
          <w:rFonts w:ascii="Arial" w:cs="Arial" w:eastAsia="Arial" w:hAnsi="Arial"/>
          <w:sz w:val="13"/>
          <w:szCs w:val="13"/>
          <w:b w:val="1"/>
          <w:bCs w:val="1"/>
          <w:color w:val="929292"/>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7470" cy="6032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7470" cy="60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b w:val="1"/>
          <w:bCs w:val="1"/>
          <w:color w:val="009ADA"/>
        </w:rPr>
        <w:t>Equity Compensation Plan Information</w:t>
      </w:r>
    </w:p>
    <w:p>
      <w:pPr>
        <w:spacing w:after="0" w:line="213" w:lineRule="exact"/>
        <w:rPr>
          <w:sz w:val="20"/>
          <w:szCs w:val="20"/>
          <w:color w:val="auto"/>
        </w:rPr>
      </w:pPr>
    </w:p>
    <w:p>
      <w:pPr>
        <w:ind w:right="580"/>
        <w:spacing w:after="0" w:line="348" w:lineRule="auto"/>
        <w:rPr>
          <w:sz w:val="20"/>
          <w:szCs w:val="20"/>
          <w:color w:val="auto"/>
        </w:rPr>
      </w:pPr>
      <w:r>
        <w:rPr>
          <w:rFonts w:ascii="Arial" w:cs="Arial" w:eastAsia="Arial" w:hAnsi="Arial"/>
          <w:sz w:val="16"/>
          <w:szCs w:val="16"/>
          <w:color w:val="auto"/>
        </w:rPr>
        <w:t>The following table provides information as of July 31, 2021 with respect to shares of our common stock that may be issued under our existing equity compensation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302895</wp:posOffset>
            </wp:positionV>
            <wp:extent cx="8255" cy="78867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8255" cy="78867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302895</wp:posOffset>
            </wp:positionV>
            <wp:extent cx="8255" cy="78867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8255" cy="788670"/>
                    </a:xfrm>
                    <a:prstGeom prst="rect">
                      <a:avLst/>
                    </a:prstGeom>
                    <a:noFill/>
                  </pic:spPr>
                </pic:pic>
              </a:graphicData>
            </a:graphic>
          </wp:anchor>
        </w:drawing>
        <w:drawing>
          <wp:anchor simplePos="0" relativeHeight="251657728" behindDoc="1" locked="0" layoutInCell="0" allowOverlap="1">
            <wp:simplePos x="0" y="0"/>
            <wp:positionH relativeFrom="column">
              <wp:posOffset>1796415</wp:posOffset>
            </wp:positionH>
            <wp:positionV relativeFrom="paragraph">
              <wp:posOffset>302895</wp:posOffset>
            </wp:positionV>
            <wp:extent cx="8890" cy="78867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8890" cy="78867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820" w:type="dxa"/>
            <w:vAlign w:val="bottom"/>
            <w:shd w:val="clear" w:color="auto" w:fill="000000"/>
          </w:tcPr>
          <w:p>
            <w:pPr>
              <w:spacing w:after="0"/>
              <w:rPr>
                <w:sz w:val="17"/>
                <w:szCs w:val="17"/>
                <w:color w:val="auto"/>
              </w:rPr>
            </w:pPr>
          </w:p>
        </w:tc>
        <w:tc>
          <w:tcPr>
            <w:tcW w:w="3120" w:type="dxa"/>
            <w:vAlign w:val="bottom"/>
            <w:shd w:val="clear" w:color="auto" w:fill="2B338D"/>
          </w:tcPr>
          <w:p>
            <w:pPr>
              <w:spacing w:after="0"/>
              <w:rPr>
                <w:sz w:val="17"/>
                <w:szCs w:val="17"/>
                <w:color w:val="auto"/>
              </w:rPr>
            </w:pPr>
          </w:p>
        </w:tc>
        <w:tc>
          <w:tcPr>
            <w:tcW w:w="2140" w:type="dxa"/>
            <w:vAlign w:val="bottom"/>
            <w:shd w:val="clear" w:color="auto" w:fill="009ADA"/>
          </w:tcPr>
          <w:p>
            <w:pPr>
              <w:spacing w:after="0"/>
              <w:rPr>
                <w:sz w:val="17"/>
                <w:szCs w:val="17"/>
                <w:color w:val="auto"/>
              </w:rPr>
            </w:pPr>
          </w:p>
        </w:tc>
        <w:tc>
          <w:tcPr>
            <w:tcW w:w="140" w:type="dxa"/>
            <w:vAlign w:val="bottom"/>
            <w:shd w:val="clear" w:color="auto" w:fill="009ADA"/>
          </w:tcPr>
          <w:p>
            <w:pPr>
              <w:spacing w:after="0"/>
              <w:rPr>
                <w:sz w:val="17"/>
                <w:szCs w:val="17"/>
                <w:color w:val="auto"/>
              </w:rPr>
            </w:pPr>
          </w:p>
        </w:tc>
        <w:tc>
          <w:tcPr>
            <w:tcW w:w="3020" w:type="dxa"/>
            <w:vAlign w:val="bottom"/>
            <w:shd w:val="clear" w:color="auto" w:fill="929292"/>
          </w:tcPr>
          <w:p>
            <w:pPr>
              <w:jc w:val="center"/>
              <w:spacing w:after="0"/>
              <w:rPr>
                <w:sz w:val="20"/>
                <w:szCs w:val="20"/>
                <w:color w:val="auto"/>
              </w:rPr>
            </w:pPr>
            <w:r>
              <w:rPr>
                <w:rFonts w:ascii="Arial" w:cs="Arial" w:eastAsia="Arial" w:hAnsi="Arial"/>
                <w:sz w:val="16"/>
                <w:szCs w:val="16"/>
                <w:b w:val="1"/>
                <w:bCs w:val="1"/>
                <w:color w:val="FFFFFF"/>
              </w:rPr>
              <w:t>Number of Securities Remaining</w:t>
            </w:r>
          </w:p>
        </w:tc>
        <w:tc>
          <w:tcPr>
            <w:tcW w:w="0" w:type="dxa"/>
            <w:vAlign w:val="bottom"/>
          </w:tcPr>
          <w:p>
            <w:pPr>
              <w:spacing w:after="0"/>
              <w:rPr>
                <w:sz w:val="1"/>
                <w:szCs w:val="1"/>
                <w:color w:val="auto"/>
              </w:rPr>
            </w:pPr>
          </w:p>
        </w:tc>
      </w:tr>
      <w:tr>
        <w:trPr>
          <w:trHeight w:val="189"/>
        </w:trPr>
        <w:tc>
          <w:tcPr>
            <w:tcW w:w="2820" w:type="dxa"/>
            <w:vAlign w:val="bottom"/>
            <w:shd w:val="clear" w:color="auto" w:fill="000000"/>
          </w:tcPr>
          <w:p>
            <w:pPr>
              <w:spacing w:after="0"/>
              <w:rPr>
                <w:sz w:val="16"/>
                <w:szCs w:val="16"/>
                <w:color w:val="auto"/>
              </w:rPr>
            </w:pPr>
          </w:p>
        </w:tc>
        <w:tc>
          <w:tcPr>
            <w:tcW w:w="3120" w:type="dxa"/>
            <w:vAlign w:val="bottom"/>
            <w:shd w:val="clear" w:color="auto" w:fill="2B338D"/>
          </w:tcPr>
          <w:p>
            <w:pPr>
              <w:jc w:val="center"/>
              <w:spacing w:after="0"/>
              <w:rPr>
                <w:sz w:val="20"/>
                <w:szCs w:val="20"/>
                <w:color w:val="auto"/>
              </w:rPr>
            </w:pPr>
            <w:r>
              <w:rPr>
                <w:rFonts w:ascii="Arial" w:cs="Arial" w:eastAsia="Arial" w:hAnsi="Arial"/>
                <w:sz w:val="16"/>
                <w:szCs w:val="16"/>
                <w:b w:val="1"/>
                <w:bCs w:val="1"/>
                <w:color w:val="FFFFFF"/>
              </w:rPr>
              <w:t>Number of Securities to be</w:t>
            </w:r>
          </w:p>
        </w:tc>
        <w:tc>
          <w:tcPr>
            <w:tcW w:w="2140" w:type="dxa"/>
            <w:vAlign w:val="bottom"/>
            <w:shd w:val="clear" w:color="auto" w:fill="009ADA"/>
          </w:tcPr>
          <w:p>
            <w:pPr>
              <w:jc w:val="right"/>
              <w:spacing w:after="0"/>
              <w:rPr>
                <w:sz w:val="20"/>
                <w:szCs w:val="20"/>
                <w:color w:val="auto"/>
              </w:rPr>
            </w:pPr>
            <w:r>
              <w:rPr>
                <w:rFonts w:ascii="Arial" w:cs="Arial" w:eastAsia="Arial" w:hAnsi="Arial"/>
                <w:sz w:val="16"/>
                <w:szCs w:val="16"/>
                <w:b w:val="1"/>
                <w:bCs w:val="1"/>
                <w:color w:val="FFFFFF"/>
              </w:rPr>
              <w:t>Weighted Average</w:t>
            </w:r>
          </w:p>
        </w:tc>
        <w:tc>
          <w:tcPr>
            <w:tcW w:w="140" w:type="dxa"/>
            <w:vAlign w:val="bottom"/>
            <w:shd w:val="clear" w:color="auto" w:fill="009ADA"/>
          </w:tcPr>
          <w:p>
            <w:pPr>
              <w:spacing w:after="0"/>
              <w:rPr>
                <w:sz w:val="16"/>
                <w:szCs w:val="16"/>
                <w:color w:val="auto"/>
              </w:rPr>
            </w:pPr>
          </w:p>
        </w:tc>
        <w:tc>
          <w:tcPr>
            <w:tcW w:w="3020" w:type="dxa"/>
            <w:vAlign w:val="bottom"/>
            <w:shd w:val="clear" w:color="auto" w:fill="929292"/>
          </w:tcPr>
          <w:p>
            <w:pPr>
              <w:jc w:val="center"/>
              <w:spacing w:after="0"/>
              <w:rPr>
                <w:sz w:val="20"/>
                <w:szCs w:val="20"/>
                <w:color w:val="auto"/>
              </w:rPr>
            </w:pPr>
            <w:r>
              <w:rPr>
                <w:rFonts w:ascii="Arial" w:cs="Arial" w:eastAsia="Arial" w:hAnsi="Arial"/>
                <w:sz w:val="16"/>
                <w:szCs w:val="16"/>
                <w:b w:val="1"/>
                <w:bCs w:val="1"/>
                <w:color w:val="FFFFFF"/>
              </w:rPr>
              <w:t>Available for Future Issuance Under</w:t>
            </w:r>
          </w:p>
        </w:tc>
        <w:tc>
          <w:tcPr>
            <w:tcW w:w="0" w:type="dxa"/>
            <w:vAlign w:val="bottom"/>
          </w:tcPr>
          <w:p>
            <w:pPr>
              <w:spacing w:after="0"/>
              <w:rPr>
                <w:sz w:val="1"/>
                <w:szCs w:val="1"/>
                <w:color w:val="auto"/>
              </w:rPr>
            </w:pPr>
          </w:p>
        </w:tc>
      </w:tr>
      <w:tr>
        <w:trPr>
          <w:trHeight w:val="189"/>
        </w:trPr>
        <w:tc>
          <w:tcPr>
            <w:tcW w:w="2820" w:type="dxa"/>
            <w:vAlign w:val="bottom"/>
            <w:shd w:val="clear" w:color="auto" w:fill="000000"/>
          </w:tcPr>
          <w:p>
            <w:pPr>
              <w:spacing w:after="0"/>
              <w:rPr>
                <w:sz w:val="16"/>
                <w:szCs w:val="16"/>
                <w:color w:val="auto"/>
              </w:rPr>
            </w:pPr>
          </w:p>
        </w:tc>
        <w:tc>
          <w:tcPr>
            <w:tcW w:w="3120" w:type="dxa"/>
            <w:vAlign w:val="bottom"/>
            <w:shd w:val="clear" w:color="auto" w:fill="2B338D"/>
          </w:tcPr>
          <w:p>
            <w:pPr>
              <w:jc w:val="center"/>
              <w:spacing w:after="0"/>
              <w:rPr>
                <w:sz w:val="20"/>
                <w:szCs w:val="20"/>
                <w:color w:val="auto"/>
              </w:rPr>
            </w:pPr>
            <w:r>
              <w:rPr>
                <w:rFonts w:ascii="Arial" w:cs="Arial" w:eastAsia="Arial" w:hAnsi="Arial"/>
                <w:sz w:val="16"/>
                <w:szCs w:val="16"/>
                <w:b w:val="1"/>
                <w:bCs w:val="1"/>
                <w:color w:val="FFFFFF"/>
              </w:rPr>
              <w:t>Issued upon Exercise of</w:t>
            </w:r>
          </w:p>
        </w:tc>
        <w:tc>
          <w:tcPr>
            <w:tcW w:w="2140" w:type="dxa"/>
            <w:vAlign w:val="bottom"/>
            <w:shd w:val="clear" w:color="auto" w:fill="009ADA"/>
          </w:tcPr>
          <w:p>
            <w:pPr>
              <w:jc w:val="right"/>
              <w:spacing w:after="0"/>
              <w:rPr>
                <w:sz w:val="20"/>
                <w:szCs w:val="20"/>
                <w:color w:val="auto"/>
              </w:rPr>
            </w:pPr>
            <w:r>
              <w:rPr>
                <w:rFonts w:ascii="Arial" w:cs="Arial" w:eastAsia="Arial" w:hAnsi="Arial"/>
                <w:sz w:val="16"/>
                <w:szCs w:val="16"/>
                <w:b w:val="1"/>
                <w:bCs w:val="1"/>
                <w:color w:val="FFFFFF"/>
              </w:rPr>
              <w:t>Exercise Price of</w:t>
            </w:r>
          </w:p>
        </w:tc>
        <w:tc>
          <w:tcPr>
            <w:tcW w:w="140" w:type="dxa"/>
            <w:vAlign w:val="bottom"/>
            <w:shd w:val="clear" w:color="auto" w:fill="009ADA"/>
          </w:tcPr>
          <w:p>
            <w:pPr>
              <w:spacing w:after="0"/>
              <w:rPr>
                <w:sz w:val="16"/>
                <w:szCs w:val="16"/>
                <w:color w:val="auto"/>
              </w:rPr>
            </w:pPr>
          </w:p>
        </w:tc>
        <w:tc>
          <w:tcPr>
            <w:tcW w:w="3020" w:type="dxa"/>
            <w:vAlign w:val="bottom"/>
            <w:shd w:val="clear" w:color="auto" w:fill="929292"/>
          </w:tcPr>
          <w:p>
            <w:pPr>
              <w:jc w:val="center"/>
              <w:spacing w:after="0"/>
              <w:rPr>
                <w:sz w:val="20"/>
                <w:szCs w:val="20"/>
                <w:color w:val="auto"/>
              </w:rPr>
            </w:pPr>
            <w:r>
              <w:rPr>
                <w:rFonts w:ascii="Arial" w:cs="Arial" w:eastAsia="Arial" w:hAnsi="Arial"/>
                <w:sz w:val="16"/>
                <w:szCs w:val="16"/>
                <w:b w:val="1"/>
                <w:bCs w:val="1"/>
                <w:color w:val="FFFFFF"/>
              </w:rPr>
              <w:t>Equity Compensation Plans</w:t>
            </w:r>
          </w:p>
        </w:tc>
        <w:tc>
          <w:tcPr>
            <w:tcW w:w="0" w:type="dxa"/>
            <w:vAlign w:val="bottom"/>
          </w:tcPr>
          <w:p>
            <w:pPr>
              <w:spacing w:after="0"/>
              <w:rPr>
                <w:sz w:val="1"/>
                <w:szCs w:val="1"/>
                <w:color w:val="auto"/>
              </w:rPr>
            </w:pPr>
          </w:p>
        </w:tc>
      </w:tr>
      <w:tr>
        <w:trPr>
          <w:trHeight w:val="189"/>
        </w:trPr>
        <w:tc>
          <w:tcPr>
            <w:tcW w:w="2820" w:type="dxa"/>
            <w:vAlign w:val="bottom"/>
            <w:shd w:val="clear" w:color="auto" w:fill="000000"/>
          </w:tcPr>
          <w:p>
            <w:pPr>
              <w:spacing w:after="0"/>
              <w:rPr>
                <w:sz w:val="16"/>
                <w:szCs w:val="16"/>
                <w:color w:val="auto"/>
              </w:rPr>
            </w:pPr>
          </w:p>
        </w:tc>
        <w:tc>
          <w:tcPr>
            <w:tcW w:w="3120" w:type="dxa"/>
            <w:vAlign w:val="bottom"/>
            <w:shd w:val="clear" w:color="auto" w:fill="2B338D"/>
          </w:tcPr>
          <w:p>
            <w:pPr>
              <w:jc w:val="center"/>
              <w:spacing w:after="0"/>
              <w:rPr>
                <w:sz w:val="20"/>
                <w:szCs w:val="20"/>
                <w:color w:val="auto"/>
              </w:rPr>
            </w:pPr>
            <w:r>
              <w:rPr>
                <w:rFonts w:ascii="Arial" w:cs="Arial" w:eastAsia="Arial" w:hAnsi="Arial"/>
                <w:sz w:val="16"/>
                <w:szCs w:val="16"/>
                <w:b w:val="1"/>
                <w:bCs w:val="1"/>
                <w:color w:val="FFFFFF"/>
              </w:rPr>
              <w:t>Outstanding Options, Restricted</w:t>
            </w:r>
          </w:p>
        </w:tc>
        <w:tc>
          <w:tcPr>
            <w:tcW w:w="2140" w:type="dxa"/>
            <w:vAlign w:val="bottom"/>
            <w:shd w:val="clear" w:color="auto" w:fill="009ADA"/>
          </w:tcPr>
          <w:p>
            <w:pPr>
              <w:jc w:val="right"/>
              <w:spacing w:after="0"/>
              <w:rPr>
                <w:sz w:val="20"/>
                <w:szCs w:val="20"/>
                <w:color w:val="auto"/>
              </w:rPr>
            </w:pPr>
            <w:r>
              <w:rPr>
                <w:rFonts w:ascii="Arial" w:cs="Arial" w:eastAsia="Arial" w:hAnsi="Arial"/>
                <w:sz w:val="16"/>
                <w:szCs w:val="16"/>
                <w:b w:val="1"/>
                <w:bCs w:val="1"/>
                <w:color w:val="FFFFFF"/>
              </w:rPr>
              <w:t>Outstanding Options and</w:t>
            </w:r>
          </w:p>
        </w:tc>
        <w:tc>
          <w:tcPr>
            <w:tcW w:w="140" w:type="dxa"/>
            <w:vAlign w:val="bottom"/>
            <w:shd w:val="clear" w:color="auto" w:fill="009ADA"/>
          </w:tcPr>
          <w:p>
            <w:pPr>
              <w:spacing w:after="0"/>
              <w:rPr>
                <w:sz w:val="16"/>
                <w:szCs w:val="16"/>
                <w:color w:val="auto"/>
              </w:rPr>
            </w:pPr>
          </w:p>
        </w:tc>
        <w:tc>
          <w:tcPr>
            <w:tcW w:w="3020" w:type="dxa"/>
            <w:vAlign w:val="bottom"/>
            <w:shd w:val="clear" w:color="auto" w:fill="929292"/>
          </w:tcPr>
          <w:p>
            <w:pPr>
              <w:jc w:val="center"/>
              <w:spacing w:after="0"/>
              <w:rPr>
                <w:sz w:val="20"/>
                <w:szCs w:val="20"/>
                <w:color w:val="auto"/>
              </w:rPr>
            </w:pPr>
            <w:r>
              <w:rPr>
                <w:rFonts w:ascii="Arial" w:cs="Arial" w:eastAsia="Arial" w:hAnsi="Arial"/>
                <w:sz w:val="16"/>
                <w:szCs w:val="16"/>
                <w:b w:val="1"/>
                <w:bCs w:val="1"/>
                <w:color w:val="FFFFFF"/>
              </w:rPr>
              <w:t>(Excluding Securities Reflected in the</w:t>
            </w:r>
          </w:p>
        </w:tc>
        <w:tc>
          <w:tcPr>
            <w:tcW w:w="0" w:type="dxa"/>
            <w:vAlign w:val="bottom"/>
          </w:tcPr>
          <w:p>
            <w:pPr>
              <w:spacing w:after="0"/>
              <w:rPr>
                <w:sz w:val="1"/>
                <w:szCs w:val="1"/>
                <w:color w:val="auto"/>
              </w:rPr>
            </w:pPr>
          </w:p>
        </w:tc>
      </w:tr>
      <w:tr>
        <w:trPr>
          <w:trHeight w:val="189"/>
        </w:trPr>
        <w:tc>
          <w:tcPr>
            <w:tcW w:w="2820" w:type="dxa"/>
            <w:vAlign w:val="bottom"/>
            <w:shd w:val="clear" w:color="auto" w:fill="000000"/>
          </w:tcPr>
          <w:p>
            <w:pPr>
              <w:spacing w:after="0"/>
              <w:rPr>
                <w:sz w:val="16"/>
                <w:szCs w:val="16"/>
                <w:color w:val="auto"/>
              </w:rPr>
            </w:pPr>
          </w:p>
        </w:tc>
        <w:tc>
          <w:tcPr>
            <w:tcW w:w="3120" w:type="dxa"/>
            <w:vAlign w:val="bottom"/>
            <w:shd w:val="clear" w:color="auto" w:fill="2B338D"/>
          </w:tcPr>
          <w:p>
            <w:pPr>
              <w:jc w:val="center"/>
              <w:spacing w:after="0"/>
              <w:rPr>
                <w:sz w:val="20"/>
                <w:szCs w:val="20"/>
                <w:color w:val="auto"/>
              </w:rPr>
            </w:pPr>
            <w:r>
              <w:rPr>
                <w:rFonts w:ascii="Arial" w:cs="Arial" w:eastAsia="Arial" w:hAnsi="Arial"/>
                <w:sz w:val="16"/>
                <w:szCs w:val="16"/>
                <w:b w:val="1"/>
                <w:bCs w:val="1"/>
                <w:color w:val="FFFFFF"/>
              </w:rPr>
              <w:t>Stock Units and Rights</w:t>
            </w:r>
          </w:p>
        </w:tc>
        <w:tc>
          <w:tcPr>
            <w:tcW w:w="2140" w:type="dxa"/>
            <w:vAlign w:val="bottom"/>
            <w:shd w:val="clear" w:color="auto" w:fill="009ADA"/>
          </w:tcPr>
          <w:p>
            <w:pPr>
              <w:jc w:val="right"/>
              <w:spacing w:after="0"/>
              <w:rPr>
                <w:sz w:val="20"/>
                <w:szCs w:val="20"/>
                <w:color w:val="auto"/>
              </w:rPr>
            </w:pPr>
            <w:r>
              <w:rPr>
                <w:rFonts w:ascii="Arial" w:cs="Arial" w:eastAsia="Arial" w:hAnsi="Arial"/>
                <w:sz w:val="16"/>
                <w:szCs w:val="16"/>
                <w:b w:val="1"/>
                <w:bCs w:val="1"/>
                <w:color w:val="FFFFFF"/>
              </w:rPr>
              <w:t>Rights</w:t>
            </w:r>
          </w:p>
        </w:tc>
        <w:tc>
          <w:tcPr>
            <w:tcW w:w="140" w:type="dxa"/>
            <w:vAlign w:val="bottom"/>
            <w:shd w:val="clear" w:color="auto" w:fill="009ADA"/>
          </w:tcPr>
          <w:p>
            <w:pPr>
              <w:spacing w:after="0"/>
              <w:rPr>
                <w:sz w:val="16"/>
                <w:szCs w:val="16"/>
                <w:color w:val="auto"/>
              </w:rPr>
            </w:pPr>
          </w:p>
        </w:tc>
        <w:tc>
          <w:tcPr>
            <w:tcW w:w="3020" w:type="dxa"/>
            <w:vAlign w:val="bottom"/>
            <w:shd w:val="clear" w:color="auto" w:fill="929292"/>
          </w:tcPr>
          <w:p>
            <w:pPr>
              <w:jc w:val="center"/>
              <w:spacing w:after="0"/>
              <w:rPr>
                <w:sz w:val="20"/>
                <w:szCs w:val="20"/>
                <w:color w:val="auto"/>
              </w:rPr>
            </w:pPr>
            <w:r>
              <w:rPr>
                <w:rFonts w:ascii="Arial" w:cs="Arial" w:eastAsia="Arial" w:hAnsi="Arial"/>
                <w:sz w:val="16"/>
                <w:szCs w:val="16"/>
                <w:b w:val="1"/>
                <w:bCs w:val="1"/>
                <w:color w:val="FFFFFF"/>
              </w:rPr>
              <w:t>First Column)</w:t>
            </w:r>
          </w:p>
        </w:tc>
        <w:tc>
          <w:tcPr>
            <w:tcW w:w="0" w:type="dxa"/>
            <w:vAlign w:val="bottom"/>
          </w:tcPr>
          <w:p>
            <w:pPr>
              <w:spacing w:after="0"/>
              <w:rPr>
                <w:sz w:val="1"/>
                <w:szCs w:val="1"/>
                <w:color w:val="auto"/>
              </w:rPr>
            </w:pPr>
          </w:p>
        </w:tc>
      </w:tr>
      <w:tr>
        <w:trPr>
          <w:trHeight w:val="215"/>
        </w:trPr>
        <w:tc>
          <w:tcPr>
            <w:tcW w:w="2820" w:type="dxa"/>
            <w:vAlign w:val="bottom"/>
            <w:shd w:val="clear" w:color="auto" w:fill="000000"/>
          </w:tcPr>
          <w:p>
            <w:pPr>
              <w:ind w:left="100"/>
              <w:spacing w:after="0"/>
              <w:rPr>
                <w:sz w:val="20"/>
                <w:szCs w:val="20"/>
                <w:color w:val="auto"/>
              </w:rPr>
            </w:pPr>
            <w:r>
              <w:rPr>
                <w:rFonts w:ascii="Arial" w:cs="Arial" w:eastAsia="Arial" w:hAnsi="Arial"/>
                <w:sz w:val="16"/>
                <w:szCs w:val="16"/>
                <w:b w:val="1"/>
                <w:bCs w:val="1"/>
                <w:color w:val="FFFFFF"/>
              </w:rPr>
              <w:t>Plan Category</w:t>
            </w:r>
          </w:p>
        </w:tc>
        <w:tc>
          <w:tcPr>
            <w:tcW w:w="3120" w:type="dxa"/>
            <w:vAlign w:val="bottom"/>
            <w:shd w:val="clear" w:color="auto" w:fill="2B338D"/>
          </w:tcPr>
          <w:p>
            <w:pPr>
              <w:jc w:val="center"/>
              <w:spacing w:after="0"/>
              <w:rPr>
                <w:sz w:val="20"/>
                <w:szCs w:val="20"/>
                <w:color w:val="auto"/>
              </w:rPr>
            </w:pPr>
            <w:r>
              <w:rPr>
                <w:rFonts w:ascii="Arial" w:cs="Arial" w:eastAsia="Arial" w:hAnsi="Arial"/>
                <w:sz w:val="16"/>
                <w:szCs w:val="16"/>
                <w:b w:val="1"/>
                <w:bCs w:val="1"/>
                <w:color w:val="FFFFFF"/>
              </w:rPr>
              <w:t>(#)</w:t>
            </w:r>
          </w:p>
        </w:tc>
        <w:tc>
          <w:tcPr>
            <w:tcW w:w="2140" w:type="dxa"/>
            <w:vAlign w:val="bottom"/>
            <w:shd w:val="clear" w:color="auto" w:fill="009ADA"/>
          </w:tcPr>
          <w:p>
            <w:pPr>
              <w:jc w:val="right"/>
              <w:spacing w:after="0"/>
              <w:rPr>
                <w:sz w:val="20"/>
                <w:szCs w:val="20"/>
                <w:color w:val="auto"/>
              </w:rPr>
            </w:pPr>
            <w:r>
              <w:rPr>
                <w:rFonts w:ascii="Arial" w:cs="Arial" w:eastAsia="Arial" w:hAnsi="Arial"/>
                <w:sz w:val="16"/>
                <w:szCs w:val="16"/>
                <w:b w:val="1"/>
                <w:bCs w:val="1"/>
                <w:color w:val="FFFFFF"/>
              </w:rPr>
              <w:t>($)</w:t>
            </w:r>
          </w:p>
        </w:tc>
        <w:tc>
          <w:tcPr>
            <w:tcW w:w="140" w:type="dxa"/>
            <w:vAlign w:val="bottom"/>
            <w:shd w:val="clear" w:color="auto" w:fill="009ADA"/>
          </w:tcPr>
          <w:p>
            <w:pPr>
              <w:spacing w:after="0"/>
              <w:rPr>
                <w:sz w:val="18"/>
                <w:szCs w:val="18"/>
                <w:color w:val="auto"/>
              </w:rPr>
            </w:pPr>
          </w:p>
        </w:tc>
        <w:tc>
          <w:tcPr>
            <w:tcW w:w="3020" w:type="dxa"/>
            <w:vAlign w:val="bottom"/>
            <w:shd w:val="clear" w:color="auto" w:fill="929292"/>
          </w:tcPr>
          <w:p>
            <w:pPr>
              <w:jc w:val="center"/>
              <w:spacing w:after="0"/>
              <w:rPr>
                <w:sz w:val="20"/>
                <w:szCs w:val="20"/>
                <w:color w:val="auto"/>
              </w:rPr>
            </w:pPr>
            <w:r>
              <w:rPr>
                <w:rFonts w:ascii="Arial" w:cs="Arial" w:eastAsia="Arial" w:hAnsi="Arial"/>
                <w:sz w:val="16"/>
                <w:szCs w:val="16"/>
                <w:b w:val="1"/>
                <w:bCs w:val="1"/>
                <w:color w:val="FFFFFF"/>
              </w:rPr>
              <w:t>(#)</w:t>
            </w:r>
          </w:p>
        </w:tc>
        <w:tc>
          <w:tcPr>
            <w:tcW w:w="0" w:type="dxa"/>
            <w:vAlign w:val="bottom"/>
          </w:tcPr>
          <w:p>
            <w:pPr>
              <w:spacing w:after="0"/>
              <w:rPr>
                <w:sz w:val="1"/>
                <w:szCs w:val="1"/>
                <w:color w:val="auto"/>
              </w:rPr>
            </w:pPr>
          </w:p>
        </w:tc>
      </w:tr>
      <w:tr>
        <w:trPr>
          <w:trHeight w:val="73"/>
        </w:trPr>
        <w:tc>
          <w:tcPr>
            <w:tcW w:w="2820" w:type="dxa"/>
            <w:vAlign w:val="bottom"/>
            <w:shd w:val="clear" w:color="auto" w:fill="000000"/>
          </w:tcPr>
          <w:p>
            <w:pPr>
              <w:spacing w:after="0"/>
              <w:rPr>
                <w:sz w:val="6"/>
                <w:szCs w:val="6"/>
                <w:color w:val="auto"/>
              </w:rPr>
            </w:pPr>
          </w:p>
        </w:tc>
        <w:tc>
          <w:tcPr>
            <w:tcW w:w="3120" w:type="dxa"/>
            <w:vAlign w:val="bottom"/>
            <w:shd w:val="clear" w:color="auto" w:fill="2B338D"/>
          </w:tcPr>
          <w:p>
            <w:pPr>
              <w:spacing w:after="0"/>
              <w:rPr>
                <w:sz w:val="6"/>
                <w:szCs w:val="6"/>
                <w:color w:val="auto"/>
              </w:rPr>
            </w:pPr>
          </w:p>
        </w:tc>
        <w:tc>
          <w:tcPr>
            <w:tcW w:w="2140" w:type="dxa"/>
            <w:vAlign w:val="bottom"/>
            <w:shd w:val="clear" w:color="auto" w:fill="009ADA"/>
          </w:tcPr>
          <w:p>
            <w:pPr>
              <w:spacing w:after="0"/>
              <w:rPr>
                <w:sz w:val="6"/>
                <w:szCs w:val="6"/>
                <w:color w:val="auto"/>
              </w:rPr>
            </w:pPr>
          </w:p>
        </w:tc>
        <w:tc>
          <w:tcPr>
            <w:tcW w:w="140" w:type="dxa"/>
            <w:vAlign w:val="bottom"/>
            <w:shd w:val="clear" w:color="auto" w:fill="009ADA"/>
          </w:tcPr>
          <w:p>
            <w:pPr>
              <w:spacing w:after="0"/>
              <w:rPr>
                <w:sz w:val="6"/>
                <w:szCs w:val="6"/>
                <w:color w:val="auto"/>
              </w:rPr>
            </w:pPr>
          </w:p>
        </w:tc>
        <w:tc>
          <w:tcPr>
            <w:tcW w:w="3020" w:type="dxa"/>
            <w:vAlign w:val="bottom"/>
            <w:shd w:val="clear" w:color="auto" w:fill="929292"/>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2820" w:type="dxa"/>
            <w:vAlign w:val="bottom"/>
          </w:tcPr>
          <w:p>
            <w:pPr>
              <w:ind w:left="100"/>
              <w:spacing w:after="0"/>
              <w:rPr>
                <w:sz w:val="20"/>
                <w:szCs w:val="20"/>
                <w:color w:val="auto"/>
              </w:rPr>
            </w:pPr>
            <w:r>
              <w:rPr>
                <w:rFonts w:ascii="Arial" w:cs="Arial" w:eastAsia="Arial" w:hAnsi="Arial"/>
                <w:sz w:val="14"/>
                <w:szCs w:val="14"/>
                <w:b w:val="1"/>
                <w:bCs w:val="1"/>
                <w:color w:val="auto"/>
              </w:rPr>
              <w:t>Equity compensation plans approved</w:t>
            </w:r>
          </w:p>
        </w:tc>
        <w:tc>
          <w:tcPr>
            <w:tcW w:w="312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22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302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96"/>
        </w:trPr>
        <w:tc>
          <w:tcPr>
            <w:tcW w:w="282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by security holders</w:t>
            </w:r>
          </w:p>
        </w:tc>
        <w:tc>
          <w:tcPr>
            <w:tcW w:w="3120" w:type="dxa"/>
            <w:vAlign w:val="bottom"/>
            <w:vMerge w:val="continue"/>
          </w:tcPr>
          <w:p>
            <w:pPr>
              <w:spacing w:after="0"/>
              <w:rPr>
                <w:sz w:val="8"/>
                <w:szCs w:val="8"/>
                <w:color w:val="auto"/>
              </w:rPr>
            </w:pPr>
          </w:p>
        </w:tc>
        <w:tc>
          <w:tcPr>
            <w:tcW w:w="2280" w:type="dxa"/>
            <w:vAlign w:val="bottom"/>
            <w:gridSpan w:val="2"/>
            <w:vMerge w:val="continue"/>
          </w:tcPr>
          <w:p>
            <w:pPr>
              <w:spacing w:after="0"/>
              <w:rPr>
                <w:sz w:val="8"/>
                <w:szCs w:val="8"/>
                <w:color w:val="auto"/>
              </w:rPr>
            </w:pPr>
          </w:p>
        </w:tc>
        <w:tc>
          <w:tcPr>
            <w:tcW w:w="3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820" w:type="dxa"/>
            <w:vAlign w:val="bottom"/>
            <w:tcBorders>
              <w:bottom w:val="single" w:sz="8" w:color="auto"/>
            </w:tcBorders>
            <w:vMerge w:val="continue"/>
          </w:tcPr>
          <w:p>
            <w:pPr>
              <w:spacing w:after="0"/>
              <w:rPr>
                <w:sz w:val="8"/>
                <w:szCs w:val="8"/>
                <w:color w:val="auto"/>
              </w:rPr>
            </w:pPr>
          </w:p>
        </w:tc>
        <w:tc>
          <w:tcPr>
            <w:tcW w:w="3120" w:type="dxa"/>
            <w:vAlign w:val="bottom"/>
            <w:tcBorders>
              <w:bottom w:val="single" w:sz="8" w:color="auto"/>
            </w:tcBorders>
          </w:tcPr>
          <w:p>
            <w:pPr>
              <w:spacing w:after="0"/>
              <w:rPr>
                <w:sz w:val="8"/>
                <w:szCs w:val="8"/>
                <w:color w:val="auto"/>
              </w:rPr>
            </w:pPr>
          </w:p>
        </w:tc>
        <w:tc>
          <w:tcPr>
            <w:tcW w:w="21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0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820" w:type="dxa"/>
            <w:vAlign w:val="bottom"/>
          </w:tcPr>
          <w:p>
            <w:pPr>
              <w:ind w:left="360"/>
              <w:spacing w:after="0"/>
              <w:rPr>
                <w:sz w:val="20"/>
                <w:szCs w:val="20"/>
                <w:color w:val="auto"/>
              </w:rPr>
            </w:pPr>
            <w:r>
              <w:rPr>
                <w:rFonts w:ascii="Arial" w:cs="Arial" w:eastAsia="Arial" w:hAnsi="Arial"/>
                <w:sz w:val="14"/>
                <w:szCs w:val="14"/>
                <w:color w:val="auto"/>
              </w:rPr>
              <w:t>2007 Stock Plan</w:t>
            </w:r>
            <w:r>
              <w:rPr>
                <w:rFonts w:ascii="Arial" w:cs="Arial" w:eastAsia="Arial" w:hAnsi="Arial"/>
                <w:sz w:val="18"/>
                <w:szCs w:val="18"/>
                <w:color w:val="auto"/>
                <w:vertAlign w:val="superscript"/>
              </w:rPr>
              <w:t>(1)</w:t>
            </w:r>
          </w:p>
        </w:tc>
        <w:tc>
          <w:tcPr>
            <w:tcW w:w="3120" w:type="dxa"/>
            <w:vAlign w:val="bottom"/>
          </w:tcPr>
          <w:p>
            <w:pPr>
              <w:jc w:val="center"/>
              <w:spacing w:after="0"/>
              <w:rPr>
                <w:sz w:val="20"/>
                <w:szCs w:val="20"/>
                <w:color w:val="auto"/>
              </w:rPr>
            </w:pPr>
            <w:r>
              <w:rPr>
                <w:rFonts w:ascii="Arial" w:cs="Arial" w:eastAsia="Arial" w:hAnsi="Arial"/>
                <w:sz w:val="14"/>
                <w:szCs w:val="14"/>
                <w:color w:val="auto"/>
              </w:rPr>
              <w:t>2,475,911</w:t>
            </w:r>
          </w:p>
        </w:tc>
        <w:tc>
          <w:tcPr>
            <w:tcW w:w="2140" w:type="dxa"/>
            <w:vAlign w:val="bottom"/>
          </w:tcPr>
          <w:p>
            <w:pPr>
              <w:jc w:val="right"/>
              <w:spacing w:after="0"/>
              <w:rPr>
                <w:sz w:val="20"/>
                <w:szCs w:val="20"/>
                <w:color w:val="auto"/>
              </w:rPr>
            </w:pPr>
            <w:r>
              <w:rPr>
                <w:rFonts w:ascii="Arial" w:cs="Arial" w:eastAsia="Arial" w:hAnsi="Arial"/>
                <w:sz w:val="14"/>
                <w:szCs w:val="14"/>
                <w:color w:val="auto"/>
              </w:rPr>
              <w:t>8.46</w:t>
            </w:r>
          </w:p>
        </w:tc>
        <w:tc>
          <w:tcPr>
            <w:tcW w:w="140" w:type="dxa"/>
            <w:vAlign w:val="bottom"/>
          </w:tcPr>
          <w:p>
            <w:pPr>
              <w:spacing w:after="0"/>
              <w:rPr>
                <w:sz w:val="22"/>
                <w:szCs w:val="22"/>
                <w:color w:val="auto"/>
              </w:rPr>
            </w:pPr>
          </w:p>
        </w:tc>
        <w:tc>
          <w:tcPr>
            <w:tcW w:w="30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0"/>
        </w:trPr>
        <w:tc>
          <w:tcPr>
            <w:tcW w:w="2820" w:type="dxa"/>
            <w:vAlign w:val="bottom"/>
            <w:tcBorders>
              <w:bottom w:val="single" w:sz="8" w:color="auto"/>
            </w:tcBorders>
          </w:tcPr>
          <w:p>
            <w:pPr>
              <w:spacing w:after="0" w:line="20" w:lineRule="exact"/>
              <w:rPr>
                <w:sz w:val="1"/>
                <w:szCs w:val="1"/>
                <w:color w:val="auto"/>
              </w:rPr>
            </w:pPr>
          </w:p>
        </w:tc>
        <w:tc>
          <w:tcPr>
            <w:tcW w:w="312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2820" w:type="dxa"/>
            <w:vAlign w:val="bottom"/>
          </w:tcPr>
          <w:p>
            <w:pPr>
              <w:ind w:left="360"/>
              <w:spacing w:after="0"/>
              <w:rPr>
                <w:sz w:val="20"/>
                <w:szCs w:val="20"/>
                <w:color w:val="auto"/>
              </w:rPr>
            </w:pPr>
            <w:r>
              <w:rPr>
                <w:rFonts w:ascii="Arial" w:cs="Arial" w:eastAsia="Arial" w:hAnsi="Arial"/>
                <w:sz w:val="14"/>
                <w:szCs w:val="14"/>
                <w:color w:val="auto"/>
              </w:rPr>
              <w:t>Fiscal Year 2018 Equity Incentive</w:t>
            </w:r>
          </w:p>
        </w:tc>
        <w:tc>
          <w:tcPr>
            <w:tcW w:w="3120" w:type="dxa"/>
            <w:vAlign w:val="bottom"/>
            <w:vMerge w:val="restart"/>
          </w:tcPr>
          <w:p>
            <w:pPr>
              <w:jc w:val="center"/>
              <w:spacing w:after="0"/>
              <w:rPr>
                <w:sz w:val="20"/>
                <w:szCs w:val="20"/>
                <w:color w:val="auto"/>
              </w:rPr>
            </w:pPr>
            <w:r>
              <w:rPr>
                <w:rFonts w:ascii="Arial" w:cs="Arial" w:eastAsia="Arial" w:hAnsi="Arial"/>
                <w:sz w:val="14"/>
                <w:szCs w:val="14"/>
                <w:color w:val="auto"/>
              </w:rPr>
              <w:t>7,890,272</w:t>
            </w:r>
          </w:p>
        </w:tc>
        <w:tc>
          <w:tcPr>
            <w:tcW w:w="2140" w:type="dxa"/>
            <w:vAlign w:val="bottom"/>
            <w:vMerge w:val="restart"/>
          </w:tcPr>
          <w:p>
            <w:pPr>
              <w:jc w:val="right"/>
              <w:spacing w:after="0"/>
              <w:rPr>
                <w:sz w:val="20"/>
                <w:szCs w:val="20"/>
                <w:color w:val="auto"/>
              </w:rPr>
            </w:pPr>
            <w:r>
              <w:rPr>
                <w:rFonts w:ascii="Arial" w:cs="Arial" w:eastAsia="Arial" w:hAnsi="Arial"/>
                <w:sz w:val="14"/>
                <w:szCs w:val="14"/>
                <w:color w:val="auto"/>
              </w:rPr>
              <w:t>49.35</w:t>
            </w:r>
          </w:p>
        </w:tc>
        <w:tc>
          <w:tcPr>
            <w:tcW w:w="140" w:type="dxa"/>
            <w:vAlign w:val="bottom"/>
          </w:tcPr>
          <w:p>
            <w:pPr>
              <w:spacing w:after="0"/>
              <w:rPr>
                <w:sz w:val="15"/>
                <w:szCs w:val="15"/>
                <w:color w:val="auto"/>
              </w:rPr>
            </w:pPr>
          </w:p>
        </w:tc>
        <w:tc>
          <w:tcPr>
            <w:tcW w:w="3020" w:type="dxa"/>
            <w:vAlign w:val="bottom"/>
            <w:vMerge w:val="restart"/>
          </w:tcPr>
          <w:p>
            <w:pPr>
              <w:jc w:val="center"/>
              <w:spacing w:after="0"/>
              <w:rPr>
                <w:sz w:val="20"/>
                <w:szCs w:val="20"/>
                <w:color w:val="auto"/>
              </w:rPr>
            </w:pPr>
            <w:r>
              <w:rPr>
                <w:rFonts w:ascii="Arial" w:cs="Arial" w:eastAsia="Arial" w:hAnsi="Arial"/>
                <w:sz w:val="14"/>
                <w:szCs w:val="14"/>
                <w:color w:val="auto"/>
              </w:rPr>
              <w:t>21,669,107</w:t>
            </w:r>
          </w:p>
        </w:tc>
        <w:tc>
          <w:tcPr>
            <w:tcW w:w="0" w:type="dxa"/>
            <w:vAlign w:val="bottom"/>
          </w:tcPr>
          <w:p>
            <w:pPr>
              <w:spacing w:after="0"/>
              <w:rPr>
                <w:sz w:val="1"/>
                <w:szCs w:val="1"/>
                <w:color w:val="auto"/>
              </w:rPr>
            </w:pPr>
          </w:p>
        </w:tc>
      </w:tr>
      <w:tr>
        <w:trPr>
          <w:trHeight w:val="247"/>
        </w:trPr>
        <w:tc>
          <w:tcPr>
            <w:tcW w:w="2820" w:type="dxa"/>
            <w:vAlign w:val="bottom"/>
            <w:tcBorders>
              <w:bottom w:val="single" w:sz="8" w:color="auto"/>
            </w:tcBorders>
          </w:tcPr>
          <w:p>
            <w:pPr>
              <w:ind w:left="360"/>
              <w:spacing w:after="0" w:line="246" w:lineRule="exact"/>
              <w:rPr>
                <w:sz w:val="20"/>
                <w:szCs w:val="20"/>
                <w:color w:val="auto"/>
              </w:rPr>
            </w:pPr>
            <w:r>
              <w:rPr>
                <w:rFonts w:ascii="Arial" w:cs="Arial" w:eastAsia="Arial" w:hAnsi="Arial"/>
                <w:sz w:val="28"/>
                <w:szCs w:val="28"/>
                <w:color w:val="auto"/>
                <w:vertAlign w:val="subscript"/>
              </w:rPr>
              <w:t>Plan</w:t>
            </w:r>
            <w:r>
              <w:rPr>
                <w:rFonts w:ascii="Arial" w:cs="Arial" w:eastAsia="Arial" w:hAnsi="Arial"/>
                <w:sz w:val="9"/>
                <w:szCs w:val="9"/>
                <w:color w:val="auto"/>
              </w:rPr>
              <w:t>(2)(3)</w:t>
            </w:r>
          </w:p>
        </w:tc>
        <w:tc>
          <w:tcPr>
            <w:tcW w:w="3120" w:type="dxa"/>
            <w:vAlign w:val="bottom"/>
            <w:tcBorders>
              <w:bottom w:val="single" w:sz="8" w:color="auto"/>
            </w:tcBorders>
            <w:vMerge w:val="continue"/>
          </w:tcPr>
          <w:p>
            <w:pPr>
              <w:spacing w:after="0"/>
              <w:rPr>
                <w:sz w:val="21"/>
                <w:szCs w:val="21"/>
                <w:color w:val="auto"/>
              </w:rPr>
            </w:pPr>
          </w:p>
        </w:tc>
        <w:tc>
          <w:tcPr>
            <w:tcW w:w="2140" w:type="dxa"/>
            <w:vAlign w:val="bottom"/>
            <w:tcBorders>
              <w:bottom w:val="single" w:sz="8" w:color="auto"/>
            </w:tcBorders>
            <w:vMerge w:val="continue"/>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30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9"/>
        </w:trPr>
        <w:tc>
          <w:tcPr>
            <w:tcW w:w="2820" w:type="dxa"/>
            <w:vAlign w:val="bottom"/>
          </w:tcPr>
          <w:p>
            <w:pPr>
              <w:ind w:left="360"/>
              <w:spacing w:after="0"/>
              <w:rPr>
                <w:sz w:val="20"/>
                <w:szCs w:val="20"/>
                <w:color w:val="auto"/>
              </w:rPr>
            </w:pPr>
            <w:r>
              <w:rPr>
                <w:rFonts w:ascii="Arial" w:cs="Arial" w:eastAsia="Arial" w:hAnsi="Arial"/>
                <w:sz w:val="14"/>
                <w:szCs w:val="14"/>
                <w:color w:val="auto"/>
              </w:rPr>
              <w:t>Fiscal Year 2018 Employee Stock</w:t>
            </w:r>
          </w:p>
        </w:tc>
        <w:tc>
          <w:tcPr>
            <w:tcW w:w="312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22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3020" w:type="dxa"/>
            <w:vAlign w:val="bottom"/>
            <w:vMerge w:val="restart"/>
          </w:tcPr>
          <w:p>
            <w:pPr>
              <w:jc w:val="center"/>
              <w:spacing w:after="0"/>
              <w:rPr>
                <w:sz w:val="20"/>
                <w:szCs w:val="20"/>
                <w:color w:val="auto"/>
              </w:rPr>
            </w:pPr>
            <w:r>
              <w:rPr>
                <w:rFonts w:ascii="Arial" w:cs="Arial" w:eastAsia="Arial" w:hAnsi="Arial"/>
                <w:sz w:val="14"/>
                <w:szCs w:val="14"/>
                <w:color w:val="auto"/>
              </w:rPr>
              <w:t>3,711,355</w:t>
            </w:r>
          </w:p>
        </w:tc>
        <w:tc>
          <w:tcPr>
            <w:tcW w:w="0" w:type="dxa"/>
            <w:vAlign w:val="bottom"/>
          </w:tcPr>
          <w:p>
            <w:pPr>
              <w:spacing w:after="0"/>
              <w:rPr>
                <w:sz w:val="1"/>
                <w:szCs w:val="1"/>
                <w:color w:val="auto"/>
              </w:rPr>
            </w:pPr>
          </w:p>
        </w:tc>
      </w:tr>
      <w:tr>
        <w:trPr>
          <w:trHeight w:val="243"/>
        </w:trPr>
        <w:tc>
          <w:tcPr>
            <w:tcW w:w="2820" w:type="dxa"/>
            <w:vAlign w:val="bottom"/>
            <w:tcBorders>
              <w:bottom w:val="single" w:sz="8" w:color="auto"/>
            </w:tcBorders>
          </w:tcPr>
          <w:p>
            <w:pPr>
              <w:ind w:left="360"/>
              <w:spacing w:after="0"/>
              <w:rPr>
                <w:sz w:val="20"/>
                <w:szCs w:val="20"/>
                <w:color w:val="auto"/>
              </w:rPr>
            </w:pPr>
            <w:r>
              <w:rPr>
                <w:rFonts w:ascii="Arial" w:cs="Arial" w:eastAsia="Arial" w:hAnsi="Arial"/>
                <w:sz w:val="14"/>
                <w:szCs w:val="14"/>
                <w:color w:val="auto"/>
              </w:rPr>
              <w:t>Purchase Plan</w:t>
            </w:r>
            <w:r>
              <w:rPr>
                <w:rFonts w:ascii="Arial" w:cs="Arial" w:eastAsia="Arial" w:hAnsi="Arial"/>
                <w:sz w:val="18"/>
                <w:szCs w:val="18"/>
                <w:color w:val="auto"/>
                <w:vertAlign w:val="superscript"/>
              </w:rPr>
              <w:t>(4)</w:t>
            </w:r>
          </w:p>
        </w:tc>
        <w:tc>
          <w:tcPr>
            <w:tcW w:w="3120" w:type="dxa"/>
            <w:vAlign w:val="bottom"/>
            <w:tcBorders>
              <w:bottom w:val="single" w:sz="8" w:color="auto"/>
            </w:tcBorders>
            <w:vMerge w:val="continue"/>
          </w:tcPr>
          <w:p>
            <w:pPr>
              <w:spacing w:after="0"/>
              <w:rPr>
                <w:sz w:val="21"/>
                <w:szCs w:val="21"/>
                <w:color w:val="auto"/>
              </w:rPr>
            </w:pPr>
          </w:p>
        </w:tc>
        <w:tc>
          <w:tcPr>
            <w:tcW w:w="2280" w:type="dxa"/>
            <w:vAlign w:val="bottom"/>
            <w:tcBorders>
              <w:bottom w:val="single" w:sz="8" w:color="auto"/>
            </w:tcBorders>
            <w:gridSpan w:val="2"/>
            <w:vMerge w:val="continue"/>
          </w:tcPr>
          <w:p>
            <w:pPr>
              <w:spacing w:after="0"/>
              <w:rPr>
                <w:sz w:val="21"/>
                <w:szCs w:val="21"/>
                <w:color w:val="auto"/>
              </w:rPr>
            </w:pPr>
          </w:p>
        </w:tc>
        <w:tc>
          <w:tcPr>
            <w:tcW w:w="30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3"/>
        </w:trPr>
        <w:tc>
          <w:tcPr>
            <w:tcW w:w="2820" w:type="dxa"/>
            <w:vAlign w:val="bottom"/>
          </w:tcPr>
          <w:p>
            <w:pPr>
              <w:ind w:left="100"/>
              <w:spacing w:after="0"/>
              <w:rPr>
                <w:sz w:val="20"/>
                <w:szCs w:val="20"/>
                <w:color w:val="auto"/>
              </w:rPr>
            </w:pPr>
            <w:r>
              <w:rPr>
                <w:rFonts w:ascii="Arial" w:cs="Arial" w:eastAsia="Arial" w:hAnsi="Arial"/>
                <w:sz w:val="14"/>
                <w:szCs w:val="14"/>
                <w:b w:val="1"/>
                <w:bCs w:val="1"/>
                <w:color w:val="auto"/>
              </w:rPr>
              <w:t>Equity compensation plans not</w:t>
            </w:r>
          </w:p>
        </w:tc>
        <w:tc>
          <w:tcPr>
            <w:tcW w:w="312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22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3020" w:type="dxa"/>
            <w:vAlign w:val="bottom"/>
            <w:vMerge w:val="restart"/>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96"/>
        </w:trPr>
        <w:tc>
          <w:tcPr>
            <w:tcW w:w="282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approved by security holders</w:t>
            </w:r>
          </w:p>
        </w:tc>
        <w:tc>
          <w:tcPr>
            <w:tcW w:w="3120" w:type="dxa"/>
            <w:vAlign w:val="bottom"/>
            <w:vMerge w:val="continue"/>
          </w:tcPr>
          <w:p>
            <w:pPr>
              <w:spacing w:after="0"/>
              <w:rPr>
                <w:sz w:val="8"/>
                <w:szCs w:val="8"/>
                <w:color w:val="auto"/>
              </w:rPr>
            </w:pPr>
          </w:p>
        </w:tc>
        <w:tc>
          <w:tcPr>
            <w:tcW w:w="2280" w:type="dxa"/>
            <w:vAlign w:val="bottom"/>
            <w:gridSpan w:val="2"/>
            <w:vMerge w:val="continue"/>
          </w:tcPr>
          <w:p>
            <w:pPr>
              <w:spacing w:after="0"/>
              <w:rPr>
                <w:sz w:val="8"/>
                <w:szCs w:val="8"/>
                <w:color w:val="auto"/>
              </w:rPr>
            </w:pPr>
          </w:p>
        </w:tc>
        <w:tc>
          <w:tcPr>
            <w:tcW w:w="3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820" w:type="dxa"/>
            <w:vAlign w:val="bottom"/>
            <w:tcBorders>
              <w:bottom w:val="single" w:sz="8" w:color="auto"/>
            </w:tcBorders>
            <w:vMerge w:val="continue"/>
          </w:tcPr>
          <w:p>
            <w:pPr>
              <w:spacing w:after="0"/>
              <w:rPr>
                <w:sz w:val="8"/>
                <w:szCs w:val="8"/>
                <w:color w:val="auto"/>
              </w:rPr>
            </w:pPr>
          </w:p>
        </w:tc>
        <w:tc>
          <w:tcPr>
            <w:tcW w:w="3120" w:type="dxa"/>
            <w:vAlign w:val="bottom"/>
            <w:tcBorders>
              <w:bottom w:val="single" w:sz="8" w:color="auto"/>
            </w:tcBorders>
          </w:tcPr>
          <w:p>
            <w:pPr>
              <w:spacing w:after="0"/>
              <w:rPr>
                <w:sz w:val="8"/>
                <w:szCs w:val="8"/>
                <w:color w:val="auto"/>
              </w:rPr>
            </w:pPr>
          </w:p>
        </w:tc>
        <w:tc>
          <w:tcPr>
            <w:tcW w:w="21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0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2820" w:type="dxa"/>
            <w:vAlign w:val="bottom"/>
          </w:tcPr>
          <w:p>
            <w:pPr>
              <w:ind w:left="100"/>
              <w:spacing w:after="0"/>
              <w:rPr>
                <w:sz w:val="20"/>
                <w:szCs w:val="20"/>
                <w:color w:val="auto"/>
              </w:rPr>
            </w:pPr>
            <w:r>
              <w:rPr>
                <w:rFonts w:ascii="Arial" w:cs="Arial" w:eastAsia="Arial" w:hAnsi="Arial"/>
                <w:sz w:val="14"/>
                <w:szCs w:val="14"/>
                <w:b w:val="1"/>
                <w:bCs w:val="1"/>
                <w:color w:val="009ADA"/>
              </w:rPr>
              <w:t>Total</w:t>
            </w:r>
          </w:p>
        </w:tc>
        <w:tc>
          <w:tcPr>
            <w:tcW w:w="3120" w:type="dxa"/>
            <w:vAlign w:val="bottom"/>
          </w:tcPr>
          <w:p>
            <w:pPr>
              <w:jc w:val="center"/>
              <w:spacing w:after="0"/>
              <w:rPr>
                <w:sz w:val="20"/>
                <w:szCs w:val="20"/>
                <w:color w:val="auto"/>
              </w:rPr>
            </w:pPr>
            <w:r>
              <w:rPr>
                <w:rFonts w:ascii="Arial" w:cs="Arial" w:eastAsia="Arial" w:hAnsi="Arial"/>
                <w:sz w:val="14"/>
                <w:szCs w:val="14"/>
                <w:color w:val="auto"/>
              </w:rPr>
              <w:t>10,366,183</w:t>
            </w:r>
          </w:p>
        </w:tc>
        <w:tc>
          <w:tcPr>
            <w:tcW w:w="2140" w:type="dxa"/>
            <w:vAlign w:val="bottom"/>
          </w:tcPr>
          <w:p>
            <w:pPr>
              <w:jc w:val="right"/>
              <w:spacing w:after="0"/>
              <w:rPr>
                <w:sz w:val="20"/>
                <w:szCs w:val="20"/>
                <w:color w:val="auto"/>
              </w:rPr>
            </w:pPr>
            <w:r>
              <w:rPr>
                <w:rFonts w:ascii="Arial" w:cs="Arial" w:eastAsia="Arial" w:hAnsi="Arial"/>
                <w:sz w:val="14"/>
                <w:szCs w:val="14"/>
                <w:color w:val="auto"/>
              </w:rPr>
              <w:t>10.87</w:t>
            </w:r>
          </w:p>
        </w:tc>
        <w:tc>
          <w:tcPr>
            <w:tcW w:w="140" w:type="dxa"/>
            <w:vAlign w:val="bottom"/>
          </w:tcPr>
          <w:p>
            <w:pPr>
              <w:spacing w:after="0"/>
              <w:rPr>
                <w:sz w:val="20"/>
                <w:szCs w:val="20"/>
                <w:color w:val="auto"/>
              </w:rPr>
            </w:pPr>
          </w:p>
        </w:tc>
        <w:tc>
          <w:tcPr>
            <w:tcW w:w="3020" w:type="dxa"/>
            <w:vAlign w:val="bottom"/>
          </w:tcPr>
          <w:p>
            <w:pPr>
              <w:jc w:val="center"/>
              <w:spacing w:after="0"/>
              <w:rPr>
                <w:sz w:val="20"/>
                <w:szCs w:val="20"/>
                <w:color w:val="auto"/>
              </w:rPr>
            </w:pPr>
            <w:r>
              <w:rPr>
                <w:rFonts w:ascii="Arial" w:cs="Arial" w:eastAsia="Arial" w:hAnsi="Arial"/>
                <w:sz w:val="14"/>
                <w:szCs w:val="14"/>
                <w:color w:val="auto"/>
              </w:rPr>
              <w:t>25,380,462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1" w:lineRule="exact"/>
        <w:rPr>
          <w:sz w:val="20"/>
          <w:szCs w:val="20"/>
          <w:color w:val="auto"/>
        </w:rPr>
      </w:pPr>
    </w:p>
    <w:p>
      <w:pPr>
        <w:jc w:val="both"/>
        <w:ind w:left="340" w:right="200" w:hanging="332"/>
        <w:spacing w:after="0"/>
        <w:tabs>
          <w:tab w:leader="none" w:pos="332" w:val="left"/>
        </w:tabs>
        <w:numPr>
          <w:ilvl w:val="0"/>
          <w:numId w:val="53"/>
        </w:numPr>
        <w:rPr>
          <w:rFonts w:ascii="Arial" w:cs="Arial" w:eastAsia="Arial" w:hAnsi="Arial"/>
          <w:sz w:val="13"/>
          <w:szCs w:val="13"/>
          <w:color w:val="auto"/>
        </w:rPr>
      </w:pPr>
      <w:r>
        <w:rPr>
          <w:rFonts w:ascii="Arial" w:cs="Arial" w:eastAsia="Arial" w:hAnsi="Arial"/>
          <w:sz w:val="13"/>
          <w:szCs w:val="13"/>
          <w:color w:val="auto"/>
        </w:rPr>
        <w:t>As a result of the adoption of the 2018 Plan, we no longer grant awards under the 2007 Plan; however, all outstanding options issued pursuant to the 2007 Plan continue to be governed by their existing terms. To the extent that any such awards are forfeited or lapse unexercised or are repurchased, the shares of common stock subject to such awards will become available for issuance under the 2018 Plan.</w:t>
      </w:r>
    </w:p>
    <w:p>
      <w:pPr>
        <w:spacing w:after="0" w:line="51" w:lineRule="exact"/>
        <w:rPr>
          <w:rFonts w:ascii="Arial" w:cs="Arial" w:eastAsia="Arial" w:hAnsi="Arial"/>
          <w:sz w:val="13"/>
          <w:szCs w:val="13"/>
          <w:color w:val="auto"/>
        </w:rPr>
      </w:pPr>
    </w:p>
    <w:p>
      <w:pPr>
        <w:jc w:val="both"/>
        <w:ind w:left="340" w:right="60" w:hanging="332"/>
        <w:spacing w:after="0" w:line="282" w:lineRule="auto"/>
        <w:tabs>
          <w:tab w:leader="none" w:pos="332" w:val="left"/>
        </w:tabs>
        <w:numPr>
          <w:ilvl w:val="0"/>
          <w:numId w:val="53"/>
        </w:numPr>
        <w:rPr>
          <w:rFonts w:ascii="Arial" w:cs="Arial" w:eastAsia="Arial" w:hAnsi="Arial"/>
          <w:sz w:val="12"/>
          <w:szCs w:val="12"/>
          <w:color w:val="auto"/>
        </w:rPr>
      </w:pPr>
      <w:r>
        <w:rPr>
          <w:rFonts w:ascii="Arial" w:cs="Arial" w:eastAsia="Arial" w:hAnsi="Arial"/>
          <w:sz w:val="12"/>
          <w:szCs w:val="12"/>
          <w:color w:val="auto"/>
        </w:rPr>
        <w:t>Our 2018 Plan provides that the number of shares available for issuance under the 2018 Plan will be increased on the first day of each fiscal year, in an amount equal to the least of (i) 12,700,000 shares, (ii) five percent (5%) of the outstanding shares of common stock on the last day of the immediately preceding fiscal year or (iii) such other amount as our board of directors may determine.</w:t>
      </w:r>
    </w:p>
    <w:p>
      <w:pPr>
        <w:spacing w:after="0" w:line="26" w:lineRule="exact"/>
        <w:rPr>
          <w:rFonts w:ascii="Arial" w:cs="Arial" w:eastAsia="Arial" w:hAnsi="Arial"/>
          <w:sz w:val="12"/>
          <w:szCs w:val="12"/>
          <w:color w:val="auto"/>
        </w:rPr>
      </w:pPr>
    </w:p>
    <w:p>
      <w:pPr>
        <w:ind w:left="340" w:hanging="332"/>
        <w:spacing w:after="0"/>
        <w:tabs>
          <w:tab w:leader="none" w:pos="332" w:val="left"/>
        </w:tabs>
        <w:numPr>
          <w:ilvl w:val="0"/>
          <w:numId w:val="53"/>
        </w:numPr>
        <w:rPr>
          <w:rFonts w:ascii="Arial" w:cs="Arial" w:eastAsia="Arial" w:hAnsi="Arial"/>
          <w:sz w:val="13"/>
          <w:szCs w:val="13"/>
          <w:color w:val="auto"/>
        </w:rPr>
      </w:pPr>
      <w:r>
        <w:rPr>
          <w:rFonts w:ascii="Arial" w:cs="Arial" w:eastAsia="Arial" w:hAnsi="Arial"/>
          <w:sz w:val="13"/>
          <w:szCs w:val="13"/>
          <w:color w:val="auto"/>
        </w:rPr>
        <w:t>Includes (i) all remaining PSUs granted in fiscal 2019 which consists of (x) fiscal 2021 PSUs at the maximum payout (PSUs were paid out for fiscal 2021 at 129.25% resulting in 50,655 above target) and (y) fiscal 2022 PSUs at target (100%), as no metrics had been determined as of fiscal 2021 year-end, and (ii) all remaining PSUs granted in fiscal 2020 which consists of fiscal 2022 and fiscal 2023 PSUs at target (100%), as no metrics had been determined as of fiscal 2021 year-end.</w:t>
      </w:r>
    </w:p>
    <w:p>
      <w:pPr>
        <w:spacing w:after="0" w:line="51" w:lineRule="exact"/>
        <w:rPr>
          <w:rFonts w:ascii="Arial" w:cs="Arial" w:eastAsia="Arial" w:hAnsi="Arial"/>
          <w:sz w:val="13"/>
          <w:szCs w:val="13"/>
          <w:color w:val="auto"/>
        </w:rPr>
      </w:pPr>
    </w:p>
    <w:p>
      <w:pPr>
        <w:ind w:left="340" w:right="120" w:hanging="332"/>
        <w:spacing w:after="0"/>
        <w:tabs>
          <w:tab w:leader="none" w:pos="332" w:val="left"/>
        </w:tabs>
        <w:numPr>
          <w:ilvl w:val="0"/>
          <w:numId w:val="53"/>
        </w:numPr>
        <w:rPr>
          <w:rFonts w:ascii="Arial" w:cs="Arial" w:eastAsia="Arial" w:hAnsi="Arial"/>
          <w:sz w:val="13"/>
          <w:szCs w:val="13"/>
          <w:color w:val="auto"/>
        </w:rPr>
      </w:pPr>
      <w:r>
        <w:rPr>
          <w:rFonts w:ascii="Arial" w:cs="Arial" w:eastAsia="Arial" w:hAnsi="Arial"/>
          <w:sz w:val="13"/>
          <w:szCs w:val="13"/>
          <w:color w:val="auto"/>
        </w:rPr>
        <w:t>Our Fiscal Year 2018 Employee Stock Purchase Plan (the "ESPP") provides that the number of shares available for issuance under the ESPP will be increased on the first day of each fiscal year, in an amount equal to the least of (i) 2,200,000 shares, (ii) one percent (1%) of the outstanding shares of common stock on the last day of the immediately preceding fiscal year or (iii) such other amount as may be determined by the administrator of the ESPP.</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009ADA"/>
        </w:rPr>
        <w:t>Compensation Committee Report</w:t>
      </w:r>
    </w:p>
    <w:p>
      <w:pPr>
        <w:spacing w:after="0" w:line="213" w:lineRule="exact"/>
        <w:rPr>
          <w:sz w:val="20"/>
          <w:szCs w:val="20"/>
          <w:color w:val="auto"/>
        </w:rPr>
      </w:pPr>
    </w:p>
    <w:p>
      <w:pPr>
        <w:ind w:right="360"/>
        <w:spacing w:after="0" w:line="341" w:lineRule="auto"/>
        <w:rPr>
          <w:sz w:val="20"/>
          <w:szCs w:val="20"/>
          <w:color w:val="auto"/>
        </w:rPr>
      </w:pPr>
      <w:r>
        <w:rPr>
          <w:rFonts w:ascii="Arial" w:cs="Arial" w:eastAsia="Arial" w:hAnsi="Arial"/>
          <w:sz w:val="16"/>
          <w:szCs w:val="16"/>
          <w:color w:val="auto"/>
        </w:rPr>
        <w:t>The compensation committee has reviewed and discussed the section titled “Executive Compensation” with management. Based on such review and discussion, the compensation committee has recommended to the board of directors that the section titled “Executive Compensation” be included in this Proxy Statement.</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Respectfully submitted by the members of the compensation committee of the board of directors:</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Andrew Brown (Chair)</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Karen Blasing</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Charles Giancarlo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332105</wp:posOffset>
            </wp:positionV>
            <wp:extent cx="342900" cy="21399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342900" cy="213995"/>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ind w:left="5540"/>
        <w:spacing w:after="0"/>
        <w:tabs>
          <w:tab w:leader="none" w:pos="9780" w:val="left"/>
        </w:tabs>
        <w:rPr>
          <w:sz w:val="20"/>
          <w:szCs w:val="20"/>
          <w:color w:val="auto"/>
        </w:rPr>
      </w:pPr>
      <w:r>
        <w:rPr>
          <w:rFonts w:ascii="Arial" w:cs="Arial" w:eastAsia="Arial" w:hAnsi="Arial"/>
          <w:sz w:val="29"/>
          <w:szCs w:val="29"/>
          <w:color w:val="auto"/>
          <w:vertAlign w:val="superscript"/>
        </w:rPr>
        <w:t>64</w:t>
      </w:r>
      <w:r>
        <w:rPr>
          <w:sz w:val="20"/>
          <w:szCs w:val="20"/>
          <w:color w:val="auto"/>
        </w:rPr>
        <w:tab/>
      </w:r>
      <w:r>
        <w:rPr>
          <w:rFonts w:ascii="Arial" w:cs="Arial" w:eastAsia="Arial" w:hAnsi="Arial"/>
          <w:sz w:val="14"/>
          <w:szCs w:val="14"/>
          <w:color w:val="auto"/>
        </w:rPr>
        <w:t>2021 Proxy Statement</w:t>
      </w:r>
    </w:p>
    <w:p>
      <w:pPr>
        <w:sectPr>
          <w:pgSz w:w="11900" w:h="16838" w:orient="portrait"/>
          <w:cols w:equalWidth="0" w:num="1">
            <w:col w:w="11240"/>
          </w:cols>
          <w:pgMar w:left="320" w:top="172" w:right="339" w:bottom="1440" w:gutter="0" w:footer="0" w:header="0"/>
        </w:sectPr>
      </w:pPr>
    </w:p>
    <w:bookmarkStart w:id="68" w:name="page69"/>
    <w:bookmarkEnd w:id="68"/>
    <w:p>
      <w:pPr>
        <w:ind w:left="280"/>
        <w:spacing w:after="0"/>
        <w:rPr>
          <w:sz w:val="20"/>
          <w:szCs w:val="20"/>
          <w:color w:val="auto"/>
        </w:rPr>
      </w:pPr>
      <w:r>
        <w:rPr>
          <w:rFonts w:ascii="Arial" w:cs="Arial" w:eastAsia="Arial" w:hAnsi="Arial"/>
          <w:sz w:val="13"/>
          <w:szCs w:val="13"/>
          <w:b w:val="1"/>
          <w:bCs w:val="1"/>
          <w:color w:val="929292"/>
        </w:rPr>
        <w:t>CEO PAY RATIO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7470" cy="6032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7470" cy="60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54"/>
          <w:szCs w:val="54"/>
          <w:color w:val="auto"/>
        </w:rPr>
        <w:t>CEO Pay Ratio Disclosure</w:t>
      </w:r>
    </w:p>
    <w:p>
      <w:pPr>
        <w:spacing w:after="0" w:line="115" w:lineRule="exact"/>
        <w:rPr>
          <w:sz w:val="20"/>
          <w:szCs w:val="20"/>
          <w:color w:val="auto"/>
        </w:rPr>
      </w:pPr>
    </w:p>
    <w:p>
      <w:pPr>
        <w:ind w:right="240"/>
        <w:spacing w:after="0" w:line="348" w:lineRule="auto"/>
        <w:rPr>
          <w:sz w:val="20"/>
          <w:szCs w:val="20"/>
          <w:color w:val="auto"/>
        </w:rPr>
      </w:pPr>
      <w:r>
        <w:rPr>
          <w:rFonts w:ascii="Arial" w:cs="Arial" w:eastAsia="Arial" w:hAnsi="Arial"/>
          <w:sz w:val="16"/>
          <w:szCs w:val="16"/>
          <w:color w:val="auto"/>
        </w:rPr>
        <w:t>As required by SEC rules, we are providing the following information about the relationship between the annual total compensation of our Chief Executive Officer and President, Jay Chaudhry (our CEO), and the annual total compensation of our median employee (our “CEO pay ratio”).</w:t>
      </w:r>
    </w:p>
    <w:p>
      <w:pPr>
        <w:spacing w:after="0" w:line="141" w:lineRule="exact"/>
        <w:rPr>
          <w:sz w:val="20"/>
          <w:szCs w:val="20"/>
          <w:color w:val="auto"/>
        </w:rPr>
      </w:pPr>
    </w:p>
    <w:p>
      <w:pPr>
        <w:ind w:right="160"/>
        <w:spacing w:after="0" w:line="338" w:lineRule="auto"/>
        <w:rPr>
          <w:sz w:val="20"/>
          <w:szCs w:val="20"/>
          <w:color w:val="auto"/>
        </w:rPr>
      </w:pPr>
      <w:r>
        <w:rPr>
          <w:rFonts w:ascii="Arial" w:cs="Arial" w:eastAsia="Arial" w:hAnsi="Arial"/>
          <w:sz w:val="16"/>
          <w:szCs w:val="16"/>
          <w:color w:val="auto"/>
        </w:rPr>
        <w:t>For fiscal 2021, the median of the annual total compensation of all employees of our company (other than our CEO) was $159,900 and the annual total compensation of our CEO was $19,999,160. Accordingly, the ratio of the annual total compensation of our CEO to the median of the annual total compensation of all employees was approximately 125 to 1. This ratio is higher than the corresponding pay ratio for fiscal 2020 because our CEO’s annual total compensation for fiscal 2021 was higher than in the previous fiscal year, as explained below. This pay ratio is a reasonable estimate calculated in a manner consistent with SEC rules.</w:t>
      </w:r>
    </w:p>
    <w:p>
      <w:pPr>
        <w:spacing w:after="0" w:line="149" w:lineRule="exact"/>
        <w:rPr>
          <w:sz w:val="20"/>
          <w:szCs w:val="20"/>
          <w:color w:val="auto"/>
        </w:rPr>
      </w:pPr>
    </w:p>
    <w:p>
      <w:pPr>
        <w:ind w:right="100"/>
        <w:spacing w:after="0" w:line="339" w:lineRule="auto"/>
        <w:rPr>
          <w:sz w:val="20"/>
          <w:szCs w:val="20"/>
          <w:color w:val="auto"/>
        </w:rPr>
      </w:pPr>
      <w:r>
        <w:rPr>
          <w:rFonts w:ascii="Arial" w:cs="Arial" w:eastAsia="Arial" w:hAnsi="Arial"/>
          <w:sz w:val="16"/>
          <w:szCs w:val="16"/>
          <w:color w:val="auto"/>
        </w:rPr>
        <w:t>We selected July 31, 2021, the last day of our fiscal year, as the determination date for identifying our median employee. As of July 31, 2021, our employee population consisted of approximately 3,153 individuals (other than our CEO) working at our parent company and consolidated subsidiaries both within and outside the United States, which included all employees whether employed on a full-time, part-time, temporary or seasonal basis. We did not include any contractors or other non-employee workers in our employee population.</w:t>
      </w:r>
    </w:p>
    <w:p>
      <w:pPr>
        <w:spacing w:after="0" w:line="148" w:lineRule="exact"/>
        <w:rPr>
          <w:sz w:val="20"/>
          <w:szCs w:val="20"/>
          <w:color w:val="auto"/>
        </w:rPr>
      </w:pPr>
    </w:p>
    <w:p>
      <w:pPr>
        <w:ind w:right="80"/>
        <w:spacing w:after="0" w:line="339" w:lineRule="auto"/>
        <w:rPr>
          <w:sz w:val="20"/>
          <w:szCs w:val="20"/>
          <w:color w:val="auto"/>
        </w:rPr>
      </w:pPr>
      <w:r>
        <w:rPr>
          <w:rFonts w:ascii="Arial" w:cs="Arial" w:eastAsia="Arial" w:hAnsi="Arial"/>
          <w:sz w:val="16"/>
          <w:szCs w:val="16"/>
          <w:color w:val="auto"/>
        </w:rPr>
        <w:t>To identify our median employee, we used a consistently applied compensation measure consisting of the target base salary of our employees for the 12-month period from August 1, 2020 through July 31, 2021. We selected the foregoing compensation element because it represented our principal broad-based compensation element. Payments not made in U.S. dollars were converted to U.S. dollars using the applicable currency exchange rate in effect as of July 31, 2021. We did not make any cost-of-living adjustment.</w:t>
      </w:r>
    </w:p>
    <w:p>
      <w:pPr>
        <w:spacing w:after="0" w:line="148" w:lineRule="exact"/>
        <w:rPr>
          <w:sz w:val="20"/>
          <w:szCs w:val="20"/>
          <w:color w:val="auto"/>
        </w:rPr>
      </w:pPr>
    </w:p>
    <w:p>
      <w:pPr>
        <w:ind w:right="60"/>
        <w:spacing w:after="0" w:line="341" w:lineRule="auto"/>
        <w:rPr>
          <w:sz w:val="20"/>
          <w:szCs w:val="20"/>
          <w:color w:val="auto"/>
        </w:rPr>
      </w:pPr>
      <w:r>
        <w:rPr>
          <w:rFonts w:ascii="Arial" w:cs="Arial" w:eastAsia="Arial" w:hAnsi="Arial"/>
          <w:sz w:val="16"/>
          <w:szCs w:val="16"/>
          <w:color w:val="auto"/>
        </w:rPr>
        <w:t>Using this approach, we selected the individual at the median of our employee population, who was a full-time employee based in the United States. We then calculated annual total compensation for this individual using the same methodology we use for our Named Executive Officers as set forth in our Fiscal 2021 Summary Compensation Table.</w:t>
      </w:r>
    </w:p>
    <w:p>
      <w:pPr>
        <w:spacing w:after="0" w:line="147" w:lineRule="exact"/>
        <w:rPr>
          <w:sz w:val="20"/>
          <w:szCs w:val="20"/>
          <w:color w:val="auto"/>
        </w:rPr>
      </w:pPr>
    </w:p>
    <w:p>
      <w:pPr>
        <w:ind w:right="200"/>
        <w:spacing w:after="0" w:line="338" w:lineRule="auto"/>
        <w:rPr>
          <w:sz w:val="20"/>
          <w:szCs w:val="20"/>
          <w:color w:val="auto"/>
        </w:rPr>
      </w:pPr>
      <w:r>
        <w:rPr>
          <w:rFonts w:ascii="Arial" w:cs="Arial" w:eastAsia="Arial" w:hAnsi="Arial"/>
          <w:sz w:val="16"/>
          <w:szCs w:val="16"/>
          <w:color w:val="auto"/>
        </w:rPr>
        <w:t>With respect to the annual total compensation of our CEO, we used the amount reported in the “Total” column (column (j)) of our Fiscal 2021 Summary Compensation Table in this Proxy Statement. While his base salary remained unchanged at $23,660, our CEO’s annual total compensation for fiscal 2021 was significantly higher than his annual total compensation for fiscal 2020 because the value of the fiscal 2021 tranche of the performance stock units awarded him in fiscal 2019 increased considerably as a result of our increased stock price. For more information on his Fiscal 2021 PSU Award, see “</w:t>
      </w:r>
      <w:r>
        <w:rPr>
          <w:rFonts w:ascii="Arial" w:cs="Arial" w:eastAsia="Arial" w:hAnsi="Arial"/>
          <w:sz w:val="16"/>
          <w:szCs w:val="16"/>
          <w:i w:val="1"/>
          <w:iCs w:val="1"/>
          <w:color w:val="auto"/>
        </w:rPr>
        <w:t>Compensation Discussion and Analysis – Long-Term Incentive Compensation - Fiscal 2021 Performance Period PSU Awards"</w:t>
      </w:r>
      <w:r>
        <w:rPr>
          <w:rFonts w:ascii="Arial" w:cs="Arial" w:eastAsia="Arial" w:hAnsi="Arial"/>
          <w:sz w:val="16"/>
          <w:szCs w:val="16"/>
          <w:color w:val="auto"/>
        </w:rPr>
        <w:t>.</w:t>
      </w:r>
    </w:p>
    <w:p>
      <w:pPr>
        <w:spacing w:after="0" w:line="149" w:lineRule="exact"/>
        <w:rPr>
          <w:sz w:val="20"/>
          <w:szCs w:val="20"/>
          <w:color w:val="auto"/>
        </w:rPr>
      </w:pPr>
    </w:p>
    <w:p>
      <w:pPr>
        <w:ind w:right="20"/>
        <w:spacing w:after="0" w:line="337" w:lineRule="auto"/>
        <w:rPr>
          <w:sz w:val="20"/>
          <w:szCs w:val="20"/>
          <w:color w:val="auto"/>
        </w:rPr>
      </w:pPr>
      <w:r>
        <w:rPr>
          <w:rFonts w:ascii="Arial" w:cs="Arial" w:eastAsia="Arial" w:hAnsi="Arial"/>
          <w:sz w:val="16"/>
          <w:szCs w:val="16"/>
          <w:color w:val="auto"/>
        </w:rPr>
        <w:t>Because SEC rules for identifying the median of the annual total compensation of all employees allow companies to adopt a variety of methodologies, apply certain exclusions, and make reasonable estimates and assumptions that reflect their employee population and compensation practices, the pay ratio reported by other companies may not be comparable to our pay ratio, as other companies have different employee populations and compensation practices and may have used different methodologies, exclusions, estimates and assumptions in calculating their pay ratios. As explained by the SEC when it adopted these rules, the rule was not designed to facilitate comparisons of pay ratios among different companies, even companies within the same industry, but rather to allow stockholders to better understand and assess each particular company’s compensation practices and pay ratio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257810</wp:posOffset>
            </wp:positionV>
            <wp:extent cx="342900" cy="21463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342900" cy="214630"/>
                    </a:xfrm>
                    <a:prstGeom prst="rect">
                      <a:avLst/>
                    </a:prstGeom>
                    <a:noFill/>
                  </pic:spPr>
                </pic:pic>
              </a:graphicData>
            </a:graphic>
          </wp:anchor>
        </w:drawing>
      </w:r>
    </w:p>
    <w:p>
      <w:pPr>
        <w:spacing w:after="0" w:line="324" w:lineRule="exact"/>
        <w:rPr>
          <w:sz w:val="20"/>
          <w:szCs w:val="20"/>
          <w:color w:val="auto"/>
        </w:rPr>
      </w:pPr>
    </w:p>
    <w:p>
      <w:pPr>
        <w:jc w:val="both"/>
        <w:ind w:left="5540"/>
        <w:spacing w:after="0"/>
        <w:tabs>
          <w:tab w:leader="none" w:pos="9780" w:val="left"/>
        </w:tabs>
        <w:rPr>
          <w:sz w:val="20"/>
          <w:szCs w:val="20"/>
          <w:color w:val="auto"/>
        </w:rPr>
      </w:pPr>
      <w:r>
        <w:rPr>
          <w:rFonts w:ascii="Arial" w:cs="Arial" w:eastAsia="Arial" w:hAnsi="Arial"/>
          <w:sz w:val="29"/>
          <w:szCs w:val="29"/>
          <w:color w:val="auto"/>
          <w:vertAlign w:val="superscript"/>
        </w:rPr>
        <w:t>65</w:t>
      </w:r>
      <w:r>
        <w:rPr>
          <w:sz w:val="20"/>
          <w:szCs w:val="20"/>
          <w:color w:val="auto"/>
        </w:rPr>
        <w:tab/>
      </w:r>
      <w:r>
        <w:rPr>
          <w:rFonts w:ascii="Arial" w:cs="Arial" w:eastAsia="Arial" w:hAnsi="Arial"/>
          <w:sz w:val="14"/>
          <w:szCs w:val="14"/>
          <w:color w:val="auto"/>
        </w:rPr>
        <w:t>2021 Proxy Statement</w:t>
      </w:r>
    </w:p>
    <w:p>
      <w:pPr>
        <w:sectPr>
          <w:pgSz w:w="11900" w:h="16838" w:orient="portrait"/>
          <w:cols w:equalWidth="0" w:num="1">
            <w:col w:w="11220"/>
          </w:cols>
          <w:pgMar w:left="320" w:top="172" w:right="359" w:bottom="1440" w:gutter="0" w:footer="0" w:header="0"/>
        </w:sectPr>
      </w:pPr>
    </w:p>
    <w:bookmarkStart w:id="69" w:name="page70"/>
    <w:bookmarkEnd w:id="69"/>
    <w:p>
      <w:pPr>
        <w:ind w:left="280"/>
        <w:spacing w:after="0"/>
        <w:rPr>
          <w:sz w:val="20"/>
          <w:szCs w:val="20"/>
          <w:color w:val="auto"/>
        </w:rPr>
      </w:pPr>
      <w:r>
        <w:rPr>
          <w:rFonts w:ascii="Arial" w:cs="Arial" w:eastAsia="Arial" w:hAnsi="Arial"/>
          <w:sz w:val="13"/>
          <w:szCs w:val="13"/>
          <w:b w:val="1"/>
          <w:bCs w:val="1"/>
          <w:color w:val="929292"/>
        </w:rPr>
        <w:t>SECURITY OWNERSHIP OF CERTAIN BENEFICIAL OWNERS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7470" cy="6032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7470" cy="60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1560"/>
        <w:spacing w:after="0" w:line="241" w:lineRule="auto"/>
        <w:rPr>
          <w:sz w:val="20"/>
          <w:szCs w:val="20"/>
          <w:color w:val="auto"/>
        </w:rPr>
      </w:pPr>
      <w:r>
        <w:rPr>
          <w:rFonts w:ascii="Arial" w:cs="Arial" w:eastAsia="Arial" w:hAnsi="Arial"/>
          <w:sz w:val="54"/>
          <w:szCs w:val="54"/>
          <w:color w:val="auto"/>
        </w:rPr>
        <w:t>Security Ownership of Certain Beneficial Owners and Management</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certain information with respect to the beneficial ownership of our common stock as of November 10, 2021 for:</w:t>
      </w:r>
    </w:p>
    <w:p>
      <w:pPr>
        <w:spacing w:after="0" w:line="235" w:lineRule="exact"/>
        <w:rPr>
          <w:sz w:val="20"/>
          <w:szCs w:val="20"/>
          <w:color w:val="auto"/>
        </w:rPr>
      </w:pPr>
    </w:p>
    <w:p>
      <w:pPr>
        <w:ind w:left="460" w:hanging="128"/>
        <w:spacing w:after="0"/>
        <w:tabs>
          <w:tab w:leader="none" w:pos="4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each person, or group of affiliated persons, who beneficially owned more than 5% of our common stock;</w:t>
      </w:r>
    </w:p>
    <w:p>
      <w:pPr>
        <w:spacing w:after="0" w:line="126" w:lineRule="exact"/>
        <w:rPr>
          <w:rFonts w:ascii="Arial" w:cs="Arial" w:eastAsia="Arial" w:hAnsi="Arial"/>
          <w:sz w:val="16"/>
          <w:szCs w:val="16"/>
          <w:color w:val="auto"/>
        </w:rPr>
      </w:pPr>
    </w:p>
    <w:p>
      <w:pPr>
        <w:ind w:left="460" w:hanging="128"/>
        <w:spacing w:after="0"/>
        <w:tabs>
          <w:tab w:leader="none" w:pos="4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each of our Named Executive Officers;</w:t>
      </w:r>
    </w:p>
    <w:p>
      <w:pPr>
        <w:spacing w:after="0" w:line="126" w:lineRule="exact"/>
        <w:rPr>
          <w:rFonts w:ascii="Arial" w:cs="Arial" w:eastAsia="Arial" w:hAnsi="Arial"/>
          <w:sz w:val="16"/>
          <w:szCs w:val="16"/>
          <w:color w:val="auto"/>
        </w:rPr>
      </w:pPr>
    </w:p>
    <w:p>
      <w:pPr>
        <w:ind w:left="460" w:hanging="128"/>
        <w:spacing w:after="0"/>
        <w:tabs>
          <w:tab w:leader="none" w:pos="4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each of our directors and nominees for director; and</w:t>
      </w:r>
    </w:p>
    <w:p>
      <w:pPr>
        <w:spacing w:after="0" w:line="126" w:lineRule="exact"/>
        <w:rPr>
          <w:rFonts w:ascii="Arial" w:cs="Arial" w:eastAsia="Arial" w:hAnsi="Arial"/>
          <w:sz w:val="16"/>
          <w:szCs w:val="16"/>
          <w:color w:val="auto"/>
        </w:rPr>
      </w:pPr>
    </w:p>
    <w:p>
      <w:pPr>
        <w:ind w:left="460" w:hanging="128"/>
        <w:spacing w:after="0"/>
        <w:tabs>
          <w:tab w:leader="none" w:pos="4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all of our current executive officers and directors as a group.</w:t>
      </w:r>
    </w:p>
    <w:p>
      <w:pPr>
        <w:spacing w:after="0" w:line="235" w:lineRule="exact"/>
        <w:rPr>
          <w:sz w:val="20"/>
          <w:szCs w:val="20"/>
          <w:color w:val="auto"/>
        </w:rPr>
      </w:pPr>
    </w:p>
    <w:p>
      <w:pPr>
        <w:spacing w:after="0" w:line="341" w:lineRule="auto"/>
        <w:rPr>
          <w:sz w:val="20"/>
          <w:szCs w:val="20"/>
          <w:color w:val="auto"/>
        </w:rPr>
      </w:pPr>
      <w:r>
        <w:rPr>
          <w:rFonts w:ascii="Arial" w:cs="Arial" w:eastAsia="Arial" w:hAnsi="Arial"/>
          <w:sz w:val="16"/>
          <w:szCs w:val="16"/>
          <w:color w:val="auto"/>
        </w:rPr>
        <w:t>We have determined beneficial ownership in accordance with the rules of the SEC and the information is not necessarily indicative of beneficial ownership for any other purpose. Unless otherwise indicated below, to our knowledge, the persons and entities named in the table have sole voting and sole investment power with respect to all shares that they beneficially owned, subject to community property laws where applicable.</w:t>
      </w:r>
    </w:p>
    <w:p>
      <w:pPr>
        <w:spacing w:after="0" w:line="147" w:lineRule="exact"/>
        <w:rPr>
          <w:sz w:val="20"/>
          <w:szCs w:val="20"/>
          <w:color w:val="auto"/>
        </w:rPr>
      </w:pPr>
    </w:p>
    <w:p>
      <w:pPr>
        <w:ind w:right="160"/>
        <w:spacing w:after="0" w:line="339" w:lineRule="auto"/>
        <w:rPr>
          <w:sz w:val="20"/>
          <w:szCs w:val="20"/>
          <w:color w:val="auto"/>
        </w:rPr>
      </w:pPr>
      <w:r>
        <w:rPr>
          <w:rFonts w:ascii="Arial" w:cs="Arial" w:eastAsia="Arial" w:hAnsi="Arial"/>
          <w:sz w:val="16"/>
          <w:szCs w:val="16"/>
          <w:color w:val="auto"/>
        </w:rPr>
        <w:t>We have based our calculation of the percentage of beneficial ownership on 140,052,835 shares of our common stock outstanding as of November 10, 2021. We have deemed shares of our common stock subject to stock options that are currently exercisable or exercisable within 60 days of November 10, 2021, to be outstanding and to be beneficially owned by the person holding the stock option for the purpose of computing the percentage ownership of that person. We did not deem these shares outstanding, however, for the purpose of computing the percentage ownership of any other person.</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Unless otherwise indicated, the address of each beneficial owner listed in the table below is c/o Zscaler, Inc., 120 Holger Way, San Jose, California 95134.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147955</wp:posOffset>
            </wp:positionV>
            <wp:extent cx="8255" cy="30861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8255" cy="308610"/>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147955</wp:posOffset>
            </wp:positionV>
            <wp:extent cx="8255" cy="30861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8255" cy="308610"/>
                    </a:xfrm>
                    <a:prstGeom prst="rect">
                      <a:avLst/>
                    </a:prstGeom>
                    <a:noFill/>
                  </pic:spPr>
                </pic:pic>
              </a:graphicData>
            </a:graphic>
          </wp:anchor>
        </w:drawing>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220" w:type="dxa"/>
            <w:vAlign w:val="bottom"/>
            <w:shd w:val="clear" w:color="auto" w:fill="000000"/>
          </w:tcPr>
          <w:p>
            <w:pPr>
              <w:spacing w:after="0"/>
              <w:rPr>
                <w:sz w:val="17"/>
                <w:szCs w:val="17"/>
                <w:color w:val="auto"/>
              </w:rPr>
            </w:pPr>
          </w:p>
        </w:tc>
        <w:tc>
          <w:tcPr>
            <w:tcW w:w="2420" w:type="dxa"/>
            <w:vAlign w:val="bottom"/>
            <w:shd w:val="clear" w:color="auto" w:fill="000000"/>
          </w:tcPr>
          <w:p>
            <w:pPr>
              <w:spacing w:after="0"/>
              <w:rPr>
                <w:sz w:val="17"/>
                <w:szCs w:val="17"/>
                <w:color w:val="auto"/>
              </w:rPr>
            </w:pPr>
          </w:p>
        </w:tc>
        <w:tc>
          <w:tcPr>
            <w:tcW w:w="2300" w:type="dxa"/>
            <w:vAlign w:val="bottom"/>
            <w:shd w:val="clear" w:color="auto" w:fill="2B338D"/>
          </w:tcPr>
          <w:p>
            <w:pPr>
              <w:ind w:left="440"/>
              <w:spacing w:after="0"/>
              <w:rPr>
                <w:sz w:val="20"/>
                <w:szCs w:val="20"/>
                <w:color w:val="auto"/>
              </w:rPr>
            </w:pPr>
            <w:r>
              <w:rPr>
                <w:rFonts w:ascii="Arial" w:cs="Arial" w:eastAsia="Arial" w:hAnsi="Arial"/>
                <w:sz w:val="16"/>
                <w:szCs w:val="16"/>
                <w:b w:val="1"/>
                <w:bCs w:val="1"/>
                <w:color w:val="FFFFFF"/>
              </w:rPr>
              <w:t>Number of Shares</w:t>
            </w:r>
          </w:p>
        </w:tc>
        <w:tc>
          <w:tcPr>
            <w:tcW w:w="2280" w:type="dxa"/>
            <w:vAlign w:val="bottom"/>
            <w:shd w:val="clear" w:color="auto" w:fill="009ADA"/>
          </w:tcPr>
          <w:p>
            <w:pPr>
              <w:jc w:val="center"/>
              <w:spacing w:after="0"/>
              <w:rPr>
                <w:sz w:val="20"/>
                <w:szCs w:val="20"/>
                <w:color w:val="auto"/>
              </w:rPr>
            </w:pPr>
            <w:r>
              <w:rPr>
                <w:rFonts w:ascii="Arial" w:cs="Arial" w:eastAsia="Arial" w:hAnsi="Arial"/>
                <w:sz w:val="16"/>
                <w:szCs w:val="16"/>
                <w:b w:val="1"/>
                <w:bCs w:val="1"/>
                <w:color w:val="FFFFFF"/>
              </w:rPr>
              <w:t>Percentage of Shares</w:t>
            </w:r>
          </w:p>
        </w:tc>
      </w:tr>
      <w:tr>
        <w:trPr>
          <w:trHeight w:val="215"/>
        </w:trPr>
        <w:tc>
          <w:tcPr>
            <w:tcW w:w="4220" w:type="dxa"/>
            <w:vAlign w:val="bottom"/>
            <w:shd w:val="clear" w:color="auto" w:fill="000000"/>
          </w:tcPr>
          <w:p>
            <w:pPr>
              <w:ind w:left="100"/>
              <w:spacing w:after="0"/>
              <w:rPr>
                <w:sz w:val="20"/>
                <w:szCs w:val="20"/>
                <w:color w:val="auto"/>
              </w:rPr>
            </w:pPr>
            <w:r>
              <w:rPr>
                <w:rFonts w:ascii="Arial" w:cs="Arial" w:eastAsia="Arial" w:hAnsi="Arial"/>
                <w:sz w:val="16"/>
                <w:szCs w:val="16"/>
                <w:b w:val="1"/>
                <w:bCs w:val="1"/>
                <w:color w:val="FFFFFF"/>
              </w:rPr>
              <w:t>Name of Beneficial Owner</w:t>
            </w:r>
          </w:p>
        </w:tc>
        <w:tc>
          <w:tcPr>
            <w:tcW w:w="2420" w:type="dxa"/>
            <w:vAlign w:val="bottom"/>
            <w:shd w:val="clear" w:color="auto" w:fill="000000"/>
          </w:tcPr>
          <w:p>
            <w:pPr>
              <w:spacing w:after="0"/>
              <w:rPr>
                <w:sz w:val="18"/>
                <w:szCs w:val="18"/>
                <w:color w:val="auto"/>
              </w:rPr>
            </w:pPr>
          </w:p>
        </w:tc>
        <w:tc>
          <w:tcPr>
            <w:tcW w:w="2300" w:type="dxa"/>
            <w:vAlign w:val="bottom"/>
            <w:shd w:val="clear" w:color="auto" w:fill="2B338D"/>
          </w:tcPr>
          <w:p>
            <w:pPr>
              <w:ind w:left="420"/>
              <w:spacing w:after="0"/>
              <w:rPr>
                <w:sz w:val="20"/>
                <w:szCs w:val="20"/>
                <w:color w:val="auto"/>
              </w:rPr>
            </w:pPr>
            <w:r>
              <w:rPr>
                <w:rFonts w:ascii="Arial" w:cs="Arial" w:eastAsia="Arial" w:hAnsi="Arial"/>
                <w:sz w:val="16"/>
                <w:szCs w:val="16"/>
                <w:b w:val="1"/>
                <w:bCs w:val="1"/>
                <w:color w:val="FFFFFF"/>
              </w:rPr>
              <w:t>Beneficially Owned</w:t>
            </w:r>
          </w:p>
        </w:tc>
        <w:tc>
          <w:tcPr>
            <w:tcW w:w="2280" w:type="dxa"/>
            <w:vAlign w:val="bottom"/>
            <w:shd w:val="clear" w:color="auto" w:fill="009ADA"/>
          </w:tcPr>
          <w:p>
            <w:pPr>
              <w:jc w:val="center"/>
              <w:spacing w:after="0"/>
              <w:rPr>
                <w:sz w:val="20"/>
                <w:szCs w:val="20"/>
                <w:color w:val="auto"/>
              </w:rPr>
            </w:pPr>
            <w:r>
              <w:rPr>
                <w:rFonts w:ascii="Arial" w:cs="Arial" w:eastAsia="Arial" w:hAnsi="Arial"/>
                <w:sz w:val="16"/>
                <w:szCs w:val="16"/>
                <w:b w:val="1"/>
                <w:bCs w:val="1"/>
                <w:color w:val="FFFFFF"/>
              </w:rPr>
              <w:t>Beneficially Owned</w:t>
            </w:r>
          </w:p>
        </w:tc>
      </w:tr>
      <w:tr>
        <w:trPr>
          <w:trHeight w:val="74"/>
        </w:trPr>
        <w:tc>
          <w:tcPr>
            <w:tcW w:w="4220" w:type="dxa"/>
            <w:vAlign w:val="bottom"/>
            <w:shd w:val="clear" w:color="auto" w:fill="000000"/>
          </w:tcPr>
          <w:p>
            <w:pPr>
              <w:spacing w:after="0"/>
              <w:rPr>
                <w:sz w:val="6"/>
                <w:szCs w:val="6"/>
                <w:color w:val="auto"/>
              </w:rPr>
            </w:pPr>
          </w:p>
        </w:tc>
        <w:tc>
          <w:tcPr>
            <w:tcW w:w="2420" w:type="dxa"/>
            <w:vAlign w:val="bottom"/>
            <w:shd w:val="clear" w:color="auto" w:fill="000000"/>
          </w:tcPr>
          <w:p>
            <w:pPr>
              <w:spacing w:after="0"/>
              <w:rPr>
                <w:sz w:val="6"/>
                <w:szCs w:val="6"/>
                <w:color w:val="auto"/>
              </w:rPr>
            </w:pPr>
          </w:p>
        </w:tc>
        <w:tc>
          <w:tcPr>
            <w:tcW w:w="2300" w:type="dxa"/>
            <w:vAlign w:val="bottom"/>
            <w:shd w:val="clear" w:color="auto" w:fill="2B338D"/>
          </w:tcPr>
          <w:p>
            <w:pPr>
              <w:spacing w:after="0"/>
              <w:rPr>
                <w:sz w:val="6"/>
                <w:szCs w:val="6"/>
                <w:color w:val="auto"/>
              </w:rPr>
            </w:pPr>
          </w:p>
        </w:tc>
        <w:tc>
          <w:tcPr>
            <w:tcW w:w="2280" w:type="dxa"/>
            <w:vAlign w:val="bottom"/>
            <w:shd w:val="clear" w:color="auto" w:fill="009ADA"/>
          </w:tcPr>
          <w:p>
            <w:pPr>
              <w:spacing w:after="0"/>
              <w:rPr>
                <w:sz w:val="6"/>
                <w:szCs w:val="6"/>
                <w:color w:val="auto"/>
              </w:rPr>
            </w:pPr>
          </w:p>
        </w:tc>
      </w:tr>
      <w:tr>
        <w:trPr>
          <w:trHeight w:val="231"/>
        </w:trPr>
        <w:tc>
          <w:tcPr>
            <w:tcW w:w="4220" w:type="dxa"/>
            <w:vAlign w:val="bottom"/>
          </w:tcPr>
          <w:p>
            <w:pPr>
              <w:ind w:left="100"/>
              <w:spacing w:after="0"/>
              <w:rPr>
                <w:sz w:val="20"/>
                <w:szCs w:val="20"/>
                <w:color w:val="auto"/>
              </w:rPr>
            </w:pPr>
            <w:r>
              <w:rPr>
                <w:rFonts w:ascii="Arial" w:cs="Arial" w:eastAsia="Arial" w:hAnsi="Arial"/>
                <w:sz w:val="14"/>
                <w:szCs w:val="14"/>
                <w:b w:val="1"/>
                <w:bCs w:val="1"/>
                <w:color w:val="auto"/>
              </w:rPr>
              <w:t>5% Stockholders:</w:t>
            </w:r>
          </w:p>
        </w:tc>
        <w:tc>
          <w:tcPr>
            <w:tcW w:w="24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53"/>
        </w:trPr>
        <w:tc>
          <w:tcPr>
            <w:tcW w:w="4220" w:type="dxa"/>
            <w:vAlign w:val="bottom"/>
            <w:tcBorders>
              <w:bottom w:val="single" w:sz="8" w:color="auto"/>
            </w:tcBorders>
          </w:tcPr>
          <w:p>
            <w:pPr>
              <w:spacing w:after="0"/>
              <w:rPr>
                <w:sz w:val="4"/>
                <w:szCs w:val="4"/>
                <w:color w:val="auto"/>
              </w:rPr>
            </w:pPr>
          </w:p>
        </w:tc>
        <w:tc>
          <w:tcPr>
            <w:tcW w:w="4720" w:type="dxa"/>
            <w:vAlign w:val="bottom"/>
            <w:tcBorders>
              <w:bottom w:val="single" w:sz="8" w:color="auto"/>
            </w:tcBorders>
            <w:gridSpan w:val="2"/>
          </w:tcPr>
          <w:p>
            <w:pPr>
              <w:spacing w:after="0"/>
              <w:rPr>
                <w:sz w:val="4"/>
                <w:szCs w:val="4"/>
                <w:color w:val="auto"/>
              </w:rPr>
            </w:pPr>
          </w:p>
        </w:tc>
        <w:tc>
          <w:tcPr>
            <w:tcW w:w="2280" w:type="dxa"/>
            <w:vAlign w:val="bottom"/>
            <w:tcBorders>
              <w:bottom w:val="single" w:sz="8" w:color="auto"/>
            </w:tcBorders>
          </w:tcPr>
          <w:p>
            <w:pPr>
              <w:spacing w:after="0"/>
              <w:rPr>
                <w:sz w:val="4"/>
                <w:szCs w:val="4"/>
                <w:color w:val="auto"/>
              </w:rPr>
            </w:pPr>
          </w:p>
        </w:tc>
      </w:tr>
      <w:tr>
        <w:trPr>
          <w:trHeight w:val="256"/>
        </w:trPr>
        <w:tc>
          <w:tcPr>
            <w:tcW w:w="4220" w:type="dxa"/>
            <w:vAlign w:val="bottom"/>
          </w:tcPr>
          <w:p>
            <w:pPr>
              <w:ind w:left="360"/>
              <w:spacing w:after="0"/>
              <w:rPr>
                <w:sz w:val="20"/>
                <w:szCs w:val="20"/>
                <w:color w:val="auto"/>
              </w:rPr>
            </w:pPr>
            <w:r>
              <w:rPr>
                <w:rFonts w:ascii="Arial" w:cs="Arial" w:eastAsia="Arial" w:hAnsi="Arial"/>
                <w:sz w:val="14"/>
                <w:szCs w:val="14"/>
                <w:color w:val="auto"/>
              </w:rPr>
              <w:t>Ajay Mangal, as trustee</w:t>
            </w:r>
            <w:r>
              <w:rPr>
                <w:rFonts w:ascii="Arial" w:cs="Arial" w:eastAsia="Arial" w:hAnsi="Arial"/>
                <w:sz w:val="18"/>
                <w:szCs w:val="18"/>
                <w:color w:val="auto"/>
                <w:vertAlign w:val="superscript"/>
              </w:rPr>
              <w:t>(1)</w:t>
            </w:r>
          </w:p>
        </w:tc>
        <w:tc>
          <w:tcPr>
            <w:tcW w:w="4720" w:type="dxa"/>
            <w:vAlign w:val="bottom"/>
            <w:gridSpan w:val="2"/>
          </w:tcPr>
          <w:p>
            <w:pPr>
              <w:jc w:val="center"/>
              <w:ind w:left="2368"/>
              <w:spacing w:after="0"/>
              <w:rPr>
                <w:sz w:val="20"/>
                <w:szCs w:val="20"/>
                <w:color w:val="auto"/>
              </w:rPr>
            </w:pPr>
            <w:r>
              <w:rPr>
                <w:rFonts w:ascii="Arial" w:cs="Arial" w:eastAsia="Arial" w:hAnsi="Arial"/>
                <w:sz w:val="14"/>
                <w:szCs w:val="14"/>
                <w:color w:val="auto"/>
              </w:rPr>
              <w:t>29,449,532</w:t>
            </w:r>
          </w:p>
        </w:tc>
        <w:tc>
          <w:tcPr>
            <w:tcW w:w="2280" w:type="dxa"/>
            <w:vAlign w:val="bottom"/>
          </w:tcPr>
          <w:p>
            <w:pPr>
              <w:jc w:val="center"/>
              <w:spacing w:after="0"/>
              <w:rPr>
                <w:sz w:val="20"/>
                <w:szCs w:val="20"/>
                <w:color w:val="auto"/>
              </w:rPr>
            </w:pPr>
            <w:r>
              <w:rPr>
                <w:rFonts w:ascii="Arial" w:cs="Arial" w:eastAsia="Arial" w:hAnsi="Arial"/>
                <w:sz w:val="14"/>
                <w:szCs w:val="14"/>
                <w:color w:val="auto"/>
              </w:rPr>
              <w:t>21%</w:t>
            </w:r>
          </w:p>
        </w:tc>
      </w:tr>
      <w:tr>
        <w:trPr>
          <w:trHeight w:val="21"/>
        </w:trPr>
        <w:tc>
          <w:tcPr>
            <w:tcW w:w="422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r>
      <w:tr>
        <w:trPr>
          <w:trHeight w:val="225"/>
        </w:trPr>
        <w:tc>
          <w:tcPr>
            <w:tcW w:w="4220" w:type="dxa"/>
            <w:vAlign w:val="bottom"/>
          </w:tcPr>
          <w:p>
            <w:pPr>
              <w:ind w:left="100"/>
              <w:spacing w:after="0"/>
              <w:rPr>
                <w:sz w:val="20"/>
                <w:szCs w:val="20"/>
                <w:color w:val="auto"/>
              </w:rPr>
            </w:pPr>
            <w:r>
              <w:rPr>
                <w:rFonts w:ascii="Arial" w:cs="Arial" w:eastAsia="Arial" w:hAnsi="Arial"/>
                <w:sz w:val="14"/>
                <w:szCs w:val="14"/>
                <w:b w:val="1"/>
                <w:bCs w:val="1"/>
                <w:color w:val="auto"/>
              </w:rPr>
              <w:t>Named Executive Officers and Directors:</w:t>
            </w:r>
          </w:p>
        </w:tc>
        <w:tc>
          <w:tcPr>
            <w:tcW w:w="242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52"/>
        </w:trPr>
        <w:tc>
          <w:tcPr>
            <w:tcW w:w="4220" w:type="dxa"/>
            <w:vAlign w:val="bottom"/>
            <w:tcBorders>
              <w:bottom w:val="single" w:sz="8" w:color="auto"/>
            </w:tcBorders>
          </w:tcPr>
          <w:p>
            <w:pPr>
              <w:spacing w:after="0"/>
              <w:rPr>
                <w:sz w:val="4"/>
                <w:szCs w:val="4"/>
                <w:color w:val="auto"/>
              </w:rPr>
            </w:pPr>
          </w:p>
        </w:tc>
        <w:tc>
          <w:tcPr>
            <w:tcW w:w="4720" w:type="dxa"/>
            <w:vAlign w:val="bottom"/>
            <w:tcBorders>
              <w:bottom w:val="single" w:sz="8" w:color="auto"/>
            </w:tcBorders>
            <w:gridSpan w:val="2"/>
          </w:tcPr>
          <w:p>
            <w:pPr>
              <w:spacing w:after="0"/>
              <w:rPr>
                <w:sz w:val="4"/>
                <w:szCs w:val="4"/>
                <w:color w:val="auto"/>
              </w:rPr>
            </w:pPr>
          </w:p>
        </w:tc>
        <w:tc>
          <w:tcPr>
            <w:tcW w:w="2280" w:type="dxa"/>
            <w:vAlign w:val="bottom"/>
            <w:tcBorders>
              <w:bottom w:val="single" w:sz="8" w:color="auto"/>
            </w:tcBorders>
          </w:tcPr>
          <w:p>
            <w:pPr>
              <w:spacing w:after="0"/>
              <w:rPr>
                <w:sz w:val="4"/>
                <w:szCs w:val="4"/>
                <w:color w:val="auto"/>
              </w:rPr>
            </w:pPr>
          </w:p>
        </w:tc>
      </w:tr>
      <w:tr>
        <w:trPr>
          <w:trHeight w:val="257"/>
        </w:trPr>
        <w:tc>
          <w:tcPr>
            <w:tcW w:w="4220" w:type="dxa"/>
            <w:vAlign w:val="bottom"/>
          </w:tcPr>
          <w:p>
            <w:pPr>
              <w:ind w:left="360"/>
              <w:spacing w:after="0"/>
              <w:rPr>
                <w:sz w:val="20"/>
                <w:szCs w:val="20"/>
                <w:color w:val="auto"/>
              </w:rPr>
            </w:pPr>
            <w:r>
              <w:rPr>
                <w:rFonts w:ascii="Arial" w:cs="Arial" w:eastAsia="Arial" w:hAnsi="Arial"/>
                <w:sz w:val="14"/>
                <w:szCs w:val="14"/>
                <w:color w:val="auto"/>
              </w:rPr>
              <w:t>Jay Chaudhry</w:t>
            </w:r>
            <w:r>
              <w:rPr>
                <w:rFonts w:ascii="Arial" w:cs="Arial" w:eastAsia="Arial" w:hAnsi="Arial"/>
                <w:sz w:val="18"/>
                <w:szCs w:val="18"/>
                <w:color w:val="auto"/>
                <w:vertAlign w:val="superscript"/>
              </w:rPr>
              <w:t>(2)</w:t>
            </w:r>
          </w:p>
        </w:tc>
        <w:tc>
          <w:tcPr>
            <w:tcW w:w="4720" w:type="dxa"/>
            <w:vAlign w:val="bottom"/>
            <w:gridSpan w:val="2"/>
          </w:tcPr>
          <w:p>
            <w:pPr>
              <w:jc w:val="center"/>
              <w:ind w:left="2368"/>
              <w:spacing w:after="0"/>
              <w:rPr>
                <w:sz w:val="20"/>
                <w:szCs w:val="20"/>
                <w:color w:val="auto"/>
              </w:rPr>
            </w:pPr>
            <w:r>
              <w:rPr>
                <w:rFonts w:ascii="Arial" w:cs="Arial" w:eastAsia="Arial" w:hAnsi="Arial"/>
                <w:sz w:val="14"/>
                <w:szCs w:val="14"/>
                <w:color w:val="auto"/>
              </w:rPr>
              <w:t>26,886,396</w:t>
            </w:r>
          </w:p>
        </w:tc>
        <w:tc>
          <w:tcPr>
            <w:tcW w:w="2280" w:type="dxa"/>
            <w:vAlign w:val="bottom"/>
          </w:tcPr>
          <w:p>
            <w:pPr>
              <w:jc w:val="center"/>
              <w:spacing w:after="0"/>
              <w:rPr>
                <w:sz w:val="20"/>
                <w:szCs w:val="20"/>
                <w:color w:val="auto"/>
              </w:rPr>
            </w:pPr>
            <w:r>
              <w:rPr>
                <w:rFonts w:ascii="Arial" w:cs="Arial" w:eastAsia="Arial" w:hAnsi="Arial"/>
                <w:sz w:val="14"/>
                <w:szCs w:val="14"/>
                <w:color w:val="auto"/>
              </w:rPr>
              <w:t>19.2%</w:t>
            </w:r>
          </w:p>
        </w:tc>
      </w:tr>
      <w:tr>
        <w:trPr>
          <w:trHeight w:val="20"/>
        </w:trPr>
        <w:tc>
          <w:tcPr>
            <w:tcW w:w="4220" w:type="dxa"/>
            <w:vAlign w:val="bottom"/>
            <w:tcBorders>
              <w:bottom w:val="single" w:sz="8" w:color="auto"/>
            </w:tcBorders>
          </w:tcPr>
          <w:p>
            <w:pPr>
              <w:spacing w:after="0" w:line="20" w:lineRule="exact"/>
              <w:rPr>
                <w:sz w:val="1"/>
                <w:szCs w:val="1"/>
                <w:color w:val="auto"/>
              </w:rPr>
            </w:pPr>
          </w:p>
        </w:tc>
        <w:tc>
          <w:tcPr>
            <w:tcW w:w="4720" w:type="dxa"/>
            <w:vAlign w:val="bottom"/>
            <w:tcBorders>
              <w:bottom w:val="single" w:sz="8" w:color="auto"/>
            </w:tcBorders>
            <w:gridSpan w:val="2"/>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r>
      <w:tr>
        <w:trPr>
          <w:trHeight w:val="257"/>
        </w:trPr>
        <w:tc>
          <w:tcPr>
            <w:tcW w:w="4220" w:type="dxa"/>
            <w:vAlign w:val="bottom"/>
          </w:tcPr>
          <w:p>
            <w:pPr>
              <w:ind w:left="360"/>
              <w:spacing w:after="0"/>
              <w:rPr>
                <w:sz w:val="20"/>
                <w:szCs w:val="20"/>
                <w:color w:val="auto"/>
              </w:rPr>
            </w:pPr>
            <w:r>
              <w:rPr>
                <w:rFonts w:ascii="Arial" w:cs="Arial" w:eastAsia="Arial" w:hAnsi="Arial"/>
                <w:sz w:val="14"/>
                <w:szCs w:val="14"/>
                <w:color w:val="auto"/>
              </w:rPr>
              <w:t>Remo Canessa</w:t>
            </w:r>
            <w:r>
              <w:rPr>
                <w:rFonts w:ascii="Arial" w:cs="Arial" w:eastAsia="Arial" w:hAnsi="Arial"/>
                <w:sz w:val="18"/>
                <w:szCs w:val="18"/>
                <w:color w:val="auto"/>
                <w:vertAlign w:val="superscript"/>
              </w:rPr>
              <w:t>(3)</w:t>
            </w:r>
          </w:p>
        </w:tc>
        <w:tc>
          <w:tcPr>
            <w:tcW w:w="4720" w:type="dxa"/>
            <w:vAlign w:val="bottom"/>
            <w:gridSpan w:val="2"/>
          </w:tcPr>
          <w:p>
            <w:pPr>
              <w:jc w:val="center"/>
              <w:ind w:left="2368"/>
              <w:spacing w:after="0"/>
              <w:rPr>
                <w:sz w:val="20"/>
                <w:szCs w:val="20"/>
                <w:color w:val="auto"/>
              </w:rPr>
            </w:pPr>
            <w:r>
              <w:rPr>
                <w:rFonts w:ascii="Arial" w:cs="Arial" w:eastAsia="Arial" w:hAnsi="Arial"/>
                <w:sz w:val="14"/>
                <w:szCs w:val="14"/>
                <w:color w:val="auto"/>
              </w:rPr>
              <w:t>174,848</w:t>
            </w:r>
          </w:p>
        </w:tc>
        <w:tc>
          <w:tcPr>
            <w:tcW w:w="2280" w:type="dxa"/>
            <w:vAlign w:val="bottom"/>
          </w:tcPr>
          <w:p>
            <w:pPr>
              <w:jc w:val="center"/>
              <w:spacing w:after="0"/>
              <w:rPr>
                <w:sz w:val="20"/>
                <w:szCs w:val="20"/>
                <w:color w:val="auto"/>
              </w:rPr>
            </w:pPr>
            <w:r>
              <w:rPr>
                <w:rFonts w:ascii="Arial" w:cs="Arial" w:eastAsia="Arial" w:hAnsi="Arial"/>
                <w:sz w:val="14"/>
                <w:szCs w:val="14"/>
                <w:color w:val="auto"/>
              </w:rPr>
              <w:t>*</w:t>
            </w:r>
          </w:p>
        </w:tc>
      </w:tr>
      <w:tr>
        <w:trPr>
          <w:trHeight w:val="20"/>
        </w:trPr>
        <w:tc>
          <w:tcPr>
            <w:tcW w:w="4220" w:type="dxa"/>
            <w:vAlign w:val="bottom"/>
            <w:tcBorders>
              <w:bottom w:val="single" w:sz="8" w:color="auto"/>
            </w:tcBorders>
          </w:tcPr>
          <w:p>
            <w:pPr>
              <w:spacing w:after="0" w:line="20" w:lineRule="exact"/>
              <w:rPr>
                <w:sz w:val="1"/>
                <w:szCs w:val="1"/>
                <w:color w:val="auto"/>
              </w:rPr>
            </w:pPr>
          </w:p>
        </w:tc>
        <w:tc>
          <w:tcPr>
            <w:tcW w:w="4720" w:type="dxa"/>
            <w:vAlign w:val="bottom"/>
            <w:tcBorders>
              <w:bottom w:val="single" w:sz="8" w:color="auto"/>
            </w:tcBorders>
            <w:gridSpan w:val="2"/>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r>
      <w:tr>
        <w:trPr>
          <w:trHeight w:val="256"/>
        </w:trPr>
        <w:tc>
          <w:tcPr>
            <w:tcW w:w="4220" w:type="dxa"/>
            <w:vAlign w:val="bottom"/>
          </w:tcPr>
          <w:p>
            <w:pPr>
              <w:ind w:left="360"/>
              <w:spacing w:after="0"/>
              <w:rPr>
                <w:sz w:val="20"/>
                <w:szCs w:val="20"/>
                <w:color w:val="auto"/>
              </w:rPr>
            </w:pPr>
            <w:r>
              <w:rPr>
                <w:rFonts w:ascii="Arial" w:cs="Arial" w:eastAsia="Arial" w:hAnsi="Arial"/>
                <w:sz w:val="14"/>
                <w:szCs w:val="14"/>
                <w:color w:val="auto"/>
              </w:rPr>
              <w:t>Amit Sinha, Ph.D.</w:t>
            </w:r>
            <w:r>
              <w:rPr>
                <w:rFonts w:ascii="Arial" w:cs="Arial" w:eastAsia="Arial" w:hAnsi="Arial"/>
                <w:sz w:val="18"/>
                <w:szCs w:val="18"/>
                <w:color w:val="auto"/>
                <w:vertAlign w:val="superscript"/>
              </w:rPr>
              <w:t>(4)</w:t>
            </w:r>
          </w:p>
        </w:tc>
        <w:tc>
          <w:tcPr>
            <w:tcW w:w="4720" w:type="dxa"/>
            <w:vAlign w:val="bottom"/>
            <w:gridSpan w:val="2"/>
          </w:tcPr>
          <w:p>
            <w:pPr>
              <w:jc w:val="center"/>
              <w:ind w:left="2368"/>
              <w:spacing w:after="0"/>
              <w:rPr>
                <w:sz w:val="20"/>
                <w:szCs w:val="20"/>
                <w:color w:val="auto"/>
              </w:rPr>
            </w:pPr>
            <w:r>
              <w:rPr>
                <w:rFonts w:ascii="Arial" w:cs="Arial" w:eastAsia="Arial" w:hAnsi="Arial"/>
                <w:sz w:val="14"/>
                <w:szCs w:val="14"/>
                <w:color w:val="auto"/>
              </w:rPr>
              <w:t>521,318</w:t>
            </w:r>
          </w:p>
        </w:tc>
        <w:tc>
          <w:tcPr>
            <w:tcW w:w="2280" w:type="dxa"/>
            <w:vAlign w:val="bottom"/>
          </w:tcPr>
          <w:p>
            <w:pPr>
              <w:jc w:val="center"/>
              <w:spacing w:after="0"/>
              <w:rPr>
                <w:sz w:val="20"/>
                <w:szCs w:val="20"/>
                <w:color w:val="auto"/>
              </w:rPr>
            </w:pPr>
            <w:r>
              <w:rPr>
                <w:rFonts w:ascii="Arial" w:cs="Arial" w:eastAsia="Arial" w:hAnsi="Arial"/>
                <w:sz w:val="14"/>
                <w:szCs w:val="14"/>
                <w:color w:val="auto"/>
              </w:rPr>
              <w:t>*</w:t>
            </w:r>
          </w:p>
        </w:tc>
      </w:tr>
      <w:tr>
        <w:trPr>
          <w:trHeight w:val="21"/>
        </w:trPr>
        <w:tc>
          <w:tcPr>
            <w:tcW w:w="4220" w:type="dxa"/>
            <w:vAlign w:val="bottom"/>
            <w:tcBorders>
              <w:bottom w:val="single" w:sz="8" w:color="auto"/>
            </w:tcBorders>
          </w:tcPr>
          <w:p>
            <w:pPr>
              <w:spacing w:after="0" w:line="20" w:lineRule="exact"/>
              <w:rPr>
                <w:sz w:val="1"/>
                <w:szCs w:val="1"/>
                <w:color w:val="auto"/>
              </w:rPr>
            </w:pPr>
          </w:p>
        </w:tc>
        <w:tc>
          <w:tcPr>
            <w:tcW w:w="4720" w:type="dxa"/>
            <w:vAlign w:val="bottom"/>
            <w:tcBorders>
              <w:bottom w:val="single" w:sz="8" w:color="auto"/>
            </w:tcBorders>
            <w:gridSpan w:val="2"/>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r>
      <w:tr>
        <w:trPr>
          <w:trHeight w:val="257"/>
        </w:trPr>
        <w:tc>
          <w:tcPr>
            <w:tcW w:w="4220" w:type="dxa"/>
            <w:vAlign w:val="bottom"/>
          </w:tcPr>
          <w:p>
            <w:pPr>
              <w:ind w:left="360"/>
              <w:spacing w:after="0"/>
              <w:rPr>
                <w:sz w:val="20"/>
                <w:szCs w:val="20"/>
                <w:color w:val="auto"/>
              </w:rPr>
            </w:pPr>
            <w:r>
              <w:rPr>
                <w:rFonts w:ascii="Arial" w:cs="Arial" w:eastAsia="Arial" w:hAnsi="Arial"/>
                <w:sz w:val="14"/>
                <w:szCs w:val="14"/>
                <w:color w:val="auto"/>
              </w:rPr>
              <w:t>Dali Rajic</w:t>
            </w:r>
            <w:r>
              <w:rPr>
                <w:rFonts w:ascii="Arial" w:cs="Arial" w:eastAsia="Arial" w:hAnsi="Arial"/>
                <w:sz w:val="18"/>
                <w:szCs w:val="18"/>
                <w:color w:val="auto"/>
                <w:vertAlign w:val="superscript"/>
              </w:rPr>
              <w:t>(5)</w:t>
            </w:r>
          </w:p>
        </w:tc>
        <w:tc>
          <w:tcPr>
            <w:tcW w:w="4720" w:type="dxa"/>
            <w:vAlign w:val="bottom"/>
            <w:gridSpan w:val="2"/>
          </w:tcPr>
          <w:p>
            <w:pPr>
              <w:jc w:val="center"/>
              <w:ind w:left="2368"/>
              <w:spacing w:after="0"/>
              <w:rPr>
                <w:sz w:val="20"/>
                <w:szCs w:val="20"/>
                <w:color w:val="auto"/>
              </w:rPr>
            </w:pPr>
            <w:r>
              <w:rPr>
                <w:rFonts w:ascii="Arial" w:cs="Arial" w:eastAsia="Arial" w:hAnsi="Arial"/>
                <w:sz w:val="14"/>
                <w:szCs w:val="14"/>
                <w:color w:val="auto"/>
              </w:rPr>
              <w:t>151,201</w:t>
            </w:r>
          </w:p>
        </w:tc>
        <w:tc>
          <w:tcPr>
            <w:tcW w:w="2280" w:type="dxa"/>
            <w:vAlign w:val="bottom"/>
          </w:tcPr>
          <w:p>
            <w:pPr>
              <w:jc w:val="center"/>
              <w:spacing w:after="0"/>
              <w:rPr>
                <w:sz w:val="20"/>
                <w:szCs w:val="20"/>
                <w:color w:val="auto"/>
              </w:rPr>
            </w:pPr>
            <w:r>
              <w:rPr>
                <w:rFonts w:ascii="Arial" w:cs="Arial" w:eastAsia="Arial" w:hAnsi="Arial"/>
                <w:sz w:val="14"/>
                <w:szCs w:val="14"/>
                <w:color w:val="auto"/>
              </w:rPr>
              <w:t>*</w:t>
            </w:r>
          </w:p>
        </w:tc>
      </w:tr>
      <w:tr>
        <w:trPr>
          <w:trHeight w:val="20"/>
        </w:trPr>
        <w:tc>
          <w:tcPr>
            <w:tcW w:w="4220" w:type="dxa"/>
            <w:vAlign w:val="bottom"/>
            <w:tcBorders>
              <w:bottom w:val="single" w:sz="8" w:color="auto"/>
            </w:tcBorders>
          </w:tcPr>
          <w:p>
            <w:pPr>
              <w:spacing w:after="0" w:line="20" w:lineRule="exact"/>
              <w:rPr>
                <w:sz w:val="1"/>
                <w:szCs w:val="1"/>
                <w:color w:val="auto"/>
              </w:rPr>
            </w:pPr>
          </w:p>
        </w:tc>
        <w:tc>
          <w:tcPr>
            <w:tcW w:w="4720" w:type="dxa"/>
            <w:vAlign w:val="bottom"/>
            <w:tcBorders>
              <w:bottom w:val="single" w:sz="8" w:color="auto"/>
            </w:tcBorders>
            <w:gridSpan w:val="2"/>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r>
      <w:tr>
        <w:trPr>
          <w:trHeight w:val="257"/>
        </w:trPr>
        <w:tc>
          <w:tcPr>
            <w:tcW w:w="4220" w:type="dxa"/>
            <w:vAlign w:val="bottom"/>
          </w:tcPr>
          <w:p>
            <w:pPr>
              <w:ind w:left="360"/>
              <w:spacing w:after="0"/>
              <w:rPr>
                <w:sz w:val="20"/>
                <w:szCs w:val="20"/>
                <w:color w:val="auto"/>
              </w:rPr>
            </w:pPr>
            <w:r>
              <w:rPr>
                <w:rFonts w:ascii="Arial" w:cs="Arial" w:eastAsia="Arial" w:hAnsi="Arial"/>
                <w:sz w:val="14"/>
                <w:szCs w:val="14"/>
                <w:color w:val="auto"/>
              </w:rPr>
              <w:t>Robert Schlossman</w:t>
            </w:r>
            <w:r>
              <w:rPr>
                <w:rFonts w:ascii="Arial" w:cs="Arial" w:eastAsia="Arial" w:hAnsi="Arial"/>
                <w:sz w:val="18"/>
                <w:szCs w:val="18"/>
                <w:color w:val="auto"/>
                <w:vertAlign w:val="superscript"/>
              </w:rPr>
              <w:t>(6)</w:t>
            </w:r>
          </w:p>
        </w:tc>
        <w:tc>
          <w:tcPr>
            <w:tcW w:w="4720" w:type="dxa"/>
            <w:vAlign w:val="bottom"/>
            <w:gridSpan w:val="2"/>
          </w:tcPr>
          <w:p>
            <w:pPr>
              <w:jc w:val="center"/>
              <w:ind w:left="2368"/>
              <w:spacing w:after="0"/>
              <w:rPr>
                <w:sz w:val="20"/>
                <w:szCs w:val="20"/>
                <w:color w:val="auto"/>
              </w:rPr>
            </w:pPr>
            <w:r>
              <w:rPr>
                <w:rFonts w:ascii="Arial" w:cs="Arial" w:eastAsia="Arial" w:hAnsi="Arial"/>
                <w:sz w:val="14"/>
                <w:szCs w:val="14"/>
                <w:color w:val="auto"/>
              </w:rPr>
              <w:t>35,806</w:t>
            </w:r>
          </w:p>
        </w:tc>
        <w:tc>
          <w:tcPr>
            <w:tcW w:w="2280" w:type="dxa"/>
            <w:vAlign w:val="bottom"/>
          </w:tcPr>
          <w:p>
            <w:pPr>
              <w:jc w:val="center"/>
              <w:spacing w:after="0"/>
              <w:rPr>
                <w:sz w:val="20"/>
                <w:szCs w:val="20"/>
                <w:color w:val="auto"/>
              </w:rPr>
            </w:pPr>
            <w:r>
              <w:rPr>
                <w:rFonts w:ascii="Arial" w:cs="Arial" w:eastAsia="Arial" w:hAnsi="Arial"/>
                <w:sz w:val="14"/>
                <w:szCs w:val="14"/>
                <w:color w:val="auto"/>
              </w:rPr>
              <w:t>*</w:t>
            </w:r>
          </w:p>
        </w:tc>
      </w:tr>
      <w:tr>
        <w:trPr>
          <w:trHeight w:val="20"/>
        </w:trPr>
        <w:tc>
          <w:tcPr>
            <w:tcW w:w="4220" w:type="dxa"/>
            <w:vAlign w:val="bottom"/>
            <w:tcBorders>
              <w:bottom w:val="single" w:sz="8" w:color="auto"/>
            </w:tcBorders>
          </w:tcPr>
          <w:p>
            <w:pPr>
              <w:spacing w:after="0" w:line="20" w:lineRule="exact"/>
              <w:rPr>
                <w:sz w:val="1"/>
                <w:szCs w:val="1"/>
                <w:color w:val="auto"/>
              </w:rPr>
            </w:pPr>
          </w:p>
        </w:tc>
        <w:tc>
          <w:tcPr>
            <w:tcW w:w="4720" w:type="dxa"/>
            <w:vAlign w:val="bottom"/>
            <w:tcBorders>
              <w:bottom w:val="single" w:sz="8" w:color="auto"/>
            </w:tcBorders>
            <w:gridSpan w:val="2"/>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r>
      <w:tr>
        <w:trPr>
          <w:trHeight w:val="257"/>
        </w:trPr>
        <w:tc>
          <w:tcPr>
            <w:tcW w:w="4220" w:type="dxa"/>
            <w:vAlign w:val="bottom"/>
          </w:tcPr>
          <w:p>
            <w:pPr>
              <w:ind w:left="360"/>
              <w:spacing w:after="0"/>
              <w:rPr>
                <w:sz w:val="20"/>
                <w:szCs w:val="20"/>
                <w:color w:val="auto"/>
              </w:rPr>
            </w:pPr>
            <w:r>
              <w:rPr>
                <w:rFonts w:ascii="Arial" w:cs="Arial" w:eastAsia="Arial" w:hAnsi="Arial"/>
                <w:sz w:val="14"/>
                <w:szCs w:val="14"/>
                <w:color w:val="auto"/>
              </w:rPr>
              <w:t>Karen Blasing</w:t>
            </w:r>
            <w:r>
              <w:rPr>
                <w:rFonts w:ascii="Arial" w:cs="Arial" w:eastAsia="Arial" w:hAnsi="Arial"/>
                <w:sz w:val="18"/>
                <w:szCs w:val="18"/>
                <w:color w:val="auto"/>
                <w:vertAlign w:val="superscript"/>
              </w:rPr>
              <w:t>(7)</w:t>
            </w:r>
          </w:p>
        </w:tc>
        <w:tc>
          <w:tcPr>
            <w:tcW w:w="4720" w:type="dxa"/>
            <w:vAlign w:val="bottom"/>
            <w:gridSpan w:val="2"/>
          </w:tcPr>
          <w:p>
            <w:pPr>
              <w:jc w:val="center"/>
              <w:ind w:left="2368"/>
              <w:spacing w:after="0"/>
              <w:rPr>
                <w:sz w:val="20"/>
                <w:szCs w:val="20"/>
                <w:color w:val="auto"/>
              </w:rPr>
            </w:pPr>
            <w:r>
              <w:rPr>
                <w:rFonts w:ascii="Arial" w:cs="Arial" w:eastAsia="Arial" w:hAnsi="Arial"/>
                <w:sz w:val="14"/>
                <w:szCs w:val="14"/>
                <w:color w:val="auto"/>
              </w:rPr>
              <w:t>142,721</w:t>
            </w:r>
          </w:p>
        </w:tc>
        <w:tc>
          <w:tcPr>
            <w:tcW w:w="2280" w:type="dxa"/>
            <w:vAlign w:val="bottom"/>
          </w:tcPr>
          <w:p>
            <w:pPr>
              <w:jc w:val="center"/>
              <w:spacing w:after="0"/>
              <w:rPr>
                <w:sz w:val="20"/>
                <w:szCs w:val="20"/>
                <w:color w:val="auto"/>
              </w:rPr>
            </w:pPr>
            <w:r>
              <w:rPr>
                <w:rFonts w:ascii="Arial" w:cs="Arial" w:eastAsia="Arial" w:hAnsi="Arial"/>
                <w:sz w:val="14"/>
                <w:szCs w:val="14"/>
                <w:color w:val="auto"/>
              </w:rPr>
              <w:t>*</w:t>
            </w:r>
          </w:p>
        </w:tc>
      </w:tr>
      <w:tr>
        <w:trPr>
          <w:trHeight w:val="20"/>
        </w:trPr>
        <w:tc>
          <w:tcPr>
            <w:tcW w:w="4220" w:type="dxa"/>
            <w:vAlign w:val="bottom"/>
            <w:tcBorders>
              <w:bottom w:val="single" w:sz="8" w:color="auto"/>
            </w:tcBorders>
          </w:tcPr>
          <w:p>
            <w:pPr>
              <w:spacing w:after="0" w:line="20" w:lineRule="exact"/>
              <w:rPr>
                <w:sz w:val="1"/>
                <w:szCs w:val="1"/>
                <w:color w:val="auto"/>
              </w:rPr>
            </w:pPr>
          </w:p>
        </w:tc>
        <w:tc>
          <w:tcPr>
            <w:tcW w:w="4720" w:type="dxa"/>
            <w:vAlign w:val="bottom"/>
            <w:tcBorders>
              <w:bottom w:val="single" w:sz="8" w:color="auto"/>
            </w:tcBorders>
            <w:gridSpan w:val="2"/>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r>
      <w:tr>
        <w:trPr>
          <w:trHeight w:val="256"/>
        </w:trPr>
        <w:tc>
          <w:tcPr>
            <w:tcW w:w="4220" w:type="dxa"/>
            <w:vAlign w:val="bottom"/>
          </w:tcPr>
          <w:p>
            <w:pPr>
              <w:ind w:left="360"/>
              <w:spacing w:after="0"/>
              <w:rPr>
                <w:sz w:val="20"/>
                <w:szCs w:val="20"/>
                <w:color w:val="auto"/>
              </w:rPr>
            </w:pPr>
            <w:r>
              <w:rPr>
                <w:rFonts w:ascii="Arial" w:cs="Arial" w:eastAsia="Arial" w:hAnsi="Arial"/>
                <w:sz w:val="14"/>
                <w:szCs w:val="14"/>
                <w:color w:val="auto"/>
              </w:rPr>
              <w:t>Andrew Brown</w:t>
            </w:r>
            <w:r>
              <w:rPr>
                <w:rFonts w:ascii="Arial" w:cs="Arial" w:eastAsia="Arial" w:hAnsi="Arial"/>
                <w:sz w:val="18"/>
                <w:szCs w:val="18"/>
                <w:color w:val="auto"/>
                <w:vertAlign w:val="superscript"/>
              </w:rPr>
              <w:t>(8)</w:t>
            </w:r>
          </w:p>
        </w:tc>
        <w:tc>
          <w:tcPr>
            <w:tcW w:w="4720" w:type="dxa"/>
            <w:vAlign w:val="bottom"/>
            <w:gridSpan w:val="2"/>
          </w:tcPr>
          <w:p>
            <w:pPr>
              <w:jc w:val="center"/>
              <w:ind w:left="2368"/>
              <w:spacing w:after="0"/>
              <w:rPr>
                <w:sz w:val="20"/>
                <w:szCs w:val="20"/>
                <w:color w:val="auto"/>
              </w:rPr>
            </w:pPr>
            <w:r>
              <w:rPr>
                <w:rFonts w:ascii="Arial" w:cs="Arial" w:eastAsia="Arial" w:hAnsi="Arial"/>
                <w:sz w:val="14"/>
                <w:szCs w:val="14"/>
                <w:color w:val="auto"/>
              </w:rPr>
              <w:t>65,965</w:t>
            </w:r>
          </w:p>
        </w:tc>
        <w:tc>
          <w:tcPr>
            <w:tcW w:w="2280" w:type="dxa"/>
            <w:vAlign w:val="bottom"/>
          </w:tcPr>
          <w:p>
            <w:pPr>
              <w:jc w:val="center"/>
              <w:spacing w:after="0"/>
              <w:rPr>
                <w:sz w:val="20"/>
                <w:szCs w:val="20"/>
                <w:color w:val="auto"/>
              </w:rPr>
            </w:pPr>
            <w:r>
              <w:rPr>
                <w:rFonts w:ascii="Arial" w:cs="Arial" w:eastAsia="Arial" w:hAnsi="Arial"/>
                <w:sz w:val="14"/>
                <w:szCs w:val="14"/>
                <w:color w:val="auto"/>
              </w:rPr>
              <w:t>*</w:t>
            </w:r>
          </w:p>
        </w:tc>
      </w:tr>
      <w:tr>
        <w:trPr>
          <w:trHeight w:val="21"/>
        </w:trPr>
        <w:tc>
          <w:tcPr>
            <w:tcW w:w="4220" w:type="dxa"/>
            <w:vAlign w:val="bottom"/>
            <w:tcBorders>
              <w:bottom w:val="single" w:sz="8" w:color="auto"/>
            </w:tcBorders>
          </w:tcPr>
          <w:p>
            <w:pPr>
              <w:spacing w:after="0" w:line="20" w:lineRule="exact"/>
              <w:rPr>
                <w:sz w:val="1"/>
                <w:szCs w:val="1"/>
                <w:color w:val="auto"/>
              </w:rPr>
            </w:pPr>
          </w:p>
        </w:tc>
        <w:tc>
          <w:tcPr>
            <w:tcW w:w="4720" w:type="dxa"/>
            <w:vAlign w:val="bottom"/>
            <w:tcBorders>
              <w:bottom w:val="single" w:sz="8" w:color="auto"/>
            </w:tcBorders>
            <w:gridSpan w:val="2"/>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r>
      <w:tr>
        <w:trPr>
          <w:trHeight w:val="257"/>
        </w:trPr>
        <w:tc>
          <w:tcPr>
            <w:tcW w:w="4220" w:type="dxa"/>
            <w:vAlign w:val="bottom"/>
          </w:tcPr>
          <w:p>
            <w:pPr>
              <w:ind w:left="360"/>
              <w:spacing w:after="0"/>
              <w:rPr>
                <w:sz w:val="20"/>
                <w:szCs w:val="20"/>
                <w:color w:val="auto"/>
              </w:rPr>
            </w:pPr>
            <w:r>
              <w:rPr>
                <w:rFonts w:ascii="Arial" w:cs="Arial" w:eastAsia="Arial" w:hAnsi="Arial"/>
                <w:sz w:val="14"/>
                <w:szCs w:val="14"/>
                <w:color w:val="auto"/>
              </w:rPr>
              <w:t>Scott Darling</w:t>
            </w:r>
            <w:r>
              <w:rPr>
                <w:rFonts w:ascii="Arial" w:cs="Arial" w:eastAsia="Arial" w:hAnsi="Arial"/>
                <w:sz w:val="18"/>
                <w:szCs w:val="18"/>
                <w:color w:val="auto"/>
                <w:vertAlign w:val="superscript"/>
              </w:rPr>
              <w:t>(9)</w:t>
            </w:r>
          </w:p>
        </w:tc>
        <w:tc>
          <w:tcPr>
            <w:tcW w:w="4720" w:type="dxa"/>
            <w:vAlign w:val="bottom"/>
            <w:gridSpan w:val="2"/>
          </w:tcPr>
          <w:p>
            <w:pPr>
              <w:jc w:val="center"/>
              <w:ind w:left="2368"/>
              <w:spacing w:after="0"/>
              <w:rPr>
                <w:sz w:val="20"/>
                <w:szCs w:val="20"/>
                <w:color w:val="auto"/>
              </w:rPr>
            </w:pPr>
            <w:r>
              <w:rPr>
                <w:rFonts w:ascii="Arial" w:cs="Arial" w:eastAsia="Arial" w:hAnsi="Arial"/>
                <w:sz w:val="14"/>
                <w:szCs w:val="14"/>
                <w:color w:val="auto"/>
              </w:rPr>
              <w:t>72,430</w:t>
            </w:r>
          </w:p>
        </w:tc>
        <w:tc>
          <w:tcPr>
            <w:tcW w:w="2280" w:type="dxa"/>
            <w:vAlign w:val="bottom"/>
          </w:tcPr>
          <w:p>
            <w:pPr>
              <w:jc w:val="center"/>
              <w:spacing w:after="0"/>
              <w:rPr>
                <w:sz w:val="20"/>
                <w:szCs w:val="20"/>
                <w:color w:val="auto"/>
              </w:rPr>
            </w:pPr>
            <w:r>
              <w:rPr>
                <w:rFonts w:ascii="Arial" w:cs="Arial" w:eastAsia="Arial" w:hAnsi="Arial"/>
                <w:sz w:val="14"/>
                <w:szCs w:val="14"/>
                <w:color w:val="auto"/>
              </w:rPr>
              <w:t>*</w:t>
            </w:r>
          </w:p>
        </w:tc>
      </w:tr>
      <w:tr>
        <w:trPr>
          <w:trHeight w:val="20"/>
        </w:trPr>
        <w:tc>
          <w:tcPr>
            <w:tcW w:w="4220" w:type="dxa"/>
            <w:vAlign w:val="bottom"/>
            <w:tcBorders>
              <w:bottom w:val="single" w:sz="8" w:color="auto"/>
            </w:tcBorders>
          </w:tcPr>
          <w:p>
            <w:pPr>
              <w:spacing w:after="0" w:line="20" w:lineRule="exact"/>
              <w:rPr>
                <w:sz w:val="1"/>
                <w:szCs w:val="1"/>
                <w:color w:val="auto"/>
              </w:rPr>
            </w:pPr>
          </w:p>
        </w:tc>
        <w:tc>
          <w:tcPr>
            <w:tcW w:w="4720" w:type="dxa"/>
            <w:vAlign w:val="bottom"/>
            <w:tcBorders>
              <w:bottom w:val="single" w:sz="8" w:color="auto"/>
            </w:tcBorders>
            <w:gridSpan w:val="2"/>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r>
      <w:tr>
        <w:trPr>
          <w:trHeight w:val="257"/>
        </w:trPr>
        <w:tc>
          <w:tcPr>
            <w:tcW w:w="4220" w:type="dxa"/>
            <w:vAlign w:val="bottom"/>
          </w:tcPr>
          <w:p>
            <w:pPr>
              <w:ind w:left="360"/>
              <w:spacing w:after="0"/>
              <w:rPr>
                <w:sz w:val="20"/>
                <w:szCs w:val="20"/>
                <w:color w:val="auto"/>
              </w:rPr>
            </w:pPr>
            <w:r>
              <w:rPr>
                <w:rFonts w:ascii="Arial" w:cs="Arial" w:eastAsia="Arial" w:hAnsi="Arial"/>
                <w:sz w:val="14"/>
                <w:szCs w:val="14"/>
                <w:color w:val="auto"/>
              </w:rPr>
              <w:t>Charles Giancarlo</w:t>
            </w:r>
            <w:r>
              <w:rPr>
                <w:rFonts w:ascii="Arial" w:cs="Arial" w:eastAsia="Arial" w:hAnsi="Arial"/>
                <w:sz w:val="18"/>
                <w:szCs w:val="18"/>
                <w:color w:val="auto"/>
                <w:vertAlign w:val="superscript"/>
              </w:rPr>
              <w:t>(10)</w:t>
            </w:r>
          </w:p>
        </w:tc>
        <w:tc>
          <w:tcPr>
            <w:tcW w:w="4720" w:type="dxa"/>
            <w:vAlign w:val="bottom"/>
            <w:gridSpan w:val="2"/>
          </w:tcPr>
          <w:p>
            <w:pPr>
              <w:jc w:val="center"/>
              <w:ind w:left="2368"/>
              <w:spacing w:after="0"/>
              <w:rPr>
                <w:sz w:val="20"/>
                <w:szCs w:val="20"/>
                <w:color w:val="auto"/>
              </w:rPr>
            </w:pPr>
            <w:r>
              <w:rPr>
                <w:rFonts w:ascii="Arial" w:cs="Arial" w:eastAsia="Arial" w:hAnsi="Arial"/>
                <w:sz w:val="14"/>
                <w:szCs w:val="14"/>
                <w:color w:val="auto"/>
              </w:rPr>
              <w:t>368,263</w:t>
            </w:r>
          </w:p>
        </w:tc>
        <w:tc>
          <w:tcPr>
            <w:tcW w:w="2280" w:type="dxa"/>
            <w:vAlign w:val="bottom"/>
          </w:tcPr>
          <w:p>
            <w:pPr>
              <w:jc w:val="center"/>
              <w:spacing w:after="0"/>
              <w:rPr>
                <w:sz w:val="20"/>
                <w:szCs w:val="20"/>
                <w:color w:val="auto"/>
              </w:rPr>
            </w:pPr>
            <w:r>
              <w:rPr>
                <w:rFonts w:ascii="Arial" w:cs="Arial" w:eastAsia="Arial" w:hAnsi="Arial"/>
                <w:sz w:val="14"/>
                <w:szCs w:val="14"/>
                <w:color w:val="auto"/>
              </w:rPr>
              <w:t>*</w:t>
            </w:r>
          </w:p>
        </w:tc>
      </w:tr>
      <w:tr>
        <w:trPr>
          <w:trHeight w:val="20"/>
        </w:trPr>
        <w:tc>
          <w:tcPr>
            <w:tcW w:w="422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r>
      <w:tr>
        <w:trPr>
          <w:trHeight w:val="724"/>
        </w:trPr>
        <w:tc>
          <w:tcPr>
            <w:tcW w:w="4220" w:type="dxa"/>
            <w:vAlign w:val="bottom"/>
          </w:tcPr>
          <w:p>
            <w:pPr>
              <w:spacing w:after="0"/>
              <w:rPr>
                <w:sz w:val="24"/>
                <w:szCs w:val="24"/>
                <w:color w:val="auto"/>
              </w:rPr>
            </w:pPr>
          </w:p>
        </w:tc>
        <w:tc>
          <w:tcPr>
            <w:tcW w:w="2420" w:type="dxa"/>
            <w:vAlign w:val="bottom"/>
          </w:tcPr>
          <w:p>
            <w:pPr>
              <w:jc w:val="right"/>
              <w:ind w:right="868"/>
              <w:spacing w:after="0"/>
              <w:rPr>
                <w:sz w:val="20"/>
                <w:szCs w:val="20"/>
                <w:color w:val="auto"/>
              </w:rPr>
            </w:pPr>
            <w:r>
              <w:rPr>
                <w:rFonts w:ascii="Arial" w:cs="Arial" w:eastAsia="Arial" w:hAnsi="Arial"/>
                <w:sz w:val="14"/>
                <w:szCs w:val="14"/>
                <w:color w:val="auto"/>
              </w:rPr>
              <w:t>66</w:t>
            </w:r>
          </w:p>
        </w:tc>
        <w:tc>
          <w:tcPr>
            <w:tcW w:w="2300" w:type="dxa"/>
            <w:vAlign w:val="bottom"/>
          </w:tcPr>
          <w:p>
            <w:pPr>
              <w:spacing w:after="0"/>
              <w:rPr>
                <w:sz w:val="24"/>
                <w:szCs w:val="24"/>
                <w:color w:val="auto"/>
              </w:rPr>
            </w:pPr>
          </w:p>
        </w:tc>
        <w:tc>
          <w:tcPr>
            <w:tcW w:w="2280" w:type="dxa"/>
            <w:vAlign w:val="bottom"/>
          </w:tcPr>
          <w:p>
            <w:pPr>
              <w:ind w:left="860"/>
              <w:spacing w:after="0"/>
              <w:rPr>
                <w:sz w:val="20"/>
                <w:szCs w:val="20"/>
                <w:color w:val="auto"/>
              </w:rPr>
            </w:pPr>
            <w:r>
              <w:rPr>
                <w:rFonts w:ascii="Arial" w:cs="Arial" w:eastAsia="Arial" w:hAnsi="Arial"/>
                <w:sz w:val="14"/>
                <w:szCs w:val="14"/>
                <w:color w:val="auto"/>
              </w:rPr>
              <w:t>2021 Proxy Statement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-189230</wp:posOffset>
            </wp:positionV>
            <wp:extent cx="342900" cy="21399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342900" cy="213995"/>
                    </a:xfrm>
                    <a:prstGeom prst="rect">
                      <a:avLst/>
                    </a:prstGeom>
                    <a:noFill/>
                  </pic:spPr>
                </pic:pic>
              </a:graphicData>
            </a:graphic>
          </wp:anchor>
        </w:drawing>
      </w:r>
    </w:p>
    <w:p>
      <w:pPr>
        <w:sectPr>
          <w:pgSz w:w="11900" w:h="16838" w:orient="portrait"/>
          <w:cols w:equalWidth="0" w:num="1">
            <w:col w:w="11240"/>
          </w:cols>
          <w:pgMar w:left="320" w:top="172" w:right="339" w:bottom="1440" w:gutter="0" w:footer="0" w:header="0"/>
        </w:sectPr>
      </w:pPr>
    </w:p>
    <w:bookmarkStart w:id="70" w:name="page71"/>
    <w:bookmarkEnd w:id="70"/>
    <w:p>
      <w:pPr>
        <w:ind w:left="280"/>
        <w:spacing w:after="0"/>
        <w:rPr>
          <w:sz w:val="20"/>
          <w:szCs w:val="20"/>
          <w:color w:val="auto"/>
        </w:rPr>
      </w:pPr>
      <w:r>
        <w:rPr>
          <w:rFonts w:ascii="Arial" w:cs="Arial" w:eastAsia="Arial" w:hAnsi="Arial"/>
          <w:sz w:val="13"/>
          <w:szCs w:val="13"/>
          <w:b w:val="1"/>
          <w:bCs w:val="1"/>
          <w:color w:val="929292"/>
        </w:rPr>
        <w:t>SECURITY OWNERSHIP OF CERTAIN BENEFICIAL OWNERS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7470" cy="6032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7470" cy="603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724535</wp:posOffset>
            </wp:positionV>
            <wp:extent cx="711517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6140" w:type="dxa"/>
            <w:vAlign w:val="bottom"/>
          </w:tcPr>
          <w:p>
            <w:pPr>
              <w:ind w:left="360"/>
              <w:spacing w:after="0"/>
              <w:rPr>
                <w:sz w:val="20"/>
                <w:szCs w:val="20"/>
                <w:color w:val="auto"/>
              </w:rPr>
            </w:pPr>
            <w:r>
              <w:rPr>
                <w:rFonts w:ascii="Arial" w:cs="Arial" w:eastAsia="Arial" w:hAnsi="Arial"/>
                <w:sz w:val="14"/>
                <w:szCs w:val="14"/>
                <w:color w:val="auto"/>
              </w:rPr>
              <w:t>Eileen Naughton</w:t>
            </w:r>
            <w:r>
              <w:rPr>
                <w:rFonts w:ascii="Arial" w:cs="Arial" w:eastAsia="Arial" w:hAnsi="Arial"/>
                <w:sz w:val="18"/>
                <w:szCs w:val="18"/>
                <w:color w:val="auto"/>
                <w:vertAlign w:val="superscript"/>
              </w:rPr>
              <w:t>(11)</w:t>
            </w:r>
          </w:p>
        </w:tc>
        <w:tc>
          <w:tcPr>
            <w:tcW w:w="2860" w:type="dxa"/>
            <w:vAlign w:val="bottom"/>
          </w:tcPr>
          <w:p>
            <w:pPr>
              <w:jc w:val="center"/>
              <w:ind w:left="368"/>
              <w:spacing w:after="0"/>
              <w:rPr>
                <w:sz w:val="20"/>
                <w:szCs w:val="20"/>
                <w:color w:val="auto"/>
              </w:rPr>
            </w:pPr>
            <w:r>
              <w:rPr>
                <w:rFonts w:ascii="Arial" w:cs="Arial" w:eastAsia="Arial" w:hAnsi="Arial"/>
                <w:sz w:val="14"/>
                <w:szCs w:val="14"/>
                <w:color w:val="auto"/>
                <w:w w:val="99"/>
              </w:rPr>
              <w:t>—</w:t>
            </w:r>
          </w:p>
        </w:tc>
        <w:tc>
          <w:tcPr>
            <w:tcW w:w="2220" w:type="dxa"/>
            <w:vAlign w:val="bottom"/>
          </w:tcPr>
          <w:p>
            <w:pPr>
              <w:jc w:val="center"/>
              <w:ind w:right="8"/>
              <w:spacing w:after="0"/>
              <w:rPr>
                <w:sz w:val="20"/>
                <w:szCs w:val="20"/>
                <w:color w:val="auto"/>
              </w:rPr>
            </w:pPr>
            <w:r>
              <w:rPr>
                <w:rFonts w:ascii="Arial" w:cs="Arial" w:eastAsia="Arial" w:hAnsi="Arial"/>
                <w:sz w:val="14"/>
                <w:szCs w:val="14"/>
                <w:color w:val="auto"/>
              </w:rPr>
              <w:t>*</w:t>
            </w:r>
          </w:p>
        </w:tc>
      </w:tr>
      <w:tr>
        <w:trPr>
          <w:trHeight w:val="20"/>
        </w:trPr>
        <w:tc>
          <w:tcPr>
            <w:tcW w:w="6140" w:type="dxa"/>
            <w:vAlign w:val="bottom"/>
            <w:tcBorders>
              <w:bottom w:val="single" w:sz="8" w:color="auto"/>
            </w:tcBorders>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r>
      <w:tr>
        <w:trPr>
          <w:trHeight w:val="257"/>
        </w:trPr>
        <w:tc>
          <w:tcPr>
            <w:tcW w:w="6140" w:type="dxa"/>
            <w:vAlign w:val="bottom"/>
          </w:tcPr>
          <w:p>
            <w:pPr>
              <w:ind w:left="360"/>
              <w:spacing w:after="0"/>
              <w:rPr>
                <w:sz w:val="20"/>
                <w:szCs w:val="20"/>
                <w:color w:val="auto"/>
              </w:rPr>
            </w:pPr>
            <w:r>
              <w:rPr>
                <w:rFonts w:ascii="Arial" w:cs="Arial" w:eastAsia="Arial" w:hAnsi="Arial"/>
                <w:sz w:val="14"/>
                <w:szCs w:val="14"/>
                <w:color w:val="auto"/>
              </w:rPr>
              <w:t>David Schneider</w:t>
            </w:r>
            <w:r>
              <w:rPr>
                <w:rFonts w:ascii="Arial" w:cs="Arial" w:eastAsia="Arial" w:hAnsi="Arial"/>
                <w:sz w:val="18"/>
                <w:szCs w:val="18"/>
                <w:color w:val="auto"/>
                <w:vertAlign w:val="superscript"/>
              </w:rPr>
              <w:t>(12)</w:t>
            </w:r>
          </w:p>
        </w:tc>
        <w:tc>
          <w:tcPr>
            <w:tcW w:w="2860" w:type="dxa"/>
            <w:vAlign w:val="bottom"/>
          </w:tcPr>
          <w:p>
            <w:pPr>
              <w:jc w:val="center"/>
              <w:ind w:left="388"/>
              <w:spacing w:after="0"/>
              <w:rPr>
                <w:sz w:val="20"/>
                <w:szCs w:val="20"/>
                <w:color w:val="auto"/>
              </w:rPr>
            </w:pPr>
            <w:r>
              <w:rPr>
                <w:rFonts w:ascii="Arial" w:cs="Arial" w:eastAsia="Arial" w:hAnsi="Arial"/>
                <w:sz w:val="14"/>
                <w:szCs w:val="14"/>
                <w:color w:val="auto"/>
              </w:rPr>
              <w:t>13,742</w:t>
            </w:r>
          </w:p>
        </w:tc>
        <w:tc>
          <w:tcPr>
            <w:tcW w:w="2220" w:type="dxa"/>
            <w:vAlign w:val="bottom"/>
          </w:tcPr>
          <w:p>
            <w:pPr>
              <w:jc w:val="center"/>
              <w:ind w:right="8"/>
              <w:spacing w:after="0"/>
              <w:rPr>
                <w:sz w:val="20"/>
                <w:szCs w:val="20"/>
                <w:color w:val="auto"/>
              </w:rPr>
            </w:pPr>
            <w:r>
              <w:rPr>
                <w:rFonts w:ascii="Arial" w:cs="Arial" w:eastAsia="Arial" w:hAnsi="Arial"/>
                <w:sz w:val="14"/>
                <w:szCs w:val="14"/>
                <w:color w:val="auto"/>
              </w:rPr>
              <w:t>*</w:t>
            </w:r>
          </w:p>
        </w:tc>
      </w:tr>
      <w:tr>
        <w:trPr>
          <w:trHeight w:val="20"/>
        </w:trPr>
        <w:tc>
          <w:tcPr>
            <w:tcW w:w="6140" w:type="dxa"/>
            <w:vAlign w:val="bottom"/>
            <w:tcBorders>
              <w:bottom w:val="single" w:sz="8" w:color="auto"/>
            </w:tcBorders>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r>
      <w:tr>
        <w:trPr>
          <w:trHeight w:val="284"/>
        </w:trPr>
        <w:tc>
          <w:tcPr>
            <w:tcW w:w="6140" w:type="dxa"/>
            <w:vAlign w:val="bottom"/>
          </w:tcPr>
          <w:p>
            <w:pPr>
              <w:ind w:left="100"/>
              <w:spacing w:after="0"/>
              <w:rPr>
                <w:sz w:val="20"/>
                <w:szCs w:val="20"/>
                <w:color w:val="auto"/>
              </w:rPr>
            </w:pPr>
            <w:r>
              <w:rPr>
                <w:rFonts w:ascii="Arial" w:cs="Arial" w:eastAsia="Arial" w:hAnsi="Arial"/>
                <w:sz w:val="14"/>
                <w:szCs w:val="14"/>
                <w:b w:val="1"/>
                <w:bCs w:val="1"/>
                <w:color w:val="009ADA"/>
              </w:rPr>
              <w:t>All current executive officers and directors as a group (11 persons)</w:t>
            </w:r>
            <w:r>
              <w:rPr>
                <w:rFonts w:ascii="Arial" w:cs="Arial" w:eastAsia="Arial" w:hAnsi="Arial"/>
                <w:sz w:val="18"/>
                <w:szCs w:val="18"/>
                <w:b w:val="1"/>
                <w:bCs w:val="1"/>
                <w:color w:val="009ADA"/>
                <w:vertAlign w:val="superscript"/>
              </w:rPr>
              <w:t>(13)</w:t>
            </w:r>
          </w:p>
        </w:tc>
        <w:tc>
          <w:tcPr>
            <w:tcW w:w="2860" w:type="dxa"/>
            <w:vAlign w:val="bottom"/>
          </w:tcPr>
          <w:p>
            <w:pPr>
              <w:jc w:val="center"/>
              <w:ind w:left="388"/>
              <w:spacing w:after="0"/>
              <w:rPr>
                <w:sz w:val="20"/>
                <w:szCs w:val="20"/>
                <w:color w:val="auto"/>
              </w:rPr>
            </w:pPr>
            <w:r>
              <w:rPr>
                <w:rFonts w:ascii="Arial" w:cs="Arial" w:eastAsia="Arial" w:hAnsi="Arial"/>
                <w:sz w:val="14"/>
                <w:szCs w:val="14"/>
                <w:color w:val="auto"/>
              </w:rPr>
              <w:t>28,432,690</w:t>
            </w:r>
          </w:p>
        </w:tc>
        <w:tc>
          <w:tcPr>
            <w:tcW w:w="2220" w:type="dxa"/>
            <w:vAlign w:val="bottom"/>
          </w:tcPr>
          <w:p>
            <w:pPr>
              <w:jc w:val="center"/>
              <w:ind w:right="8"/>
              <w:spacing w:after="0"/>
              <w:rPr>
                <w:sz w:val="20"/>
                <w:szCs w:val="20"/>
                <w:color w:val="auto"/>
              </w:rPr>
            </w:pPr>
            <w:r>
              <w:rPr>
                <w:rFonts w:ascii="Arial" w:cs="Arial" w:eastAsia="Arial" w:hAnsi="Arial"/>
                <w:sz w:val="14"/>
                <w:szCs w:val="14"/>
                <w:color w:val="auto"/>
              </w:rPr>
              <w:t>20.3%</w:t>
            </w:r>
          </w:p>
        </w:tc>
      </w:tr>
      <w:tr>
        <w:trPr>
          <w:trHeight w:val="47"/>
        </w:trPr>
        <w:tc>
          <w:tcPr>
            <w:tcW w:w="6140" w:type="dxa"/>
            <w:vAlign w:val="bottom"/>
            <w:tcBorders>
              <w:bottom w:val="single" w:sz="8" w:color="auto"/>
            </w:tcBorders>
          </w:tcPr>
          <w:p>
            <w:pPr>
              <w:spacing w:after="0"/>
              <w:rPr>
                <w:sz w:val="4"/>
                <w:szCs w:val="4"/>
                <w:color w:val="auto"/>
              </w:rPr>
            </w:pPr>
          </w:p>
        </w:tc>
        <w:tc>
          <w:tcPr>
            <w:tcW w:w="2860" w:type="dxa"/>
            <w:vAlign w:val="bottom"/>
            <w:tcBorders>
              <w:bottom w:val="single" w:sz="8" w:color="auto"/>
            </w:tcBorders>
          </w:tcPr>
          <w:p>
            <w:pPr>
              <w:spacing w:after="0"/>
              <w:rPr>
                <w:sz w:val="4"/>
                <w:szCs w:val="4"/>
                <w:color w:val="auto"/>
              </w:rPr>
            </w:pPr>
          </w:p>
        </w:tc>
        <w:tc>
          <w:tcPr>
            <w:tcW w:w="2220" w:type="dxa"/>
            <w:vAlign w:val="bottom"/>
            <w:tcBorders>
              <w:bottom w:val="single" w:sz="8" w:color="auto"/>
            </w:tcBorders>
          </w:tcPr>
          <w:p>
            <w:pPr>
              <w:spacing w:after="0"/>
              <w:rPr>
                <w:sz w:val="4"/>
                <w:szCs w:val="4"/>
                <w:color w:val="auto"/>
              </w:rPr>
            </w:pPr>
          </w:p>
        </w:tc>
      </w:tr>
    </w:tbl>
    <w:p>
      <w:pPr>
        <w:spacing w:after="0" w:line="143" w:lineRule="exact"/>
        <w:rPr>
          <w:sz w:val="20"/>
          <w:szCs w:val="20"/>
          <w:color w:val="auto"/>
        </w:rPr>
      </w:pPr>
    </w:p>
    <w:p>
      <w:pPr>
        <w:ind w:left="320" w:hanging="312"/>
        <w:spacing w:after="0"/>
        <w:tabs>
          <w:tab w:leader="none" w:pos="320" w:val="left"/>
        </w:tabs>
        <w:numPr>
          <w:ilvl w:val="0"/>
          <w:numId w:val="55"/>
        </w:numPr>
        <w:rPr>
          <w:rFonts w:ascii="Arial" w:cs="Arial" w:eastAsia="Arial" w:hAnsi="Arial"/>
          <w:sz w:val="13"/>
          <w:szCs w:val="13"/>
          <w:color w:val="auto"/>
        </w:rPr>
      </w:pPr>
      <w:r>
        <w:rPr>
          <w:rFonts w:ascii="Arial" w:cs="Arial" w:eastAsia="Arial" w:hAnsi="Arial"/>
          <w:sz w:val="13"/>
          <w:szCs w:val="13"/>
          <w:color w:val="auto"/>
        </w:rPr>
        <w:t>Represents beneficial ownership of less than one percent (1%) of the outstanding shares of our common stock.</w:t>
      </w:r>
    </w:p>
    <w:p>
      <w:pPr>
        <w:spacing w:after="0" w:line="53" w:lineRule="exact"/>
        <w:rPr>
          <w:sz w:val="20"/>
          <w:szCs w:val="20"/>
          <w:color w:val="auto"/>
        </w:rPr>
      </w:pPr>
    </w:p>
    <w:p>
      <w:pPr>
        <w:ind w:left="340" w:right="60" w:hanging="332"/>
        <w:spacing w:after="0" w:line="239" w:lineRule="auto"/>
        <w:tabs>
          <w:tab w:leader="none" w:pos="332" w:val="left"/>
        </w:tabs>
        <w:numPr>
          <w:ilvl w:val="0"/>
          <w:numId w:val="56"/>
        </w:numPr>
        <w:rPr>
          <w:rFonts w:ascii="Arial" w:cs="Arial" w:eastAsia="Arial" w:hAnsi="Arial"/>
          <w:sz w:val="13"/>
          <w:szCs w:val="13"/>
          <w:color w:val="auto"/>
        </w:rPr>
      </w:pPr>
      <w:r>
        <w:rPr>
          <w:rFonts w:ascii="Arial" w:cs="Arial" w:eastAsia="Arial" w:hAnsi="Arial"/>
          <w:sz w:val="13"/>
          <w:szCs w:val="13"/>
          <w:color w:val="auto"/>
        </w:rPr>
        <w:t>Consists of (i) 21,566,041 shares held of record by The CJCP Trust for which Mr. Mangal serves as trustee, (ii) 2,627,830 shares held of record by The CKS Trust for the benefit of YPC dated 12/30/2017 for which Mr. Mangal serves as trustee, (iii) 2,627,831 shares held of record by The CKS Trust for the benefit of SRC dated 12/30/2017 for which Mr. Mangal serves as trustee, and (iv) 2,627,830 shares held of record by The CKS Trust for the benefit of SDC dated 12/30/2017 for which Mr. Mangal serves as trustee. The beneficiaries of The CJCP Trust and each of The CKS Trusts are members of Jay Chaudhry’s family. The address for The CJCP Trust and The CKS Trust is c/o The Goldman Sachs Trust Company, 200 Bellevue Parkway, Suite 250, Wilmington, Delaware 19809. This information is derived from a Form 4 filed by Ajay Mangal with the SEC on September 15, 2021.</w:t>
      </w:r>
    </w:p>
    <w:p>
      <w:pPr>
        <w:spacing w:after="0" w:line="52" w:lineRule="exact"/>
        <w:rPr>
          <w:rFonts w:ascii="Arial" w:cs="Arial" w:eastAsia="Arial" w:hAnsi="Arial"/>
          <w:sz w:val="13"/>
          <w:szCs w:val="13"/>
          <w:color w:val="auto"/>
        </w:rPr>
      </w:pPr>
    </w:p>
    <w:p>
      <w:pPr>
        <w:ind w:left="340" w:right="80" w:hanging="332"/>
        <w:spacing w:after="0"/>
        <w:tabs>
          <w:tab w:leader="none" w:pos="332" w:val="left"/>
        </w:tabs>
        <w:numPr>
          <w:ilvl w:val="0"/>
          <w:numId w:val="56"/>
        </w:numPr>
        <w:rPr>
          <w:rFonts w:ascii="Arial" w:cs="Arial" w:eastAsia="Arial" w:hAnsi="Arial"/>
          <w:sz w:val="13"/>
          <w:szCs w:val="13"/>
          <w:color w:val="auto"/>
        </w:rPr>
      </w:pPr>
      <w:r>
        <w:rPr>
          <w:rFonts w:ascii="Arial" w:cs="Arial" w:eastAsia="Arial" w:hAnsi="Arial"/>
          <w:sz w:val="13"/>
          <w:szCs w:val="13"/>
          <w:color w:val="auto"/>
        </w:rPr>
        <w:t>Consists of (i) 203,745 shares held of record by Mr. Chaudhry, (ii) 2,177,994 shares held of record by Jagtar S Chaudhry TTEE The RSJ Trust U/A DTD 06/07/2017, (iii) 24,497,991 shares held of record by Jyoti Chaudhry TTEE The RSP Trust U/A DTD 06/07/2017 and (iv) 6,666 shares held of record by P. Jyoti Chaudhry Family Trust dated March 1, 2000 for which Surjit Kaur serves as trustee.</w:t>
      </w:r>
    </w:p>
    <w:p>
      <w:pPr>
        <w:spacing w:after="0" w:line="51" w:lineRule="exact"/>
        <w:rPr>
          <w:rFonts w:ascii="Arial" w:cs="Arial" w:eastAsia="Arial" w:hAnsi="Arial"/>
          <w:sz w:val="13"/>
          <w:szCs w:val="13"/>
          <w:color w:val="auto"/>
        </w:rPr>
      </w:pPr>
    </w:p>
    <w:p>
      <w:pPr>
        <w:ind w:left="320" w:hanging="312"/>
        <w:spacing w:after="0"/>
        <w:tabs>
          <w:tab w:leader="none" w:pos="320" w:val="left"/>
        </w:tabs>
        <w:numPr>
          <w:ilvl w:val="0"/>
          <w:numId w:val="56"/>
        </w:numPr>
        <w:rPr>
          <w:rFonts w:ascii="Arial" w:cs="Arial" w:eastAsia="Arial" w:hAnsi="Arial"/>
          <w:sz w:val="13"/>
          <w:szCs w:val="13"/>
          <w:color w:val="auto"/>
        </w:rPr>
      </w:pPr>
      <w:r>
        <w:rPr>
          <w:rFonts w:ascii="Arial" w:cs="Arial" w:eastAsia="Arial" w:hAnsi="Arial"/>
          <w:sz w:val="13"/>
          <w:szCs w:val="13"/>
          <w:color w:val="auto"/>
        </w:rPr>
        <w:t>Consists of (i) 165,855 shares held of record by Mr. Canessa, and (ii) 8,993 shares issuable upon vesting of RSUs within 60 days of November 10, 2021.</w:t>
      </w:r>
    </w:p>
    <w:p>
      <w:pPr>
        <w:spacing w:after="0" w:line="53" w:lineRule="exact"/>
        <w:rPr>
          <w:rFonts w:ascii="Arial" w:cs="Arial" w:eastAsia="Arial" w:hAnsi="Arial"/>
          <w:sz w:val="13"/>
          <w:szCs w:val="13"/>
          <w:color w:val="auto"/>
        </w:rPr>
      </w:pPr>
    </w:p>
    <w:p>
      <w:pPr>
        <w:ind w:left="340" w:right="220" w:hanging="332"/>
        <w:spacing w:after="0" w:line="258" w:lineRule="auto"/>
        <w:tabs>
          <w:tab w:leader="none" w:pos="332" w:val="left"/>
        </w:tabs>
        <w:numPr>
          <w:ilvl w:val="0"/>
          <w:numId w:val="56"/>
        </w:numPr>
        <w:rPr>
          <w:rFonts w:ascii="Arial" w:cs="Arial" w:eastAsia="Arial" w:hAnsi="Arial"/>
          <w:sz w:val="12"/>
          <w:szCs w:val="12"/>
          <w:color w:val="auto"/>
        </w:rPr>
      </w:pPr>
      <w:r>
        <w:rPr>
          <w:rFonts w:ascii="Arial" w:cs="Arial" w:eastAsia="Arial" w:hAnsi="Arial"/>
          <w:sz w:val="12"/>
          <w:szCs w:val="12"/>
          <w:color w:val="auto"/>
        </w:rPr>
        <w:t>Consists of (i) 48,381 shares held of record by Dr. Sinha, (ii) 131,702 shares held of record by the Sinha Revocable Trust dated September 24, 2011 for which Dr. Sinha serves as trustee, (iii) 144,749 shares held of record in trusts for Dr. Sinha's minor children for which Neha and Piyush Kumar serve as co-trustees, (iv) 66,000 shares held of record by the Amit &amp; Deepali Sinha Foundation for which Dr. Sinha and Deepali Sinha serve as trustees, (v) 46,000 shares held of record by the South Dakota Trust Co. LLC TTEE Sinha Family Incentive Trust, (vi) 46,000 shares</w:t>
      </w:r>
    </w:p>
    <w:p>
      <w:pPr>
        <w:ind w:left="340" w:right="140"/>
        <w:spacing w:after="0" w:line="242" w:lineRule="auto"/>
        <w:rPr>
          <w:sz w:val="20"/>
          <w:szCs w:val="20"/>
          <w:color w:val="auto"/>
        </w:rPr>
      </w:pPr>
      <w:r>
        <w:rPr>
          <w:rFonts w:ascii="Arial" w:cs="Arial" w:eastAsia="Arial" w:hAnsi="Arial"/>
          <w:sz w:val="13"/>
          <w:szCs w:val="13"/>
          <w:color w:val="auto"/>
        </w:rPr>
        <w:t>held of record by the South Dakota Trust Co. LLC TTEE Sinha Education Excellence Trust, (vii) 22,333 shares subject to options exercisable within 60 days of November 10, 2021, all of which are fully vested and (viii) 16,153 shares issuable upon vesting of RSUs within 60 days of November 10, 2021.</w:t>
      </w:r>
    </w:p>
    <w:p>
      <w:pPr>
        <w:spacing w:after="0" w:line="50" w:lineRule="exact"/>
        <w:rPr>
          <w:sz w:val="20"/>
          <w:szCs w:val="20"/>
          <w:color w:val="auto"/>
        </w:rPr>
      </w:pPr>
    </w:p>
    <w:p>
      <w:pPr>
        <w:ind w:left="340" w:right="120" w:hanging="332"/>
        <w:spacing w:after="0" w:line="242" w:lineRule="auto"/>
        <w:tabs>
          <w:tab w:leader="none" w:pos="332" w:val="left"/>
        </w:tabs>
        <w:numPr>
          <w:ilvl w:val="0"/>
          <w:numId w:val="57"/>
        </w:numPr>
        <w:rPr>
          <w:rFonts w:ascii="Arial" w:cs="Arial" w:eastAsia="Arial" w:hAnsi="Arial"/>
          <w:sz w:val="13"/>
          <w:szCs w:val="13"/>
          <w:color w:val="auto"/>
        </w:rPr>
      </w:pPr>
      <w:r>
        <w:rPr>
          <w:rFonts w:ascii="Arial" w:cs="Arial" w:eastAsia="Arial" w:hAnsi="Arial"/>
          <w:sz w:val="13"/>
          <w:szCs w:val="13"/>
          <w:color w:val="auto"/>
        </w:rPr>
        <w:t>Consists of (i) 88,773 shares held of record by Mr. Rajic, (ii) 52,401 shares subject to options exercisable within 60 days of November 10, 2021, all of which are fully vested and (iii) 10,027 shares issuable upon vesting of RSUs within 60 days of November 10, 2021.</w:t>
      </w:r>
    </w:p>
    <w:p>
      <w:pPr>
        <w:spacing w:after="0" w:line="49" w:lineRule="exact"/>
        <w:rPr>
          <w:rFonts w:ascii="Arial" w:cs="Arial" w:eastAsia="Arial" w:hAnsi="Arial"/>
          <w:sz w:val="13"/>
          <w:szCs w:val="13"/>
          <w:color w:val="auto"/>
        </w:rPr>
      </w:pPr>
    </w:p>
    <w:p>
      <w:pPr>
        <w:ind w:left="340" w:right="220" w:hanging="332"/>
        <w:spacing w:after="0" w:line="242" w:lineRule="auto"/>
        <w:tabs>
          <w:tab w:leader="none" w:pos="332" w:val="left"/>
        </w:tabs>
        <w:numPr>
          <w:ilvl w:val="0"/>
          <w:numId w:val="57"/>
        </w:numPr>
        <w:rPr>
          <w:rFonts w:ascii="Arial" w:cs="Arial" w:eastAsia="Arial" w:hAnsi="Arial"/>
          <w:sz w:val="13"/>
          <w:szCs w:val="13"/>
          <w:color w:val="auto"/>
        </w:rPr>
      </w:pPr>
      <w:r>
        <w:rPr>
          <w:rFonts w:ascii="Arial" w:cs="Arial" w:eastAsia="Arial" w:hAnsi="Arial"/>
          <w:sz w:val="13"/>
          <w:szCs w:val="13"/>
          <w:color w:val="auto"/>
        </w:rPr>
        <w:t>Consists of (i) 27,966 shares held of record by Mr. Schlossman, (ii) 66 shares held of record by Mr. Schlossman's spouse, and (iii) 7,774 shares issuable upon vesting of RSUs within 60 days of November 10, 2021.</w:t>
      </w:r>
    </w:p>
    <w:p>
      <w:pPr>
        <w:spacing w:after="0" w:line="49" w:lineRule="exact"/>
        <w:rPr>
          <w:rFonts w:ascii="Arial" w:cs="Arial" w:eastAsia="Arial" w:hAnsi="Arial"/>
          <w:sz w:val="13"/>
          <w:szCs w:val="13"/>
          <w:color w:val="auto"/>
        </w:rPr>
      </w:pPr>
    </w:p>
    <w:p>
      <w:pPr>
        <w:ind w:left="340" w:hanging="332"/>
        <w:spacing w:after="0"/>
        <w:tabs>
          <w:tab w:leader="none" w:pos="332" w:val="left"/>
        </w:tabs>
        <w:numPr>
          <w:ilvl w:val="0"/>
          <w:numId w:val="57"/>
        </w:numPr>
        <w:rPr>
          <w:rFonts w:ascii="Arial" w:cs="Arial" w:eastAsia="Arial" w:hAnsi="Arial"/>
          <w:sz w:val="13"/>
          <w:szCs w:val="13"/>
          <w:color w:val="auto"/>
        </w:rPr>
      </w:pPr>
      <w:r>
        <w:rPr>
          <w:rFonts w:ascii="Arial" w:cs="Arial" w:eastAsia="Arial" w:hAnsi="Arial"/>
          <w:sz w:val="13"/>
          <w:szCs w:val="13"/>
          <w:color w:val="auto"/>
        </w:rPr>
        <w:t>Consists of (i) 1,471 shares held of record by Ms. Blasing, (ii) 25,624 shares held of record by The Blasing Family Revocable Trust U/A dtd 12/22/2005 for which Ms. Blasing serves as trustee and (iii) 115,334 shares subject to options exercisable within 60 days of November 10, 2021, all of which are fully vested and (iv) 292 shares issuable upon vesting of RSUs within 60 days of November 10, 2021.</w:t>
      </w:r>
    </w:p>
    <w:p>
      <w:pPr>
        <w:spacing w:after="0" w:line="51" w:lineRule="exact"/>
        <w:rPr>
          <w:rFonts w:ascii="Arial" w:cs="Arial" w:eastAsia="Arial" w:hAnsi="Arial"/>
          <w:sz w:val="13"/>
          <w:szCs w:val="13"/>
          <w:color w:val="auto"/>
        </w:rPr>
      </w:pPr>
    </w:p>
    <w:p>
      <w:pPr>
        <w:ind w:left="340" w:right="220" w:hanging="332"/>
        <w:spacing w:after="0" w:line="242" w:lineRule="auto"/>
        <w:tabs>
          <w:tab w:leader="none" w:pos="332" w:val="left"/>
        </w:tabs>
        <w:numPr>
          <w:ilvl w:val="0"/>
          <w:numId w:val="57"/>
        </w:numPr>
        <w:rPr>
          <w:rFonts w:ascii="Arial" w:cs="Arial" w:eastAsia="Arial" w:hAnsi="Arial"/>
          <w:sz w:val="13"/>
          <w:szCs w:val="13"/>
          <w:color w:val="auto"/>
        </w:rPr>
      </w:pPr>
      <w:r>
        <w:rPr>
          <w:rFonts w:ascii="Arial" w:cs="Arial" w:eastAsia="Arial" w:hAnsi="Arial"/>
          <w:sz w:val="13"/>
          <w:szCs w:val="13"/>
          <w:color w:val="auto"/>
        </w:rPr>
        <w:t>Consists of (i) 17,340 shares held of record by Mr. Brown, (ii) 48,333 shares subject to options exercisable within 60 days of November 10, 2021, all of which are fully vested and (iii) 292 shares issuable upon vesting of RSUs within 60 days of November 10, 2021.</w:t>
      </w:r>
    </w:p>
    <w:p>
      <w:pPr>
        <w:spacing w:after="0" w:line="49" w:lineRule="exact"/>
        <w:rPr>
          <w:rFonts w:ascii="Arial" w:cs="Arial" w:eastAsia="Arial" w:hAnsi="Arial"/>
          <w:sz w:val="13"/>
          <w:szCs w:val="13"/>
          <w:color w:val="auto"/>
        </w:rPr>
      </w:pPr>
    </w:p>
    <w:p>
      <w:pPr>
        <w:ind w:left="320" w:hanging="312"/>
        <w:spacing w:after="0"/>
        <w:tabs>
          <w:tab w:leader="none" w:pos="320" w:val="left"/>
        </w:tabs>
        <w:numPr>
          <w:ilvl w:val="0"/>
          <w:numId w:val="57"/>
        </w:numPr>
        <w:rPr>
          <w:rFonts w:ascii="Arial" w:cs="Arial" w:eastAsia="Arial" w:hAnsi="Arial"/>
          <w:sz w:val="13"/>
          <w:szCs w:val="13"/>
          <w:color w:val="auto"/>
        </w:rPr>
      </w:pPr>
      <w:r>
        <w:rPr>
          <w:rFonts w:ascii="Arial" w:cs="Arial" w:eastAsia="Arial" w:hAnsi="Arial"/>
          <w:sz w:val="13"/>
          <w:szCs w:val="13"/>
          <w:color w:val="auto"/>
        </w:rPr>
        <w:t>Consists of (i) 72,138 shares held of record by Mr. Darling and (ii) 292 shares issuable upon vesting of RSUs within 60 days of November 10, 2021.</w:t>
      </w:r>
    </w:p>
    <w:p>
      <w:pPr>
        <w:spacing w:after="0" w:line="53" w:lineRule="exact"/>
        <w:rPr>
          <w:rFonts w:ascii="Arial" w:cs="Arial" w:eastAsia="Arial" w:hAnsi="Arial"/>
          <w:sz w:val="13"/>
          <w:szCs w:val="13"/>
          <w:color w:val="auto"/>
        </w:rPr>
      </w:pPr>
    </w:p>
    <w:p>
      <w:pPr>
        <w:jc w:val="both"/>
        <w:ind w:left="340" w:right="140" w:hanging="332"/>
        <w:spacing w:after="0" w:line="270" w:lineRule="auto"/>
        <w:tabs>
          <w:tab w:leader="none" w:pos="334" w:val="left"/>
        </w:tabs>
        <w:numPr>
          <w:ilvl w:val="0"/>
          <w:numId w:val="57"/>
        </w:numPr>
        <w:rPr>
          <w:rFonts w:ascii="Arial" w:cs="Arial" w:eastAsia="Arial" w:hAnsi="Arial"/>
          <w:sz w:val="12"/>
          <w:szCs w:val="12"/>
          <w:color w:val="auto"/>
        </w:rPr>
      </w:pPr>
      <w:r>
        <w:rPr>
          <w:rFonts w:ascii="Arial" w:cs="Arial" w:eastAsia="Arial" w:hAnsi="Arial"/>
          <w:sz w:val="12"/>
          <w:szCs w:val="12"/>
          <w:color w:val="auto"/>
        </w:rPr>
        <w:t>Consists of (i) 189,499 shares held of record by Mr. Giancarlo, (ii) 125,000 shares are held of record by The Charles H. &amp; Dianne G. Giancarlo Family Trust U/D/T 11/2/98 for which Mr. Giancarlo serves as trustee, (iii) 26,736 shares held of record by The 2012 Marielle Christina Giancarlo Trust UAD 12/26/12 for which Mr. Giancarlo serves as a trustee, (iv) 26,736 shares held of record by The 2012 Gianna Marie Giancarlo Trust UAD 12/26/12 for which Mr. Giancarlo serves as a trustee and (v) 292 shares issuable upon vesting of RSUs within 60 days of November 10, 2021.</w:t>
      </w:r>
    </w:p>
    <w:p>
      <w:pPr>
        <w:spacing w:after="0" w:line="33" w:lineRule="exact"/>
        <w:rPr>
          <w:rFonts w:ascii="Arial" w:cs="Arial" w:eastAsia="Arial" w:hAnsi="Arial"/>
          <w:sz w:val="12"/>
          <w:szCs w:val="12"/>
          <w:color w:val="auto"/>
        </w:rPr>
      </w:pPr>
    </w:p>
    <w:p>
      <w:pPr>
        <w:ind w:left="320" w:hanging="312"/>
        <w:spacing w:after="0"/>
        <w:tabs>
          <w:tab w:leader="none" w:pos="320" w:val="left"/>
        </w:tabs>
        <w:numPr>
          <w:ilvl w:val="0"/>
          <w:numId w:val="57"/>
        </w:numPr>
        <w:rPr>
          <w:rFonts w:ascii="Arial" w:cs="Arial" w:eastAsia="Arial" w:hAnsi="Arial"/>
          <w:sz w:val="13"/>
          <w:szCs w:val="13"/>
          <w:color w:val="auto"/>
        </w:rPr>
      </w:pPr>
      <w:r>
        <w:rPr>
          <w:rFonts w:ascii="Arial" w:cs="Arial" w:eastAsia="Arial" w:hAnsi="Arial"/>
          <w:sz w:val="13"/>
          <w:szCs w:val="13"/>
          <w:color w:val="auto"/>
        </w:rPr>
        <w:t>Ms. Naughton does not hold any shares as of November 10, 2021.</w:t>
      </w:r>
    </w:p>
    <w:p>
      <w:pPr>
        <w:spacing w:after="0" w:line="53" w:lineRule="exact"/>
        <w:rPr>
          <w:rFonts w:ascii="Arial" w:cs="Arial" w:eastAsia="Arial" w:hAnsi="Arial"/>
          <w:sz w:val="13"/>
          <w:szCs w:val="13"/>
          <w:color w:val="auto"/>
        </w:rPr>
      </w:pPr>
    </w:p>
    <w:p>
      <w:pPr>
        <w:ind w:left="320" w:hanging="312"/>
        <w:spacing w:after="0"/>
        <w:tabs>
          <w:tab w:leader="none" w:pos="320" w:val="left"/>
        </w:tabs>
        <w:numPr>
          <w:ilvl w:val="0"/>
          <w:numId w:val="57"/>
        </w:numPr>
        <w:rPr>
          <w:rFonts w:ascii="Arial" w:cs="Arial" w:eastAsia="Arial" w:hAnsi="Arial"/>
          <w:sz w:val="13"/>
          <w:szCs w:val="13"/>
          <w:color w:val="auto"/>
        </w:rPr>
      </w:pPr>
      <w:r>
        <w:rPr>
          <w:rFonts w:ascii="Arial" w:cs="Arial" w:eastAsia="Arial" w:hAnsi="Arial"/>
          <w:sz w:val="13"/>
          <w:szCs w:val="13"/>
          <w:color w:val="auto"/>
        </w:rPr>
        <w:t>Consists of (i) 12,582 shares held of record by Mr. Schneider and (ii) 1,160 shares issuable upon vesting of RSUs within 60 days of November 10, 2021.</w:t>
      </w:r>
    </w:p>
    <w:p>
      <w:pPr>
        <w:spacing w:after="0" w:line="53" w:lineRule="exact"/>
        <w:rPr>
          <w:rFonts w:ascii="Arial" w:cs="Arial" w:eastAsia="Arial" w:hAnsi="Arial"/>
          <w:sz w:val="13"/>
          <w:szCs w:val="13"/>
          <w:color w:val="auto"/>
        </w:rPr>
      </w:pPr>
    </w:p>
    <w:p>
      <w:pPr>
        <w:ind w:left="340" w:right="20" w:hanging="332"/>
        <w:spacing w:after="0" w:line="242" w:lineRule="auto"/>
        <w:tabs>
          <w:tab w:leader="none" w:pos="334" w:val="left"/>
        </w:tabs>
        <w:numPr>
          <w:ilvl w:val="0"/>
          <w:numId w:val="57"/>
        </w:numPr>
        <w:rPr>
          <w:rFonts w:ascii="Arial" w:cs="Arial" w:eastAsia="Arial" w:hAnsi="Arial"/>
          <w:sz w:val="13"/>
          <w:szCs w:val="13"/>
          <w:color w:val="auto"/>
        </w:rPr>
      </w:pPr>
      <w:r>
        <w:rPr>
          <w:rFonts w:ascii="Arial" w:cs="Arial" w:eastAsia="Arial" w:hAnsi="Arial"/>
          <w:sz w:val="13"/>
          <w:szCs w:val="13"/>
          <w:color w:val="auto"/>
        </w:rPr>
        <w:t>Consists of (i) 28,149,014 shares beneficially owned by our current executive officers and directors, (ii) 238,401 shares subject to options exercisable within 60 days of November 10, 2021, and (iii) 45,275 shares issuable upon vesting of RSUs within 60 days of November 10,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215265</wp:posOffset>
            </wp:positionV>
            <wp:extent cx="342900" cy="21463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342900" cy="214630"/>
                    </a:xfrm>
                    <a:prstGeom prst="rect">
                      <a:avLst/>
                    </a:prstGeom>
                    <a:noFill/>
                  </pic:spPr>
                </pic:pic>
              </a:graphicData>
            </a:graphic>
          </wp:anchor>
        </w:drawing>
      </w:r>
    </w:p>
    <w:p>
      <w:pPr>
        <w:spacing w:after="0" w:line="257" w:lineRule="exact"/>
        <w:rPr>
          <w:sz w:val="20"/>
          <w:szCs w:val="20"/>
          <w:color w:val="auto"/>
        </w:rPr>
      </w:pPr>
    </w:p>
    <w:p>
      <w:pPr>
        <w:ind w:left="5540"/>
        <w:spacing w:after="0"/>
        <w:tabs>
          <w:tab w:leader="none" w:pos="9780" w:val="left"/>
        </w:tabs>
        <w:rPr>
          <w:sz w:val="20"/>
          <w:szCs w:val="20"/>
          <w:color w:val="auto"/>
        </w:rPr>
      </w:pPr>
      <w:r>
        <w:rPr>
          <w:rFonts w:ascii="Arial" w:cs="Arial" w:eastAsia="Arial" w:hAnsi="Arial"/>
          <w:sz w:val="29"/>
          <w:szCs w:val="29"/>
          <w:color w:val="auto"/>
          <w:vertAlign w:val="superscript"/>
        </w:rPr>
        <w:t>67</w:t>
      </w:r>
      <w:r>
        <w:rPr>
          <w:sz w:val="20"/>
          <w:szCs w:val="20"/>
          <w:color w:val="auto"/>
        </w:rPr>
        <w:tab/>
      </w:r>
      <w:r>
        <w:rPr>
          <w:rFonts w:ascii="Arial" w:cs="Arial" w:eastAsia="Arial" w:hAnsi="Arial"/>
          <w:sz w:val="14"/>
          <w:szCs w:val="14"/>
          <w:color w:val="auto"/>
        </w:rPr>
        <w:t>2021 Proxy Statement</w:t>
      </w:r>
    </w:p>
    <w:p>
      <w:pPr>
        <w:sectPr>
          <w:pgSz w:w="11900" w:h="16838" w:orient="portrait"/>
          <w:cols w:equalWidth="0" w:num="1">
            <w:col w:w="11240"/>
          </w:cols>
          <w:pgMar w:left="320" w:top="172" w:right="339" w:bottom="1440" w:gutter="0" w:footer="0" w:header="0"/>
        </w:sectPr>
      </w:pPr>
    </w:p>
    <w:bookmarkStart w:id="71" w:name="page72"/>
    <w:bookmarkEnd w:id="71"/>
    <w:p>
      <w:pPr>
        <w:ind w:left="280"/>
        <w:spacing w:after="0"/>
        <w:rPr>
          <w:sz w:val="20"/>
          <w:szCs w:val="20"/>
          <w:color w:val="auto"/>
        </w:rPr>
      </w:pPr>
      <w:r>
        <w:rPr>
          <w:rFonts w:ascii="Arial" w:cs="Arial" w:eastAsia="Arial" w:hAnsi="Arial"/>
          <w:sz w:val="13"/>
          <w:szCs w:val="13"/>
          <w:b w:val="1"/>
          <w:bCs w:val="1"/>
          <w:color w:val="929292"/>
        </w:rPr>
        <w:t>RELATED PERSON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7470" cy="6032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7470" cy="60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54"/>
          <w:szCs w:val="54"/>
          <w:color w:val="auto"/>
        </w:rPr>
        <w:t>Related Person Transactions</w:t>
      </w:r>
    </w:p>
    <w:p>
      <w:pPr>
        <w:spacing w:after="0" w:line="115" w:lineRule="exact"/>
        <w:rPr>
          <w:sz w:val="20"/>
          <w:szCs w:val="20"/>
          <w:color w:val="auto"/>
        </w:rPr>
      </w:pPr>
    </w:p>
    <w:p>
      <w:pPr>
        <w:ind w:right="220"/>
        <w:spacing w:after="0" w:line="348" w:lineRule="auto"/>
        <w:rPr>
          <w:sz w:val="20"/>
          <w:szCs w:val="20"/>
          <w:color w:val="auto"/>
        </w:rPr>
      </w:pPr>
      <w:r>
        <w:rPr>
          <w:rFonts w:ascii="Arial" w:cs="Arial" w:eastAsia="Arial" w:hAnsi="Arial"/>
          <w:sz w:val="16"/>
          <w:szCs w:val="16"/>
          <w:color w:val="auto"/>
        </w:rPr>
        <w:t>We describe below transactions and series of similar transactions, since the beginning of our last fiscal year, to which we were a party or will be a party, in which:</w:t>
      </w:r>
    </w:p>
    <w:p>
      <w:pPr>
        <w:spacing w:after="0" w:line="141" w:lineRule="exact"/>
        <w:rPr>
          <w:sz w:val="20"/>
          <w:szCs w:val="20"/>
          <w:color w:val="auto"/>
        </w:rPr>
      </w:pPr>
    </w:p>
    <w:p>
      <w:pPr>
        <w:ind w:left="460" w:hanging="128"/>
        <w:spacing w:after="0"/>
        <w:tabs>
          <w:tab w:leader="none" w:pos="4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amounts involved exceeded or will exceed $120,000; and</w:t>
      </w:r>
    </w:p>
    <w:p>
      <w:pPr>
        <w:spacing w:after="0" w:line="126" w:lineRule="exact"/>
        <w:rPr>
          <w:rFonts w:ascii="Arial" w:cs="Arial" w:eastAsia="Arial" w:hAnsi="Arial"/>
          <w:sz w:val="16"/>
          <w:szCs w:val="16"/>
          <w:color w:val="auto"/>
        </w:rPr>
      </w:pPr>
    </w:p>
    <w:p>
      <w:pPr>
        <w:ind w:left="500" w:right="100" w:hanging="168"/>
        <w:spacing w:after="0" w:line="341" w:lineRule="auto"/>
        <w:tabs>
          <w:tab w:leader="none" w:pos="462" w:val="left"/>
        </w:tabs>
        <w:numPr>
          <w:ilvl w:val="0"/>
          <w:numId w:val="58"/>
        </w:numPr>
        <w:rPr>
          <w:rFonts w:ascii="Arial" w:cs="Arial" w:eastAsia="Arial" w:hAnsi="Arial"/>
          <w:sz w:val="16"/>
          <w:szCs w:val="16"/>
          <w:color w:val="auto"/>
        </w:rPr>
      </w:pPr>
      <w:r>
        <w:rPr>
          <w:rFonts w:ascii="Arial" w:cs="Arial" w:eastAsia="Arial" w:hAnsi="Arial"/>
          <w:sz w:val="16"/>
          <w:szCs w:val="16"/>
          <w:color w:val="auto"/>
        </w:rPr>
        <w:t>any of our directors, nominees for director, executive officers or beneficial holders of more than 5% of our outstanding capital stock, or any immediate family member of, or person sharing the household with, any of these individuals or entities (each, a related person), had or will have a direct or indirect material interest.</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color w:val="009ADA"/>
        </w:rPr>
        <w:t>Investors’ Rights Agreement</w:t>
      </w:r>
    </w:p>
    <w:p>
      <w:pPr>
        <w:spacing w:after="0" w:line="213" w:lineRule="exact"/>
        <w:rPr>
          <w:sz w:val="20"/>
          <w:szCs w:val="20"/>
          <w:color w:val="auto"/>
        </w:rPr>
      </w:pPr>
    </w:p>
    <w:p>
      <w:pPr>
        <w:ind w:right="40"/>
        <w:spacing w:after="0" w:line="341" w:lineRule="auto"/>
        <w:rPr>
          <w:sz w:val="20"/>
          <w:szCs w:val="20"/>
          <w:color w:val="auto"/>
        </w:rPr>
      </w:pPr>
      <w:r>
        <w:rPr>
          <w:rFonts w:ascii="Arial" w:cs="Arial" w:eastAsia="Arial" w:hAnsi="Arial"/>
          <w:sz w:val="16"/>
          <w:szCs w:val="16"/>
          <w:color w:val="auto"/>
        </w:rPr>
        <w:t>We are party to an amended and restated investors’ rights agreement dated July 24, 2015 which provides, among other things, that certain holders of our capital stock, including entities affiliated with Mr. Chaudhry and his immediate family have the right to demand that we file a registration statement or request that their shares of our capital stock be covered by a registration statement that we are otherwise filing.</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color w:val="009ADA"/>
        </w:rPr>
        <w:t>Transactions with Stockholders</w:t>
      </w:r>
    </w:p>
    <w:p>
      <w:pPr>
        <w:spacing w:after="0" w:line="213" w:lineRule="exact"/>
        <w:rPr>
          <w:sz w:val="20"/>
          <w:szCs w:val="20"/>
          <w:color w:val="auto"/>
        </w:rPr>
      </w:pPr>
    </w:p>
    <w:p>
      <w:pPr>
        <w:ind w:right="160"/>
        <w:spacing w:after="0" w:line="341" w:lineRule="auto"/>
        <w:rPr>
          <w:sz w:val="20"/>
          <w:szCs w:val="20"/>
          <w:color w:val="auto"/>
        </w:rPr>
      </w:pPr>
      <w:r>
        <w:rPr>
          <w:rFonts w:ascii="Arial" w:cs="Arial" w:eastAsia="Arial" w:hAnsi="Arial"/>
          <w:sz w:val="16"/>
          <w:szCs w:val="16"/>
          <w:color w:val="auto"/>
        </w:rPr>
        <w:t>From time to time, stockholders, including those that may beneficially own more than 5% of our outstanding capital stock subscribe to, license or otherwise purchase, in the normal course of business, certain of our products and services. These transactions are negotiated on an arm’s-length basis and are subject to review under the Company’s policies and procedures for related person transactions described below.</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color w:val="009ADA"/>
        </w:rPr>
        <w:t>Other Agreements</w:t>
      </w:r>
    </w:p>
    <w:p>
      <w:pPr>
        <w:spacing w:after="0" w:line="213" w:lineRule="exact"/>
        <w:rPr>
          <w:sz w:val="20"/>
          <w:szCs w:val="20"/>
          <w:color w:val="auto"/>
        </w:rPr>
      </w:pPr>
    </w:p>
    <w:p>
      <w:pPr>
        <w:ind w:right="20"/>
        <w:spacing w:after="0" w:line="336" w:lineRule="auto"/>
        <w:rPr>
          <w:sz w:val="20"/>
          <w:szCs w:val="20"/>
          <w:color w:val="auto"/>
        </w:rPr>
      </w:pPr>
      <w:r>
        <w:rPr>
          <w:rFonts w:ascii="Arial" w:cs="Arial" w:eastAsia="Arial" w:hAnsi="Arial"/>
          <w:sz w:val="16"/>
          <w:szCs w:val="16"/>
          <w:color w:val="auto"/>
        </w:rPr>
        <w:t>In addition to the indemnification required in our amended and restated certificate of incorporation and amended and restated bylaws, we have entered into an indemnification agreement with each member of our board of directors and each of our officers. These agreements provide for the indemnification of our directors and officers for certain expenses and liabilities incurred in connection with any action, suit, proceeding or alternative dispute resolution mechanism, or hearing, inquiry or investigation that may lead to the foregoing, to which they are a party, or are threatened to be made a party, by reason of the fact that they are or were a director, officer, employee, agent or fiduciary of the Company, or any of our subsidiaries, by reason of any action or inaction by them while serving as an officer, director, agent or fiduciary, or by reason of the fact that they were serving at our request as a director, officer, employee, agent or fiduciary of another entity. In the case of an action or proceeding by or in the right of the Company or any of our subsidiaries, no indemnification will be provided for any claim where a court determines that the indemnified party is prohibited from receiving indemnification. We believe that these charter and bylaw provisions and indemnification agreements are necessary to attract and retain qualified persons as directors and officers.</w:t>
      </w:r>
    </w:p>
    <w:p>
      <w:pPr>
        <w:spacing w:after="0" w:line="152" w:lineRule="exact"/>
        <w:rPr>
          <w:sz w:val="20"/>
          <w:szCs w:val="20"/>
          <w:color w:val="auto"/>
        </w:rPr>
      </w:pPr>
    </w:p>
    <w:p>
      <w:pPr>
        <w:jc w:val="both"/>
        <w:ind w:right="180"/>
        <w:spacing w:after="0" w:line="341" w:lineRule="auto"/>
        <w:rPr>
          <w:sz w:val="20"/>
          <w:szCs w:val="20"/>
          <w:color w:val="auto"/>
        </w:rPr>
      </w:pPr>
      <w:r>
        <w:rPr>
          <w:rFonts w:ascii="Arial" w:cs="Arial" w:eastAsia="Arial" w:hAnsi="Arial"/>
          <w:sz w:val="16"/>
          <w:szCs w:val="16"/>
          <w:color w:val="auto"/>
        </w:rPr>
        <w:t>We have entered into employment agreements with certain of our executive officers that, among other things, provide for certain severance and change of control benefits. For a description of employment agreements with our Named Executive Officers, see “</w:t>
      </w:r>
      <w:r>
        <w:rPr>
          <w:rFonts w:ascii="Arial" w:cs="Arial" w:eastAsia="Arial" w:hAnsi="Arial"/>
          <w:sz w:val="16"/>
          <w:szCs w:val="16"/>
          <w:i w:val="1"/>
          <w:iCs w:val="1"/>
          <w:color w:val="auto"/>
        </w:rPr>
        <w:t>Executive Compensation—Executive Employment</w:t>
      </w:r>
      <w:r>
        <w:rPr>
          <w:rFonts w:ascii="Arial" w:cs="Arial" w:eastAsia="Arial" w:hAnsi="Arial"/>
          <w:sz w:val="16"/>
          <w:szCs w:val="16"/>
          <w:color w:val="auto"/>
        </w:rPr>
        <w:t xml:space="preserve"> </w:t>
      </w:r>
      <w:r>
        <w:rPr>
          <w:rFonts w:ascii="Arial" w:cs="Arial" w:eastAsia="Arial" w:hAnsi="Arial"/>
          <w:sz w:val="16"/>
          <w:szCs w:val="16"/>
          <w:i w:val="1"/>
          <w:iCs w:val="1"/>
          <w:color w:val="auto"/>
        </w:rPr>
        <w:t>Agreements</w:t>
      </w:r>
      <w:r>
        <w:rPr>
          <w:rFonts w:ascii="Arial" w:cs="Arial" w:eastAsia="Arial" w:hAnsi="Arial"/>
          <w:sz w:val="16"/>
          <w:szCs w:val="16"/>
          <w:color w:val="auto"/>
        </w:rPr>
        <w:t>.”</w:t>
      </w:r>
    </w:p>
    <w:p>
      <w:pPr>
        <w:spacing w:after="0" w:line="131" w:lineRule="exact"/>
        <w:rPr>
          <w:sz w:val="20"/>
          <w:szCs w:val="20"/>
          <w:color w:val="auto"/>
        </w:rPr>
      </w:pPr>
    </w:p>
    <w:p>
      <w:pPr>
        <w:ind w:right="460"/>
        <w:spacing w:after="0" w:line="369" w:lineRule="auto"/>
        <w:rPr>
          <w:sz w:val="20"/>
          <w:szCs w:val="20"/>
          <w:color w:val="auto"/>
        </w:rPr>
      </w:pPr>
      <w:r>
        <w:rPr>
          <w:rFonts w:ascii="Arial" w:cs="Arial" w:eastAsia="Arial" w:hAnsi="Arial"/>
          <w:sz w:val="16"/>
          <w:szCs w:val="16"/>
          <w:color w:val="auto"/>
        </w:rPr>
        <w:t>We have granted stock options to our Named Executive Officers, other executive officers and certain of our directors. See “</w:t>
      </w:r>
      <w:r>
        <w:rPr>
          <w:rFonts w:ascii="Arial" w:cs="Arial" w:eastAsia="Arial" w:hAnsi="Arial"/>
          <w:sz w:val="16"/>
          <w:szCs w:val="16"/>
          <w:i w:val="1"/>
          <w:iCs w:val="1"/>
          <w:color w:val="auto"/>
        </w:rPr>
        <w:t>Executive Compensation—</w:t>
      </w:r>
      <w:r>
        <w:rPr>
          <w:rFonts w:ascii="Arial" w:cs="Arial" w:eastAsia="Arial" w:hAnsi="Arial"/>
          <w:sz w:val="16"/>
          <w:szCs w:val="16"/>
          <w:color w:val="auto"/>
        </w:rPr>
        <w:t xml:space="preserve"> </w:t>
      </w:r>
      <w:r>
        <w:rPr>
          <w:rFonts w:ascii="Arial" w:cs="Arial" w:eastAsia="Arial" w:hAnsi="Arial"/>
          <w:sz w:val="16"/>
          <w:szCs w:val="16"/>
          <w:i w:val="1"/>
          <w:iCs w:val="1"/>
          <w:color w:val="auto"/>
        </w:rPr>
        <w:t>Executive Employment Agreements.</w:t>
      </w:r>
      <w:r>
        <w:rPr>
          <w:rFonts w:ascii="Arial" w:cs="Arial" w:eastAsia="Arial" w:hAnsi="Arial"/>
          <w:sz w:val="16"/>
          <w:szCs w:val="16"/>
          <w:color w:val="auto"/>
        </w:rPr>
        <w:t>”</w:t>
      </w:r>
    </w:p>
    <w:p>
      <w:pPr>
        <w:spacing w:after="0" w:line="125" w:lineRule="exact"/>
        <w:rPr>
          <w:sz w:val="20"/>
          <w:szCs w:val="20"/>
          <w:color w:val="auto"/>
        </w:rPr>
      </w:pPr>
    </w:p>
    <w:p>
      <w:pPr>
        <w:ind w:right="20"/>
        <w:spacing w:after="0" w:line="341" w:lineRule="auto"/>
        <w:rPr>
          <w:sz w:val="20"/>
          <w:szCs w:val="20"/>
          <w:color w:val="auto"/>
        </w:rPr>
      </w:pPr>
      <w:r>
        <w:rPr>
          <w:rFonts w:ascii="Arial" w:cs="Arial" w:eastAsia="Arial" w:hAnsi="Arial"/>
          <w:sz w:val="16"/>
          <w:szCs w:val="16"/>
          <w:color w:val="auto"/>
        </w:rPr>
        <w:t>Other than as described above, since August 1, 2020, we have not entered into any transactions, nor are there any currently proposed transactions, between us and a related party where the amount involved exceeds, or would exceed, $120,000, and in which any related person had or will have a direct or indirect material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255270</wp:posOffset>
            </wp:positionV>
            <wp:extent cx="342900" cy="21463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342900" cy="214630"/>
                    </a:xfrm>
                    <a:prstGeom prst="rect">
                      <a:avLst/>
                    </a:prstGeom>
                    <a:noFill/>
                  </pic:spPr>
                </pic:pic>
              </a:graphicData>
            </a:graphic>
          </wp:anchor>
        </w:drawing>
      </w:r>
    </w:p>
    <w:p>
      <w:pPr>
        <w:spacing w:after="0" w:line="320" w:lineRule="exact"/>
        <w:rPr>
          <w:sz w:val="20"/>
          <w:szCs w:val="20"/>
          <w:color w:val="auto"/>
        </w:rPr>
      </w:pPr>
    </w:p>
    <w:p>
      <w:pPr>
        <w:jc w:val="both"/>
        <w:ind w:left="5540"/>
        <w:spacing w:after="0"/>
        <w:tabs>
          <w:tab w:leader="none" w:pos="9780" w:val="left"/>
        </w:tabs>
        <w:rPr>
          <w:sz w:val="20"/>
          <w:szCs w:val="20"/>
          <w:color w:val="auto"/>
        </w:rPr>
      </w:pPr>
      <w:r>
        <w:rPr>
          <w:rFonts w:ascii="Arial" w:cs="Arial" w:eastAsia="Arial" w:hAnsi="Arial"/>
          <w:sz w:val="29"/>
          <w:szCs w:val="29"/>
          <w:color w:val="auto"/>
          <w:vertAlign w:val="superscript"/>
        </w:rPr>
        <w:t>68</w:t>
      </w:r>
      <w:r>
        <w:rPr>
          <w:sz w:val="20"/>
          <w:szCs w:val="20"/>
          <w:color w:val="auto"/>
        </w:rPr>
        <w:tab/>
      </w:r>
      <w:r>
        <w:rPr>
          <w:rFonts w:ascii="Arial" w:cs="Arial" w:eastAsia="Arial" w:hAnsi="Arial"/>
          <w:sz w:val="14"/>
          <w:szCs w:val="14"/>
          <w:color w:val="auto"/>
        </w:rPr>
        <w:t>2021 Proxy Statement</w:t>
      </w:r>
    </w:p>
    <w:p>
      <w:pPr>
        <w:sectPr>
          <w:pgSz w:w="11900" w:h="16838" w:orient="portrait"/>
          <w:cols w:equalWidth="0" w:num="1">
            <w:col w:w="11220"/>
          </w:cols>
          <w:pgMar w:left="320" w:top="172" w:right="359" w:bottom="1440" w:gutter="0" w:footer="0" w:header="0"/>
        </w:sectPr>
      </w:pPr>
    </w:p>
    <w:bookmarkStart w:id="72" w:name="page73"/>
    <w:bookmarkEnd w:id="72"/>
    <w:p>
      <w:pPr>
        <w:ind w:left="280"/>
        <w:spacing w:after="0"/>
        <w:rPr>
          <w:sz w:val="20"/>
          <w:szCs w:val="20"/>
          <w:color w:val="auto"/>
        </w:rPr>
      </w:pPr>
      <w:r>
        <w:rPr>
          <w:rFonts w:ascii="Arial" w:cs="Arial" w:eastAsia="Arial" w:hAnsi="Arial"/>
          <w:sz w:val="13"/>
          <w:szCs w:val="13"/>
          <w:b w:val="1"/>
          <w:bCs w:val="1"/>
          <w:color w:val="929292"/>
        </w:rPr>
        <w:t>RELATED PERSON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7470" cy="6032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7470" cy="60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260"/>
        <w:spacing w:after="0" w:line="348" w:lineRule="auto"/>
        <w:rPr>
          <w:sz w:val="20"/>
          <w:szCs w:val="20"/>
          <w:color w:val="auto"/>
        </w:rPr>
      </w:pPr>
      <w:r>
        <w:rPr>
          <w:rFonts w:ascii="Arial" w:cs="Arial" w:eastAsia="Arial" w:hAnsi="Arial"/>
          <w:sz w:val="16"/>
          <w:szCs w:val="16"/>
          <w:color w:val="auto"/>
        </w:rPr>
        <w:t>We believe the terms of the transactions described above were comparable to terms we could have obtained in arm’s-length dealings with unrelated third parties.</w:t>
      </w:r>
    </w:p>
    <w:p>
      <w:pPr>
        <w:spacing w:after="0" w:line="94" w:lineRule="exact"/>
        <w:rPr>
          <w:sz w:val="20"/>
          <w:szCs w:val="20"/>
          <w:color w:val="auto"/>
        </w:rPr>
      </w:pPr>
    </w:p>
    <w:p>
      <w:pPr>
        <w:spacing w:after="0"/>
        <w:rPr>
          <w:sz w:val="20"/>
          <w:szCs w:val="20"/>
          <w:color w:val="auto"/>
        </w:rPr>
      </w:pPr>
      <w:r>
        <w:rPr>
          <w:rFonts w:ascii="Arial" w:cs="Arial" w:eastAsia="Arial" w:hAnsi="Arial"/>
          <w:sz w:val="22"/>
          <w:szCs w:val="22"/>
          <w:b w:val="1"/>
          <w:bCs w:val="1"/>
          <w:color w:val="009ADA"/>
        </w:rPr>
        <w:t>Policies and Procedures for Related Party Transactions</w:t>
      </w:r>
    </w:p>
    <w:p>
      <w:pPr>
        <w:spacing w:after="0" w:line="213" w:lineRule="exact"/>
        <w:rPr>
          <w:sz w:val="20"/>
          <w:szCs w:val="20"/>
          <w:color w:val="auto"/>
        </w:rPr>
      </w:pPr>
    </w:p>
    <w:p>
      <w:pPr>
        <w:ind w:right="100"/>
        <w:spacing w:after="0" w:line="341" w:lineRule="auto"/>
        <w:rPr>
          <w:sz w:val="20"/>
          <w:szCs w:val="20"/>
          <w:color w:val="auto"/>
        </w:rPr>
      </w:pPr>
      <w:r>
        <w:rPr>
          <w:rFonts w:ascii="Arial" w:cs="Arial" w:eastAsia="Arial" w:hAnsi="Arial"/>
          <w:sz w:val="16"/>
          <w:szCs w:val="16"/>
          <w:color w:val="auto"/>
        </w:rPr>
        <w:t>We have adopted a formal written policy providing that our executive officers, directors, nominees for election as directors, beneficial owners of more than 5% of any class of our common stock and any member of the immediate family of any of the foregoing persons, is not permitted to enter into a related-party transaction with us without the consent of our audit committee, subject to the exceptions described below.</w:t>
      </w:r>
    </w:p>
    <w:p>
      <w:pPr>
        <w:spacing w:after="0" w:line="147" w:lineRule="exact"/>
        <w:rPr>
          <w:sz w:val="20"/>
          <w:szCs w:val="20"/>
          <w:color w:val="auto"/>
        </w:rPr>
      </w:pPr>
    </w:p>
    <w:p>
      <w:pPr>
        <w:ind w:right="60"/>
        <w:spacing w:after="0" w:line="336" w:lineRule="auto"/>
        <w:rPr>
          <w:sz w:val="20"/>
          <w:szCs w:val="20"/>
          <w:color w:val="auto"/>
        </w:rPr>
      </w:pPr>
      <w:r>
        <w:rPr>
          <w:rFonts w:ascii="Arial" w:cs="Arial" w:eastAsia="Arial" w:hAnsi="Arial"/>
          <w:sz w:val="16"/>
          <w:szCs w:val="16"/>
          <w:color w:val="auto"/>
        </w:rPr>
        <w:t>In approving or rejecting any such proposal, our audit committee is to consider the relevant facts and circumstances available and deemed relevant to our audit committee, including, whether the transaction is on terms no less favorable than terms generally available to an unaffiliated third party under the same or similar circumstances, and the extent of the related party’s interest in the transaction. Our audit committee has determined that certain transactions will not require audit committee approval, including certain employment arrangements of executive officers, director compensation, transactions with another company at which a related party’s only relationship is as a non-executive employee, director or beneficial owner of less than 10% of that company’s shares and the aggregate amount involved does not exceed $120,000 in any fiscal year, transactions where a related party’s interest arises solely from the ownership of our common stock and all holders of our common stock received the same benefit on a pro rata basis and transactions available to all employees generally.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259080</wp:posOffset>
            </wp:positionV>
            <wp:extent cx="342900" cy="21463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342900" cy="214630"/>
                    </a:xfrm>
                    <a:prstGeom prst="rect">
                      <a:avLst/>
                    </a:prstGeom>
                    <a:noFill/>
                  </pic:spPr>
                </pic:pic>
              </a:graphicData>
            </a:graphic>
          </wp:anchor>
        </w:drawing>
      </w:r>
    </w:p>
    <w:p>
      <w:pPr>
        <w:spacing w:after="0" w:line="326" w:lineRule="exact"/>
        <w:rPr>
          <w:sz w:val="20"/>
          <w:szCs w:val="20"/>
          <w:color w:val="auto"/>
        </w:rPr>
      </w:pPr>
    </w:p>
    <w:p>
      <w:pPr>
        <w:jc w:val="both"/>
        <w:ind w:left="5540"/>
        <w:spacing w:after="0"/>
        <w:tabs>
          <w:tab w:leader="none" w:pos="9780" w:val="left"/>
        </w:tabs>
        <w:rPr>
          <w:sz w:val="20"/>
          <w:szCs w:val="20"/>
          <w:color w:val="auto"/>
        </w:rPr>
      </w:pPr>
      <w:r>
        <w:rPr>
          <w:rFonts w:ascii="Arial" w:cs="Arial" w:eastAsia="Arial" w:hAnsi="Arial"/>
          <w:sz w:val="29"/>
          <w:szCs w:val="29"/>
          <w:color w:val="auto"/>
          <w:vertAlign w:val="superscript"/>
        </w:rPr>
        <w:t>69</w:t>
      </w:r>
      <w:r>
        <w:rPr>
          <w:sz w:val="20"/>
          <w:szCs w:val="20"/>
          <w:color w:val="auto"/>
        </w:rPr>
        <w:tab/>
      </w:r>
      <w:r>
        <w:rPr>
          <w:rFonts w:ascii="Arial" w:cs="Arial" w:eastAsia="Arial" w:hAnsi="Arial"/>
          <w:sz w:val="14"/>
          <w:szCs w:val="14"/>
          <w:color w:val="auto"/>
        </w:rPr>
        <w:t>2021 Proxy Statement</w:t>
      </w:r>
    </w:p>
    <w:p>
      <w:pPr>
        <w:sectPr>
          <w:pgSz w:w="11900" w:h="16838" w:orient="portrait"/>
          <w:cols w:equalWidth="0" w:num="1">
            <w:col w:w="11220"/>
          </w:cols>
          <w:pgMar w:left="320" w:top="172" w:right="359" w:bottom="1440" w:gutter="0" w:footer="0" w:header="0"/>
        </w:sectPr>
      </w:pPr>
    </w:p>
    <w:bookmarkStart w:id="73" w:name="page74"/>
    <w:bookmarkEnd w:id="73"/>
    <w:p>
      <w:pPr>
        <w:ind w:left="280"/>
        <w:spacing w:after="0"/>
        <w:rPr>
          <w:sz w:val="20"/>
          <w:szCs w:val="20"/>
          <w:color w:val="auto"/>
        </w:rPr>
      </w:pPr>
      <w:r>
        <w:rPr>
          <w:rFonts w:ascii="Arial" w:cs="Arial" w:eastAsia="Arial" w:hAnsi="Arial"/>
          <w:sz w:val="13"/>
          <w:szCs w:val="13"/>
          <w:b w:val="1"/>
          <w:bCs w:val="1"/>
          <w:color w:val="929292"/>
        </w:rPr>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7470" cy="6032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7470" cy="60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54"/>
          <w:szCs w:val="54"/>
          <w:color w:val="auto"/>
        </w:rPr>
        <w:t>Other Matters</w:t>
      </w:r>
    </w:p>
    <w:p>
      <w:pPr>
        <w:spacing w:after="0" w:line="67" w:lineRule="exact"/>
        <w:rPr>
          <w:sz w:val="20"/>
          <w:szCs w:val="20"/>
          <w:color w:val="auto"/>
        </w:rPr>
      </w:pPr>
    </w:p>
    <w:p>
      <w:pPr>
        <w:spacing w:after="0"/>
        <w:rPr>
          <w:sz w:val="20"/>
          <w:szCs w:val="20"/>
          <w:color w:val="auto"/>
        </w:rPr>
      </w:pPr>
      <w:r>
        <w:rPr>
          <w:rFonts w:ascii="Arial" w:cs="Arial" w:eastAsia="Arial" w:hAnsi="Arial"/>
          <w:sz w:val="22"/>
          <w:szCs w:val="22"/>
          <w:b w:val="1"/>
          <w:bCs w:val="1"/>
          <w:color w:val="009ADA"/>
        </w:rPr>
        <w:t>Section 16(a) Beneficial Ownership Reporting Compliance</w:t>
      </w:r>
    </w:p>
    <w:p>
      <w:pPr>
        <w:spacing w:after="0" w:line="213" w:lineRule="exact"/>
        <w:rPr>
          <w:sz w:val="20"/>
          <w:szCs w:val="20"/>
          <w:color w:val="auto"/>
        </w:rPr>
      </w:pPr>
    </w:p>
    <w:p>
      <w:pPr>
        <w:jc w:val="both"/>
        <w:ind w:right="40"/>
        <w:spacing w:after="0" w:line="341" w:lineRule="auto"/>
        <w:rPr>
          <w:sz w:val="20"/>
          <w:szCs w:val="20"/>
          <w:color w:val="auto"/>
        </w:rPr>
      </w:pPr>
      <w:r>
        <w:rPr>
          <w:rFonts w:ascii="Arial" w:cs="Arial" w:eastAsia="Arial" w:hAnsi="Arial"/>
          <w:sz w:val="16"/>
          <w:szCs w:val="16"/>
          <w:color w:val="auto"/>
        </w:rPr>
        <w:t>Section 16(a) of the Exchange Act requires that our executive officers and directors, and persons who own more than 10% of our common stock, file reports of ownership and changes of ownership with the SEC. Such directors, executive officers and 10% stockholders are required by SEC regulation to furnish us with copies of all Section 16(a) forms they file.</w:t>
      </w:r>
    </w:p>
    <w:p>
      <w:pPr>
        <w:spacing w:after="0" w:line="147" w:lineRule="exact"/>
        <w:rPr>
          <w:sz w:val="20"/>
          <w:szCs w:val="20"/>
          <w:color w:val="auto"/>
        </w:rPr>
      </w:pPr>
    </w:p>
    <w:p>
      <w:pPr>
        <w:ind w:right="20"/>
        <w:spacing w:after="0" w:line="341" w:lineRule="auto"/>
        <w:rPr>
          <w:sz w:val="20"/>
          <w:szCs w:val="20"/>
          <w:color w:val="auto"/>
        </w:rPr>
      </w:pPr>
      <w:r>
        <w:rPr>
          <w:rFonts w:ascii="Arial" w:cs="Arial" w:eastAsia="Arial" w:hAnsi="Arial"/>
          <w:sz w:val="16"/>
          <w:szCs w:val="16"/>
          <w:color w:val="auto"/>
        </w:rPr>
        <w:t>SEC regulations require us to identify in this Proxy Statement anyone who filed a required report late during the most recent fiscal year. Based on our review of forms we received, or written representations from reporting persons stating that they were not required to file these forms, we believe that during our fiscal year ended July 31, 2021, all Section 16(a) filing requirements were satisfied on a timely basis.</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color w:val="009ADA"/>
        </w:rPr>
        <w:t>Fiscal Year 2021 Annual Report and SEC Filings</w:t>
      </w:r>
    </w:p>
    <w:p>
      <w:pPr>
        <w:spacing w:after="0" w:line="213" w:lineRule="exact"/>
        <w:rPr>
          <w:sz w:val="20"/>
          <w:szCs w:val="20"/>
          <w:color w:val="auto"/>
        </w:rPr>
      </w:pPr>
    </w:p>
    <w:p>
      <w:pPr>
        <w:ind w:right="120"/>
        <w:spacing w:after="0" w:line="339" w:lineRule="auto"/>
        <w:rPr>
          <w:sz w:val="20"/>
          <w:szCs w:val="20"/>
          <w:color w:val="auto"/>
        </w:rPr>
      </w:pPr>
      <w:r>
        <w:rPr>
          <w:rFonts w:ascii="Arial" w:cs="Arial" w:eastAsia="Arial" w:hAnsi="Arial"/>
          <w:sz w:val="16"/>
          <w:szCs w:val="16"/>
          <w:color w:val="auto"/>
        </w:rPr>
        <w:t xml:space="preserve">Our financial statements for our fiscal year ended July 31, 2021 are included in our Annual Report on Form 10-K filed with the SEC on September 16, 2021 (File No. 001-38413). This Proxy Statement and our Annual Report are posted in the Financial Information section of the Investor Relations webpage at </w:t>
      </w:r>
      <w:r>
        <w:rPr>
          <w:rFonts w:ascii="Arial" w:cs="Arial" w:eastAsia="Arial" w:hAnsi="Arial"/>
          <w:sz w:val="16"/>
          <w:szCs w:val="16"/>
          <w:b w:val="1"/>
          <w:bCs w:val="1"/>
          <w:color w:val="auto"/>
        </w:rPr>
        <w:t xml:space="preserve">http://ir.zscaler.com </w:t>
      </w:r>
      <w:r>
        <w:rPr>
          <w:rFonts w:ascii="Arial" w:cs="Arial" w:eastAsia="Arial" w:hAnsi="Arial"/>
          <w:sz w:val="16"/>
          <w:szCs w:val="16"/>
          <w:color w:val="auto"/>
        </w:rPr>
        <w:t>and are available from the SEC at its website at</w:t>
      </w:r>
      <w:r>
        <w:rPr>
          <w:rFonts w:ascii="Arial" w:cs="Arial" w:eastAsia="Arial" w:hAnsi="Arial"/>
          <w:sz w:val="16"/>
          <w:szCs w:val="16"/>
          <w:b w:val="1"/>
          <w:bCs w:val="1"/>
          <w:color w:val="auto"/>
        </w:rPr>
        <w:t xml:space="preserve"> www.sec.gov. </w:t>
      </w:r>
      <w:r>
        <w:rPr>
          <w:rFonts w:ascii="Arial" w:cs="Arial" w:eastAsia="Arial" w:hAnsi="Arial"/>
          <w:sz w:val="16"/>
          <w:szCs w:val="16"/>
          <w:color w:val="auto"/>
        </w:rPr>
        <w:t>You may also obtain a copy of our Annual Report without charge by</w:t>
      </w:r>
      <w:r>
        <w:rPr>
          <w:rFonts w:ascii="Arial" w:cs="Arial" w:eastAsia="Arial" w:hAnsi="Arial"/>
          <w:sz w:val="16"/>
          <w:szCs w:val="16"/>
          <w:b w:val="1"/>
          <w:bCs w:val="1"/>
          <w:color w:val="auto"/>
        </w:rPr>
        <w:t xml:space="preserve"> </w:t>
      </w:r>
      <w:r>
        <w:rPr>
          <w:rFonts w:ascii="Arial" w:cs="Arial" w:eastAsia="Arial" w:hAnsi="Arial"/>
          <w:sz w:val="16"/>
          <w:szCs w:val="16"/>
          <w:color w:val="auto"/>
        </w:rPr>
        <w:t>sending a written request to Zscaler, Inc., Attention: Investor Relations, 120 Holger Way, San Jose, California 95134.</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009ADA"/>
        </w:rPr>
        <w:t>Company Website</w:t>
      </w:r>
    </w:p>
    <w:p>
      <w:pPr>
        <w:spacing w:after="0" w:line="193" w:lineRule="exact"/>
        <w:rPr>
          <w:sz w:val="20"/>
          <w:szCs w:val="20"/>
          <w:color w:val="auto"/>
        </w:rPr>
      </w:pPr>
    </w:p>
    <w:p>
      <w:pPr>
        <w:ind w:right="160"/>
        <w:spacing w:after="0" w:line="374" w:lineRule="auto"/>
        <w:rPr>
          <w:sz w:val="20"/>
          <w:szCs w:val="20"/>
          <w:color w:val="auto"/>
        </w:rPr>
      </w:pPr>
      <w:r>
        <w:rPr>
          <w:rFonts w:ascii="Arial" w:cs="Arial" w:eastAsia="Arial" w:hAnsi="Arial"/>
          <w:sz w:val="16"/>
          <w:szCs w:val="16"/>
          <w:color w:val="auto"/>
        </w:rPr>
        <w:t xml:space="preserve">We maintain a website at </w:t>
      </w:r>
      <w:r>
        <w:rPr>
          <w:rFonts w:ascii="Arial" w:cs="Arial" w:eastAsia="Arial" w:hAnsi="Arial"/>
          <w:sz w:val="16"/>
          <w:szCs w:val="16"/>
          <w:b w:val="1"/>
          <w:bCs w:val="1"/>
          <w:color w:val="auto"/>
        </w:rPr>
        <w:t>www.zscaler.com</w:t>
      </w:r>
      <w:r>
        <w:rPr>
          <w:rFonts w:ascii="Arial" w:cs="Arial" w:eastAsia="Arial" w:hAnsi="Arial"/>
          <w:sz w:val="16"/>
          <w:szCs w:val="16"/>
          <w:color w:val="auto"/>
        </w:rPr>
        <w:t>. Information contained on, or that can be accessed through, our website is not intended to be incorporated by reference into this Proxy Statement, and references to our website address in this Proxy Statement are inactive textual references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238760</wp:posOffset>
            </wp:positionV>
            <wp:extent cx="342900" cy="21463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342900" cy="214630"/>
                    </a:xfrm>
                    <a:prstGeom prst="rect">
                      <a:avLst/>
                    </a:prstGeom>
                    <a:noFill/>
                  </pic:spPr>
                </pic:pic>
              </a:graphicData>
            </a:graphic>
          </wp:anchor>
        </w:drawing>
      </w:r>
    </w:p>
    <w:p>
      <w:pPr>
        <w:spacing w:after="0" w:line="294" w:lineRule="exact"/>
        <w:rPr>
          <w:sz w:val="20"/>
          <w:szCs w:val="20"/>
          <w:color w:val="auto"/>
        </w:rPr>
      </w:pPr>
    </w:p>
    <w:p>
      <w:pPr>
        <w:jc w:val="both"/>
        <w:ind w:left="5540"/>
        <w:spacing w:after="0"/>
        <w:tabs>
          <w:tab w:leader="none" w:pos="9780" w:val="left"/>
        </w:tabs>
        <w:rPr>
          <w:sz w:val="20"/>
          <w:szCs w:val="20"/>
          <w:color w:val="auto"/>
        </w:rPr>
      </w:pPr>
      <w:r>
        <w:rPr>
          <w:rFonts w:ascii="Arial" w:cs="Arial" w:eastAsia="Arial" w:hAnsi="Arial"/>
          <w:sz w:val="29"/>
          <w:szCs w:val="29"/>
          <w:color w:val="auto"/>
          <w:vertAlign w:val="superscript"/>
        </w:rPr>
        <w:t>70</w:t>
      </w:r>
      <w:r>
        <w:rPr>
          <w:sz w:val="20"/>
          <w:szCs w:val="20"/>
          <w:color w:val="auto"/>
        </w:rPr>
        <w:tab/>
      </w:r>
      <w:r>
        <w:rPr>
          <w:rFonts w:ascii="Arial" w:cs="Arial" w:eastAsia="Arial" w:hAnsi="Arial"/>
          <w:sz w:val="14"/>
          <w:szCs w:val="14"/>
          <w:color w:val="auto"/>
        </w:rPr>
        <w:t>2021 Proxy Statement</w:t>
      </w:r>
    </w:p>
    <w:p>
      <w:pPr>
        <w:sectPr>
          <w:pgSz w:w="11900" w:h="16838" w:orient="portrait"/>
          <w:cols w:equalWidth="0" w:num="1">
            <w:col w:w="11220"/>
          </w:cols>
          <w:pgMar w:left="320" w:top="172" w:right="359" w:bottom="1440" w:gutter="0" w:footer="0" w:header="0"/>
        </w:sectPr>
      </w:pPr>
    </w:p>
    <w:bookmarkStart w:id="74" w:name="page75"/>
    <w:bookmarkEnd w:id="74"/>
    <w:p>
      <w:pPr>
        <w:ind w:left="280"/>
        <w:spacing w:after="0"/>
        <w:rPr>
          <w:sz w:val="20"/>
          <w:szCs w:val="20"/>
          <w:color w:val="auto"/>
        </w:rPr>
      </w:pPr>
      <w:r>
        <w:rPr>
          <w:rFonts w:ascii="Arial" w:cs="Arial" w:eastAsia="Arial" w:hAnsi="Arial"/>
          <w:sz w:val="13"/>
          <w:szCs w:val="13"/>
          <w:b w:val="1"/>
          <w:bCs w:val="1"/>
          <w:color w:val="929292"/>
        </w:rPr>
        <w:t>PROPOSALS OF STOCKHOLDERS FOR FISCAL 2022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7470" cy="596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7470" cy="59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1260"/>
        <w:spacing w:after="0" w:line="241" w:lineRule="auto"/>
        <w:rPr>
          <w:sz w:val="20"/>
          <w:szCs w:val="20"/>
          <w:color w:val="auto"/>
        </w:rPr>
      </w:pPr>
      <w:r>
        <w:rPr>
          <w:rFonts w:ascii="Arial" w:cs="Arial" w:eastAsia="Arial" w:hAnsi="Arial"/>
          <w:sz w:val="54"/>
          <w:szCs w:val="54"/>
          <w:color w:val="auto"/>
        </w:rPr>
        <w:t>Proposals of Stockholders for Fiscal 2022 Annual Meeting</w:t>
      </w:r>
    </w:p>
    <w:p>
      <w:pPr>
        <w:spacing w:after="0" w:line="83" w:lineRule="exact"/>
        <w:rPr>
          <w:sz w:val="20"/>
          <w:szCs w:val="20"/>
          <w:color w:val="auto"/>
        </w:rPr>
      </w:pPr>
    </w:p>
    <w:p>
      <w:pPr>
        <w:jc w:val="both"/>
        <w:ind w:right="140"/>
        <w:spacing w:after="0" w:line="341" w:lineRule="auto"/>
        <w:rPr>
          <w:sz w:val="20"/>
          <w:szCs w:val="20"/>
          <w:color w:val="auto"/>
        </w:rPr>
      </w:pPr>
      <w:r>
        <w:rPr>
          <w:rFonts w:ascii="Arial" w:cs="Arial" w:eastAsia="Arial" w:hAnsi="Arial"/>
          <w:sz w:val="16"/>
          <w:szCs w:val="16"/>
          <w:color w:val="auto"/>
        </w:rPr>
        <w:t>Stockholders who wish to present proposals for inclusion in the proxy materials to be distributed in connection with next year’s annual meeting must submit their proposals so that they are received at Zscaler’s principal executive offices no later than July 27, 2022. Pursuant to the rules promulgated by the SEC, simply submitting a proposal does not guarantee that it will be included.</w:t>
      </w:r>
    </w:p>
    <w:p>
      <w:pPr>
        <w:spacing w:after="0" w:line="147" w:lineRule="exact"/>
        <w:rPr>
          <w:sz w:val="20"/>
          <w:szCs w:val="20"/>
          <w:color w:val="auto"/>
        </w:rPr>
      </w:pPr>
    </w:p>
    <w:p>
      <w:pPr>
        <w:spacing w:after="0" w:line="336" w:lineRule="auto"/>
        <w:rPr>
          <w:sz w:val="20"/>
          <w:szCs w:val="20"/>
          <w:color w:val="auto"/>
        </w:rPr>
      </w:pPr>
      <w:r>
        <w:rPr>
          <w:rFonts w:ascii="Arial" w:cs="Arial" w:eastAsia="Arial" w:hAnsi="Arial"/>
          <w:sz w:val="16"/>
          <w:szCs w:val="16"/>
          <w:color w:val="auto"/>
        </w:rPr>
        <w:t>In order to be properly brought before the fiscal 2022 annual meeting of stockholders, a stockholder’s notice of a matter the stockholder wishes to present, or the person or persons the stockholder wishes to nominate as a director, must be delivered to the Secretary of Zscaler at its principal executive offices not less than 45 nor more than 75 days before the first anniversary of the date on which Zscaler first mailed its proxy materials or a notice of availability of proxy materials (whichever is earlier) for the preceding year’s annual meeting. As a result, any notice given by a stockholder pursuant to these provisions of our bylaws must be received no earlier than September 10, 2022, and no later than October 10, 2022, unless our annual meeting date occurs more than 30 days before or 60 days after January 5, 2023. In that case, we must receive proposals not earlier than the close of business on the 120th day prior to the date of the fiscal 2022 annual meeting and not later than the close of business on the later of the 90th day prior to the date of the annual meeting or the 10th day following the day on which we first make a public announcement of the date of the meeting.</w:t>
      </w:r>
    </w:p>
    <w:p>
      <w:pPr>
        <w:spacing w:after="0" w:line="153" w:lineRule="exact"/>
        <w:rPr>
          <w:sz w:val="20"/>
          <w:szCs w:val="20"/>
          <w:color w:val="auto"/>
        </w:rPr>
      </w:pPr>
    </w:p>
    <w:p>
      <w:pPr>
        <w:ind w:right="240"/>
        <w:spacing w:after="0" w:line="339" w:lineRule="auto"/>
        <w:rPr>
          <w:sz w:val="20"/>
          <w:szCs w:val="20"/>
          <w:color w:val="auto"/>
        </w:rPr>
      </w:pPr>
      <w:r>
        <w:rPr>
          <w:rFonts w:ascii="Arial" w:cs="Arial" w:eastAsia="Arial" w:hAnsi="Arial"/>
          <w:sz w:val="16"/>
          <w:szCs w:val="16"/>
          <w:color w:val="auto"/>
        </w:rPr>
        <w:t>To be in proper form, a stockholder’s notice must include the specified information concerning the proposal or nominee as described in our bylaws. A stockholder who wishes to submit a proposal or nomination is encouraged to seek independent counsel about our bylaws and SEC requirements. Zscaler will not consider any proposal or nomination that is not timely or otherwise does not meet the bylaws and SEC requirements for submitting a proposal or nomination.</w:t>
      </w:r>
    </w:p>
    <w:p>
      <w:pPr>
        <w:spacing w:after="0" w:line="148" w:lineRule="exact"/>
        <w:rPr>
          <w:sz w:val="20"/>
          <w:szCs w:val="20"/>
          <w:color w:val="auto"/>
        </w:rPr>
      </w:pPr>
    </w:p>
    <w:p>
      <w:pPr>
        <w:ind w:right="160"/>
        <w:spacing w:after="0" w:line="341" w:lineRule="auto"/>
        <w:rPr>
          <w:sz w:val="20"/>
          <w:szCs w:val="20"/>
          <w:color w:val="auto"/>
        </w:rPr>
      </w:pPr>
      <w:r>
        <w:rPr>
          <w:rFonts w:ascii="Arial" w:cs="Arial" w:eastAsia="Arial" w:hAnsi="Arial"/>
          <w:sz w:val="16"/>
          <w:szCs w:val="16"/>
          <w:color w:val="auto"/>
        </w:rPr>
        <w:t>Notices of intention to present proposals at the fiscal 2021 annual meeting of stockholders must be addressed to: Secretary, Zscaler, Inc., 120 Holger Way, San Jose, California 95134. We reserve the right to reject, rule out of order, or take other appropriate action with respect to any proposal that does not comply with these and other applicable requirements.</w:t>
      </w:r>
    </w:p>
    <w:p>
      <w:pPr>
        <w:spacing w:after="0" w:line="147" w:lineRule="exact"/>
        <w:rPr>
          <w:sz w:val="20"/>
          <w:szCs w:val="20"/>
          <w:color w:val="auto"/>
        </w:rPr>
      </w:pPr>
    </w:p>
    <w:p>
      <w:pPr>
        <w:ind w:right="160"/>
        <w:spacing w:after="0" w:line="341" w:lineRule="auto"/>
        <w:rPr>
          <w:sz w:val="20"/>
          <w:szCs w:val="20"/>
          <w:color w:val="auto"/>
        </w:rPr>
      </w:pPr>
      <w:r>
        <w:rPr>
          <w:rFonts w:ascii="Arial" w:cs="Arial" w:eastAsia="Arial" w:hAnsi="Arial"/>
          <w:sz w:val="16"/>
          <w:szCs w:val="16"/>
          <w:color w:val="auto"/>
        </w:rPr>
        <w:t>The board of directors does not know of any other matters to be presented at the Annual Meeting. If any additional matters are properly presented at the Annual Meeting, the persons named on the enclosed proxy card will have discretion to vote the shares of common stock they represent in accordance with their own judgment on such matters.</w:t>
      </w:r>
    </w:p>
    <w:p>
      <w:pPr>
        <w:spacing w:after="0" w:line="147" w:lineRule="exact"/>
        <w:rPr>
          <w:sz w:val="20"/>
          <w:szCs w:val="20"/>
          <w:color w:val="auto"/>
        </w:rPr>
      </w:pPr>
    </w:p>
    <w:p>
      <w:pPr>
        <w:ind w:right="20"/>
        <w:spacing w:after="0" w:line="375" w:lineRule="auto"/>
        <w:rPr>
          <w:sz w:val="20"/>
          <w:szCs w:val="20"/>
          <w:color w:val="auto"/>
        </w:rPr>
      </w:pPr>
      <w:r>
        <w:rPr>
          <w:rFonts w:ascii="Arial" w:cs="Arial" w:eastAsia="Arial" w:hAnsi="Arial"/>
          <w:sz w:val="16"/>
          <w:szCs w:val="16"/>
          <w:color w:val="auto"/>
        </w:rPr>
        <w:t>It is important that your shares of common stock be represented at the Annual Meeting, regardless of the number of shares that you hold. You are, therefore, urged to vote by telephone, by using the internet or by mail at your earliest convenience, as instructed on the Notice of Internet Availability of Proxy Materials.</w:t>
      </w:r>
    </w:p>
    <w:p>
      <w:pPr>
        <w:spacing w:after="0" w:line="337" w:lineRule="exact"/>
        <w:rPr>
          <w:sz w:val="20"/>
          <w:szCs w:val="20"/>
          <w:color w:val="auto"/>
        </w:rPr>
      </w:pPr>
    </w:p>
    <w:p>
      <w:pPr>
        <w:spacing w:after="0"/>
        <w:rPr>
          <w:sz w:val="20"/>
          <w:szCs w:val="20"/>
          <w:color w:val="auto"/>
        </w:rPr>
      </w:pPr>
      <w:r>
        <w:rPr>
          <w:rFonts w:ascii="Arial" w:cs="Arial" w:eastAsia="Arial" w:hAnsi="Arial"/>
          <w:sz w:val="16"/>
          <w:szCs w:val="16"/>
          <w:b w:val="1"/>
          <w:bCs w:val="1"/>
          <w:color w:val="2B338D"/>
        </w:rPr>
        <w:t>THE BOARD OF DIRECTORS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San Jose, California</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November 24,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323215</wp:posOffset>
            </wp:positionV>
            <wp:extent cx="342900" cy="21463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342900" cy="21463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5540"/>
        <w:spacing w:after="0"/>
        <w:tabs>
          <w:tab w:leader="none" w:pos="9780" w:val="left"/>
        </w:tabs>
        <w:rPr>
          <w:sz w:val="20"/>
          <w:szCs w:val="20"/>
          <w:color w:val="auto"/>
        </w:rPr>
      </w:pPr>
      <w:r>
        <w:rPr>
          <w:rFonts w:ascii="Arial" w:cs="Arial" w:eastAsia="Arial" w:hAnsi="Arial"/>
          <w:sz w:val="29"/>
          <w:szCs w:val="29"/>
          <w:color w:val="auto"/>
          <w:vertAlign w:val="superscript"/>
        </w:rPr>
        <w:t>71</w:t>
      </w:r>
      <w:r>
        <w:rPr>
          <w:sz w:val="20"/>
          <w:szCs w:val="20"/>
          <w:color w:val="auto"/>
        </w:rPr>
        <w:tab/>
      </w:r>
      <w:r>
        <w:rPr>
          <w:rFonts w:ascii="Arial" w:cs="Arial" w:eastAsia="Arial" w:hAnsi="Arial"/>
          <w:sz w:val="14"/>
          <w:szCs w:val="14"/>
          <w:color w:val="auto"/>
        </w:rPr>
        <w:t>2021 Proxy Statement</w:t>
      </w:r>
    </w:p>
    <w:p>
      <w:pPr>
        <w:sectPr>
          <w:pgSz w:w="11900" w:h="16838" w:orient="portrait"/>
          <w:cols w:equalWidth="0" w:num="1">
            <w:col w:w="11240"/>
          </w:cols>
          <w:pgMar w:left="320" w:top="172" w:right="339" w:bottom="1440" w:gutter="0" w:footer="0" w:header="0"/>
        </w:sectPr>
      </w:pPr>
    </w:p>
    <w:bookmarkStart w:id="75" w:name="page76"/>
    <w:bookmarkEnd w:id="75"/>
    <w:p>
      <w:pPr>
        <w:ind w:left="280"/>
        <w:spacing w:after="0"/>
        <w:rPr>
          <w:sz w:val="20"/>
          <w:szCs w:val="20"/>
          <w:color w:val="auto"/>
        </w:rPr>
      </w:pPr>
      <w:r>
        <w:rPr>
          <w:rFonts w:ascii="Arial" w:cs="Arial" w:eastAsia="Arial" w:hAnsi="Arial"/>
          <w:sz w:val="13"/>
          <w:szCs w:val="13"/>
          <w:b w:val="1"/>
          <w:bCs w:val="1"/>
          <w:color w:val="929292"/>
        </w:rPr>
        <w:t>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7470" cy="596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7470" cy="59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54"/>
          <w:szCs w:val="54"/>
          <w:color w:val="auto"/>
        </w:rPr>
        <w:t>Appendix A</w:t>
      </w:r>
    </w:p>
    <w:p>
      <w:pPr>
        <w:spacing w:after="0" w:line="67" w:lineRule="exact"/>
        <w:rPr>
          <w:sz w:val="20"/>
          <w:szCs w:val="20"/>
          <w:color w:val="auto"/>
        </w:rPr>
      </w:pPr>
    </w:p>
    <w:p>
      <w:pPr>
        <w:spacing w:after="0"/>
        <w:rPr>
          <w:sz w:val="20"/>
          <w:szCs w:val="20"/>
          <w:color w:val="auto"/>
        </w:rPr>
      </w:pPr>
      <w:r>
        <w:rPr>
          <w:rFonts w:ascii="Arial" w:cs="Arial" w:eastAsia="Arial" w:hAnsi="Arial"/>
          <w:sz w:val="22"/>
          <w:szCs w:val="22"/>
          <w:b w:val="1"/>
          <w:bCs w:val="1"/>
          <w:color w:val="009ADA"/>
        </w:rPr>
        <w:t>Calculation of Calculated Billings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6031230</wp:posOffset>
            </wp:positionH>
            <wp:positionV relativeFrom="paragraph">
              <wp:posOffset>134620</wp:posOffset>
            </wp:positionV>
            <wp:extent cx="8255" cy="30861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8255" cy="30861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134620</wp:posOffset>
            </wp:positionV>
            <wp:extent cx="8890" cy="30861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8890" cy="30861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134620</wp:posOffset>
            </wp:positionV>
            <wp:extent cx="8255" cy="30861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8255" cy="308610"/>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134620</wp:posOffset>
            </wp:positionV>
            <wp:extent cx="8255" cy="30861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8255" cy="308610"/>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280" w:type="dxa"/>
            <w:vAlign w:val="bottom"/>
            <w:shd w:val="clear" w:color="auto" w:fill="000000"/>
          </w:tcPr>
          <w:p>
            <w:pPr>
              <w:spacing w:after="0"/>
              <w:rPr>
                <w:sz w:val="17"/>
                <w:szCs w:val="17"/>
                <w:color w:val="auto"/>
              </w:rPr>
            </w:pPr>
          </w:p>
        </w:tc>
        <w:tc>
          <w:tcPr>
            <w:tcW w:w="1600" w:type="dxa"/>
            <w:vAlign w:val="bottom"/>
            <w:shd w:val="clear" w:color="auto" w:fill="2B338D"/>
          </w:tcPr>
          <w:p>
            <w:pPr>
              <w:jc w:val="right"/>
              <w:spacing w:after="0"/>
              <w:rPr>
                <w:sz w:val="20"/>
                <w:szCs w:val="20"/>
                <w:color w:val="auto"/>
              </w:rPr>
            </w:pPr>
            <w:r>
              <w:rPr>
                <w:rFonts w:ascii="Arial" w:cs="Arial" w:eastAsia="Arial" w:hAnsi="Arial"/>
                <w:sz w:val="16"/>
                <w:szCs w:val="16"/>
                <w:b w:val="1"/>
                <w:bCs w:val="1"/>
                <w:color w:val="FFFFFF"/>
              </w:rPr>
              <w:t>Fiscal 2021</w:t>
            </w:r>
          </w:p>
        </w:tc>
        <w:tc>
          <w:tcPr>
            <w:tcW w:w="2160" w:type="dxa"/>
            <w:vAlign w:val="bottom"/>
            <w:shd w:val="clear" w:color="auto" w:fill="2B338D"/>
          </w:tcPr>
          <w:p>
            <w:pPr>
              <w:jc w:val="right"/>
              <w:ind w:right="365"/>
              <w:spacing w:after="0"/>
              <w:rPr>
                <w:sz w:val="20"/>
                <w:szCs w:val="20"/>
                <w:color w:val="auto"/>
              </w:rPr>
            </w:pPr>
            <w:r>
              <w:rPr>
                <w:rFonts w:ascii="Arial" w:cs="Arial" w:eastAsia="Arial" w:hAnsi="Arial"/>
                <w:sz w:val="16"/>
                <w:szCs w:val="16"/>
                <w:b w:val="1"/>
                <w:bCs w:val="1"/>
                <w:color w:val="FFFFFF"/>
              </w:rPr>
              <w:t>Fiscal 2020</w:t>
            </w:r>
          </w:p>
        </w:tc>
        <w:tc>
          <w:tcPr>
            <w:tcW w:w="1740" w:type="dxa"/>
            <w:vAlign w:val="bottom"/>
            <w:shd w:val="clear" w:color="auto" w:fill="2B338D"/>
          </w:tcPr>
          <w:p>
            <w:pPr>
              <w:jc w:val="right"/>
              <w:ind w:right="365"/>
              <w:spacing w:after="0"/>
              <w:rPr>
                <w:sz w:val="20"/>
                <w:szCs w:val="20"/>
                <w:color w:val="auto"/>
              </w:rPr>
            </w:pPr>
            <w:r>
              <w:rPr>
                <w:rFonts w:ascii="Arial" w:cs="Arial" w:eastAsia="Arial" w:hAnsi="Arial"/>
                <w:sz w:val="16"/>
                <w:szCs w:val="16"/>
                <w:b w:val="1"/>
                <w:bCs w:val="1"/>
                <w:color w:val="FFFFFF"/>
              </w:rPr>
              <w:t>Fiscal 2019</w:t>
            </w:r>
          </w:p>
        </w:tc>
        <w:tc>
          <w:tcPr>
            <w:tcW w:w="1460" w:type="dxa"/>
            <w:vAlign w:val="bottom"/>
            <w:shd w:val="clear" w:color="auto" w:fill="2B338D"/>
          </w:tcPr>
          <w:p>
            <w:pPr>
              <w:jc w:val="right"/>
              <w:ind w:right="85"/>
              <w:spacing w:after="0"/>
              <w:rPr>
                <w:sz w:val="20"/>
                <w:szCs w:val="20"/>
                <w:color w:val="auto"/>
              </w:rPr>
            </w:pPr>
            <w:r>
              <w:rPr>
                <w:rFonts w:ascii="Arial" w:cs="Arial" w:eastAsia="Arial" w:hAnsi="Arial"/>
                <w:sz w:val="16"/>
                <w:szCs w:val="16"/>
                <w:b w:val="1"/>
                <w:bCs w:val="1"/>
                <w:color w:val="FFFFFF"/>
              </w:rPr>
              <w:t>Fiscal 2018</w:t>
            </w:r>
          </w:p>
        </w:tc>
      </w:tr>
      <w:tr>
        <w:trPr>
          <w:trHeight w:val="215"/>
        </w:trPr>
        <w:tc>
          <w:tcPr>
            <w:tcW w:w="4280" w:type="dxa"/>
            <w:vAlign w:val="bottom"/>
            <w:shd w:val="clear" w:color="auto" w:fill="000000"/>
          </w:tcPr>
          <w:p>
            <w:pPr>
              <w:ind w:left="100"/>
              <w:spacing w:after="0"/>
              <w:rPr>
                <w:sz w:val="20"/>
                <w:szCs w:val="20"/>
                <w:color w:val="auto"/>
              </w:rPr>
            </w:pPr>
            <w:r>
              <w:rPr>
                <w:rFonts w:ascii="Arial" w:cs="Arial" w:eastAsia="Arial" w:hAnsi="Arial"/>
                <w:sz w:val="16"/>
                <w:szCs w:val="16"/>
                <w:b w:val="1"/>
                <w:bCs w:val="1"/>
                <w:color w:val="FFFFFF"/>
              </w:rPr>
              <w:t>Calculated Billings</w:t>
            </w:r>
          </w:p>
        </w:tc>
        <w:tc>
          <w:tcPr>
            <w:tcW w:w="1600" w:type="dxa"/>
            <w:vAlign w:val="bottom"/>
            <w:shd w:val="clear" w:color="auto" w:fill="2B338D"/>
          </w:tcPr>
          <w:p>
            <w:pPr>
              <w:jc w:val="right"/>
              <w:spacing w:after="0"/>
              <w:rPr>
                <w:sz w:val="20"/>
                <w:szCs w:val="20"/>
                <w:color w:val="auto"/>
              </w:rPr>
            </w:pPr>
            <w:r>
              <w:rPr>
                <w:rFonts w:ascii="Arial" w:cs="Arial" w:eastAsia="Arial" w:hAnsi="Arial"/>
                <w:sz w:val="16"/>
                <w:szCs w:val="16"/>
                <w:b w:val="1"/>
                <w:bCs w:val="1"/>
                <w:color w:val="FFFFFF"/>
              </w:rPr>
              <w:t>($)</w:t>
            </w:r>
          </w:p>
        </w:tc>
        <w:tc>
          <w:tcPr>
            <w:tcW w:w="2160" w:type="dxa"/>
            <w:vAlign w:val="bottom"/>
            <w:shd w:val="clear" w:color="auto" w:fill="2B338D"/>
          </w:tcPr>
          <w:p>
            <w:pPr>
              <w:jc w:val="right"/>
              <w:ind w:right="365"/>
              <w:spacing w:after="0"/>
              <w:rPr>
                <w:sz w:val="20"/>
                <w:szCs w:val="20"/>
                <w:color w:val="auto"/>
              </w:rPr>
            </w:pPr>
            <w:r>
              <w:rPr>
                <w:rFonts w:ascii="Arial" w:cs="Arial" w:eastAsia="Arial" w:hAnsi="Arial"/>
                <w:sz w:val="16"/>
                <w:szCs w:val="16"/>
                <w:b w:val="1"/>
                <w:bCs w:val="1"/>
                <w:color w:val="FFFFFF"/>
              </w:rPr>
              <w:t>($)</w:t>
            </w:r>
          </w:p>
        </w:tc>
        <w:tc>
          <w:tcPr>
            <w:tcW w:w="1740" w:type="dxa"/>
            <w:vAlign w:val="bottom"/>
            <w:shd w:val="clear" w:color="auto" w:fill="2B338D"/>
          </w:tcPr>
          <w:p>
            <w:pPr>
              <w:jc w:val="right"/>
              <w:ind w:right="365"/>
              <w:spacing w:after="0"/>
              <w:rPr>
                <w:sz w:val="20"/>
                <w:szCs w:val="20"/>
                <w:color w:val="auto"/>
              </w:rPr>
            </w:pPr>
            <w:r>
              <w:rPr>
                <w:rFonts w:ascii="Arial" w:cs="Arial" w:eastAsia="Arial" w:hAnsi="Arial"/>
                <w:sz w:val="16"/>
                <w:szCs w:val="16"/>
                <w:b w:val="1"/>
                <w:bCs w:val="1"/>
                <w:color w:val="FFFFFF"/>
              </w:rPr>
              <w:t>($)</w:t>
            </w:r>
          </w:p>
        </w:tc>
        <w:tc>
          <w:tcPr>
            <w:tcW w:w="1460" w:type="dxa"/>
            <w:vAlign w:val="bottom"/>
            <w:shd w:val="clear" w:color="auto" w:fill="2B338D"/>
          </w:tcPr>
          <w:p>
            <w:pPr>
              <w:jc w:val="right"/>
              <w:ind w:right="85"/>
              <w:spacing w:after="0"/>
              <w:rPr>
                <w:sz w:val="20"/>
                <w:szCs w:val="20"/>
                <w:color w:val="auto"/>
              </w:rPr>
            </w:pPr>
            <w:r>
              <w:rPr>
                <w:rFonts w:ascii="Arial" w:cs="Arial" w:eastAsia="Arial" w:hAnsi="Arial"/>
                <w:sz w:val="16"/>
                <w:szCs w:val="16"/>
                <w:b w:val="1"/>
                <w:bCs w:val="1"/>
                <w:color w:val="FFFFFF"/>
              </w:rPr>
              <w:t>($)</w:t>
            </w:r>
          </w:p>
        </w:tc>
      </w:tr>
      <w:tr>
        <w:trPr>
          <w:trHeight w:val="73"/>
        </w:trPr>
        <w:tc>
          <w:tcPr>
            <w:tcW w:w="4280" w:type="dxa"/>
            <w:vAlign w:val="bottom"/>
            <w:shd w:val="clear" w:color="auto" w:fill="000000"/>
          </w:tcPr>
          <w:p>
            <w:pPr>
              <w:spacing w:after="0"/>
              <w:rPr>
                <w:sz w:val="6"/>
                <w:szCs w:val="6"/>
                <w:color w:val="auto"/>
              </w:rPr>
            </w:pPr>
          </w:p>
        </w:tc>
        <w:tc>
          <w:tcPr>
            <w:tcW w:w="1600" w:type="dxa"/>
            <w:vAlign w:val="bottom"/>
            <w:shd w:val="clear" w:color="auto" w:fill="2B338D"/>
          </w:tcPr>
          <w:p>
            <w:pPr>
              <w:spacing w:after="0"/>
              <w:rPr>
                <w:sz w:val="6"/>
                <w:szCs w:val="6"/>
                <w:color w:val="auto"/>
              </w:rPr>
            </w:pPr>
          </w:p>
        </w:tc>
        <w:tc>
          <w:tcPr>
            <w:tcW w:w="2160" w:type="dxa"/>
            <w:vAlign w:val="bottom"/>
            <w:shd w:val="clear" w:color="auto" w:fill="2B338D"/>
          </w:tcPr>
          <w:p>
            <w:pPr>
              <w:spacing w:after="0"/>
              <w:rPr>
                <w:sz w:val="6"/>
                <w:szCs w:val="6"/>
                <w:color w:val="auto"/>
              </w:rPr>
            </w:pPr>
          </w:p>
        </w:tc>
        <w:tc>
          <w:tcPr>
            <w:tcW w:w="1740" w:type="dxa"/>
            <w:vAlign w:val="bottom"/>
            <w:shd w:val="clear" w:color="auto" w:fill="2B338D"/>
          </w:tcPr>
          <w:p>
            <w:pPr>
              <w:spacing w:after="0"/>
              <w:rPr>
                <w:sz w:val="6"/>
                <w:szCs w:val="6"/>
                <w:color w:val="auto"/>
              </w:rPr>
            </w:pPr>
          </w:p>
        </w:tc>
        <w:tc>
          <w:tcPr>
            <w:tcW w:w="1460" w:type="dxa"/>
            <w:vAlign w:val="bottom"/>
            <w:shd w:val="clear" w:color="auto" w:fill="2B338D"/>
          </w:tcPr>
          <w:p>
            <w:pPr>
              <w:spacing w:after="0"/>
              <w:rPr>
                <w:sz w:val="6"/>
                <w:szCs w:val="6"/>
                <w:color w:val="auto"/>
              </w:rPr>
            </w:pPr>
          </w:p>
        </w:tc>
      </w:tr>
      <w:tr>
        <w:trPr>
          <w:trHeight w:val="231"/>
        </w:trPr>
        <w:tc>
          <w:tcPr>
            <w:tcW w:w="4280" w:type="dxa"/>
            <w:vAlign w:val="bottom"/>
          </w:tcPr>
          <w:p>
            <w:pPr>
              <w:ind w:left="100"/>
              <w:spacing w:after="0"/>
              <w:rPr>
                <w:sz w:val="20"/>
                <w:szCs w:val="20"/>
                <w:color w:val="auto"/>
              </w:rPr>
            </w:pPr>
            <w:r>
              <w:rPr>
                <w:rFonts w:ascii="Arial" w:cs="Arial" w:eastAsia="Arial" w:hAnsi="Arial"/>
                <w:sz w:val="14"/>
                <w:szCs w:val="14"/>
                <w:b w:val="1"/>
                <w:bCs w:val="1"/>
                <w:color w:val="auto"/>
              </w:rPr>
              <w:t>Revenue</w:t>
            </w:r>
          </w:p>
        </w:tc>
        <w:tc>
          <w:tcPr>
            <w:tcW w:w="1600" w:type="dxa"/>
            <w:vAlign w:val="bottom"/>
          </w:tcPr>
          <w:p>
            <w:pPr>
              <w:jc w:val="right"/>
              <w:spacing w:after="0"/>
              <w:rPr>
                <w:sz w:val="20"/>
                <w:szCs w:val="20"/>
                <w:color w:val="auto"/>
              </w:rPr>
            </w:pPr>
            <w:r>
              <w:rPr>
                <w:rFonts w:ascii="Arial" w:cs="Arial" w:eastAsia="Arial" w:hAnsi="Arial"/>
                <w:sz w:val="14"/>
                <w:szCs w:val="14"/>
                <w:color w:val="auto"/>
              </w:rPr>
              <w:t>673,100</w:t>
            </w:r>
          </w:p>
        </w:tc>
        <w:tc>
          <w:tcPr>
            <w:tcW w:w="2160" w:type="dxa"/>
            <w:vAlign w:val="bottom"/>
          </w:tcPr>
          <w:p>
            <w:pPr>
              <w:jc w:val="right"/>
              <w:ind w:right="365"/>
              <w:spacing w:after="0"/>
              <w:rPr>
                <w:sz w:val="20"/>
                <w:szCs w:val="20"/>
                <w:color w:val="auto"/>
              </w:rPr>
            </w:pPr>
            <w:r>
              <w:rPr>
                <w:rFonts w:ascii="Arial" w:cs="Arial" w:eastAsia="Arial" w:hAnsi="Arial"/>
                <w:sz w:val="14"/>
                <w:szCs w:val="14"/>
                <w:color w:val="auto"/>
              </w:rPr>
              <w:t>431,269</w:t>
            </w:r>
          </w:p>
        </w:tc>
        <w:tc>
          <w:tcPr>
            <w:tcW w:w="1740" w:type="dxa"/>
            <w:vAlign w:val="bottom"/>
          </w:tcPr>
          <w:p>
            <w:pPr>
              <w:jc w:val="right"/>
              <w:ind w:right="365"/>
              <w:spacing w:after="0"/>
              <w:rPr>
                <w:sz w:val="20"/>
                <w:szCs w:val="20"/>
                <w:color w:val="auto"/>
              </w:rPr>
            </w:pPr>
            <w:r>
              <w:rPr>
                <w:rFonts w:ascii="Arial" w:cs="Arial" w:eastAsia="Arial" w:hAnsi="Arial"/>
                <w:sz w:val="14"/>
                <w:szCs w:val="14"/>
                <w:color w:val="auto"/>
              </w:rPr>
              <w:t>302,836</w:t>
            </w:r>
          </w:p>
        </w:tc>
        <w:tc>
          <w:tcPr>
            <w:tcW w:w="1460" w:type="dxa"/>
            <w:vAlign w:val="bottom"/>
          </w:tcPr>
          <w:p>
            <w:pPr>
              <w:jc w:val="right"/>
              <w:ind w:right="85"/>
              <w:spacing w:after="0"/>
              <w:rPr>
                <w:sz w:val="20"/>
                <w:szCs w:val="20"/>
                <w:color w:val="auto"/>
              </w:rPr>
            </w:pPr>
            <w:r>
              <w:rPr>
                <w:rFonts w:ascii="Arial" w:cs="Arial" w:eastAsia="Arial" w:hAnsi="Arial"/>
                <w:sz w:val="14"/>
                <w:szCs w:val="14"/>
                <w:color w:val="auto"/>
              </w:rPr>
              <w:t>190,174</w:t>
            </w:r>
          </w:p>
        </w:tc>
      </w:tr>
      <w:tr>
        <w:trPr>
          <w:trHeight w:val="53"/>
        </w:trPr>
        <w:tc>
          <w:tcPr>
            <w:tcW w:w="428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2160" w:type="dxa"/>
            <w:vAlign w:val="bottom"/>
            <w:tcBorders>
              <w:bottom w:val="single" w:sz="8" w:color="auto"/>
            </w:tcBorders>
          </w:tcPr>
          <w:p>
            <w:pPr>
              <w:spacing w:after="0"/>
              <w:rPr>
                <w:sz w:val="4"/>
                <w:szCs w:val="4"/>
                <w:color w:val="auto"/>
              </w:rPr>
            </w:pPr>
          </w:p>
        </w:tc>
        <w:tc>
          <w:tcPr>
            <w:tcW w:w="174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r>
      <w:tr>
        <w:trPr>
          <w:trHeight w:val="224"/>
        </w:trPr>
        <w:tc>
          <w:tcPr>
            <w:tcW w:w="4280" w:type="dxa"/>
            <w:vAlign w:val="bottom"/>
          </w:tcPr>
          <w:p>
            <w:pPr>
              <w:ind w:left="100"/>
              <w:spacing w:after="0"/>
              <w:rPr>
                <w:sz w:val="20"/>
                <w:szCs w:val="20"/>
                <w:color w:val="auto"/>
              </w:rPr>
            </w:pPr>
            <w:r>
              <w:rPr>
                <w:rFonts w:ascii="Arial" w:cs="Arial" w:eastAsia="Arial" w:hAnsi="Arial"/>
                <w:sz w:val="14"/>
                <w:szCs w:val="14"/>
                <w:b w:val="1"/>
                <w:bCs w:val="1"/>
                <w:color w:val="auto"/>
              </w:rPr>
              <w:t>Add: Total Deferred Revenue, End of Period</w:t>
            </w:r>
          </w:p>
        </w:tc>
        <w:tc>
          <w:tcPr>
            <w:tcW w:w="1600" w:type="dxa"/>
            <w:vAlign w:val="bottom"/>
          </w:tcPr>
          <w:p>
            <w:pPr>
              <w:jc w:val="right"/>
              <w:spacing w:after="0"/>
              <w:rPr>
                <w:sz w:val="20"/>
                <w:szCs w:val="20"/>
                <w:color w:val="auto"/>
              </w:rPr>
            </w:pPr>
            <w:r>
              <w:rPr>
                <w:rFonts w:ascii="Arial" w:cs="Arial" w:eastAsia="Arial" w:hAnsi="Arial"/>
                <w:sz w:val="14"/>
                <w:szCs w:val="14"/>
                <w:color w:val="auto"/>
              </w:rPr>
              <w:t>630,601</w:t>
            </w:r>
          </w:p>
        </w:tc>
        <w:tc>
          <w:tcPr>
            <w:tcW w:w="2160" w:type="dxa"/>
            <w:vAlign w:val="bottom"/>
          </w:tcPr>
          <w:p>
            <w:pPr>
              <w:jc w:val="right"/>
              <w:ind w:right="365"/>
              <w:spacing w:after="0"/>
              <w:rPr>
                <w:sz w:val="20"/>
                <w:szCs w:val="20"/>
                <w:color w:val="auto"/>
              </w:rPr>
            </w:pPr>
            <w:r>
              <w:rPr>
                <w:rFonts w:ascii="Arial" w:cs="Arial" w:eastAsia="Arial" w:hAnsi="Arial"/>
                <w:sz w:val="14"/>
                <w:szCs w:val="14"/>
                <w:color w:val="auto"/>
              </w:rPr>
              <w:t>369,767</w:t>
            </w:r>
          </w:p>
        </w:tc>
        <w:tc>
          <w:tcPr>
            <w:tcW w:w="1740" w:type="dxa"/>
            <w:vAlign w:val="bottom"/>
          </w:tcPr>
          <w:p>
            <w:pPr>
              <w:jc w:val="right"/>
              <w:ind w:right="365"/>
              <w:spacing w:after="0"/>
              <w:rPr>
                <w:sz w:val="20"/>
                <w:szCs w:val="20"/>
                <w:color w:val="auto"/>
              </w:rPr>
            </w:pPr>
            <w:r>
              <w:rPr>
                <w:rFonts w:ascii="Arial" w:cs="Arial" w:eastAsia="Arial" w:hAnsi="Arial"/>
                <w:sz w:val="14"/>
                <w:szCs w:val="14"/>
                <w:color w:val="auto"/>
              </w:rPr>
              <w:t>251,202</w:t>
            </w:r>
          </w:p>
        </w:tc>
        <w:tc>
          <w:tcPr>
            <w:tcW w:w="1460" w:type="dxa"/>
            <w:vAlign w:val="bottom"/>
          </w:tcPr>
          <w:p>
            <w:pPr>
              <w:jc w:val="right"/>
              <w:ind w:right="85"/>
              <w:spacing w:after="0"/>
              <w:rPr>
                <w:sz w:val="20"/>
                <w:szCs w:val="20"/>
                <w:color w:val="auto"/>
              </w:rPr>
            </w:pPr>
            <w:r>
              <w:rPr>
                <w:rFonts w:ascii="Arial" w:cs="Arial" w:eastAsia="Arial" w:hAnsi="Arial"/>
                <w:sz w:val="14"/>
                <w:szCs w:val="14"/>
                <w:color w:val="auto"/>
              </w:rPr>
              <w:t>164,023</w:t>
            </w:r>
          </w:p>
        </w:tc>
      </w:tr>
      <w:tr>
        <w:trPr>
          <w:trHeight w:val="53"/>
        </w:trPr>
        <w:tc>
          <w:tcPr>
            <w:tcW w:w="428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2160" w:type="dxa"/>
            <w:vAlign w:val="bottom"/>
            <w:tcBorders>
              <w:bottom w:val="single" w:sz="8" w:color="auto"/>
            </w:tcBorders>
          </w:tcPr>
          <w:p>
            <w:pPr>
              <w:spacing w:after="0"/>
              <w:rPr>
                <w:sz w:val="4"/>
                <w:szCs w:val="4"/>
                <w:color w:val="auto"/>
              </w:rPr>
            </w:pPr>
          </w:p>
        </w:tc>
        <w:tc>
          <w:tcPr>
            <w:tcW w:w="174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r>
      <w:tr>
        <w:trPr>
          <w:trHeight w:val="224"/>
        </w:trPr>
        <w:tc>
          <w:tcPr>
            <w:tcW w:w="4280" w:type="dxa"/>
            <w:vAlign w:val="bottom"/>
          </w:tcPr>
          <w:p>
            <w:pPr>
              <w:ind w:left="100"/>
              <w:spacing w:after="0"/>
              <w:rPr>
                <w:sz w:val="20"/>
                <w:szCs w:val="20"/>
                <w:color w:val="auto"/>
              </w:rPr>
            </w:pPr>
            <w:r>
              <w:rPr>
                <w:rFonts w:ascii="Arial" w:cs="Arial" w:eastAsia="Arial" w:hAnsi="Arial"/>
                <w:sz w:val="14"/>
                <w:szCs w:val="14"/>
                <w:b w:val="1"/>
                <w:bCs w:val="1"/>
                <w:color w:val="auto"/>
              </w:rPr>
              <w:t>Less: Total Deferred Revenue, Beginning of Period</w:t>
            </w:r>
          </w:p>
        </w:tc>
        <w:tc>
          <w:tcPr>
            <w:tcW w:w="1600" w:type="dxa"/>
            <w:vAlign w:val="bottom"/>
          </w:tcPr>
          <w:p>
            <w:pPr>
              <w:jc w:val="right"/>
              <w:spacing w:after="0"/>
              <w:rPr>
                <w:sz w:val="20"/>
                <w:szCs w:val="20"/>
                <w:color w:val="auto"/>
              </w:rPr>
            </w:pPr>
            <w:r>
              <w:rPr>
                <w:rFonts w:ascii="Arial" w:cs="Arial" w:eastAsia="Arial" w:hAnsi="Arial"/>
                <w:sz w:val="14"/>
                <w:szCs w:val="14"/>
                <w:color w:val="auto"/>
              </w:rPr>
              <w:t>(369,767)</w:t>
            </w:r>
          </w:p>
        </w:tc>
        <w:tc>
          <w:tcPr>
            <w:tcW w:w="2160" w:type="dxa"/>
            <w:vAlign w:val="bottom"/>
          </w:tcPr>
          <w:p>
            <w:pPr>
              <w:jc w:val="right"/>
              <w:ind w:right="365"/>
              <w:spacing w:after="0"/>
              <w:rPr>
                <w:sz w:val="20"/>
                <w:szCs w:val="20"/>
                <w:color w:val="auto"/>
              </w:rPr>
            </w:pPr>
            <w:r>
              <w:rPr>
                <w:rFonts w:ascii="Arial" w:cs="Arial" w:eastAsia="Arial" w:hAnsi="Arial"/>
                <w:sz w:val="14"/>
                <w:szCs w:val="14"/>
                <w:color w:val="auto"/>
              </w:rPr>
              <w:t>(251,202)</w:t>
            </w:r>
          </w:p>
        </w:tc>
        <w:tc>
          <w:tcPr>
            <w:tcW w:w="1740" w:type="dxa"/>
            <w:vAlign w:val="bottom"/>
          </w:tcPr>
          <w:p>
            <w:pPr>
              <w:jc w:val="right"/>
              <w:ind w:right="365"/>
              <w:spacing w:after="0"/>
              <w:rPr>
                <w:sz w:val="20"/>
                <w:szCs w:val="20"/>
                <w:color w:val="auto"/>
              </w:rPr>
            </w:pPr>
            <w:r>
              <w:rPr>
                <w:rFonts w:ascii="Arial" w:cs="Arial" w:eastAsia="Arial" w:hAnsi="Arial"/>
                <w:sz w:val="14"/>
                <w:szCs w:val="14"/>
                <w:color w:val="auto"/>
              </w:rPr>
              <w:t>(164,023)</w:t>
            </w:r>
          </w:p>
        </w:tc>
        <w:tc>
          <w:tcPr>
            <w:tcW w:w="1460" w:type="dxa"/>
            <w:vAlign w:val="bottom"/>
          </w:tcPr>
          <w:p>
            <w:pPr>
              <w:jc w:val="right"/>
              <w:ind w:right="85"/>
              <w:spacing w:after="0"/>
              <w:rPr>
                <w:sz w:val="20"/>
                <w:szCs w:val="20"/>
                <w:color w:val="auto"/>
              </w:rPr>
            </w:pPr>
            <w:r>
              <w:rPr>
                <w:rFonts w:ascii="Arial" w:cs="Arial" w:eastAsia="Arial" w:hAnsi="Arial"/>
                <w:sz w:val="14"/>
                <w:szCs w:val="14"/>
                <w:color w:val="auto"/>
              </w:rPr>
              <w:t>(96,619)</w:t>
            </w:r>
          </w:p>
        </w:tc>
      </w:tr>
      <w:tr>
        <w:trPr>
          <w:trHeight w:val="53"/>
        </w:trPr>
        <w:tc>
          <w:tcPr>
            <w:tcW w:w="428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2160" w:type="dxa"/>
            <w:vAlign w:val="bottom"/>
            <w:tcBorders>
              <w:bottom w:val="single" w:sz="8" w:color="auto"/>
            </w:tcBorders>
          </w:tcPr>
          <w:p>
            <w:pPr>
              <w:spacing w:after="0"/>
              <w:rPr>
                <w:sz w:val="4"/>
                <w:szCs w:val="4"/>
                <w:color w:val="auto"/>
              </w:rPr>
            </w:pPr>
          </w:p>
        </w:tc>
        <w:tc>
          <w:tcPr>
            <w:tcW w:w="174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r>
      <w:tr>
        <w:trPr>
          <w:trHeight w:val="224"/>
        </w:trPr>
        <w:tc>
          <w:tcPr>
            <w:tcW w:w="4280" w:type="dxa"/>
            <w:vAlign w:val="bottom"/>
          </w:tcPr>
          <w:p>
            <w:pPr>
              <w:ind w:left="100"/>
              <w:spacing w:after="0"/>
              <w:rPr>
                <w:sz w:val="20"/>
                <w:szCs w:val="20"/>
                <w:color w:val="auto"/>
              </w:rPr>
            </w:pPr>
            <w:r>
              <w:rPr>
                <w:rFonts w:ascii="Arial" w:cs="Arial" w:eastAsia="Arial" w:hAnsi="Arial"/>
                <w:sz w:val="14"/>
                <w:szCs w:val="14"/>
                <w:b w:val="1"/>
                <w:bCs w:val="1"/>
                <w:color w:val="auto"/>
              </w:rPr>
              <w:t>Calculated Billings</w:t>
            </w:r>
          </w:p>
        </w:tc>
        <w:tc>
          <w:tcPr>
            <w:tcW w:w="1600" w:type="dxa"/>
            <w:vAlign w:val="bottom"/>
          </w:tcPr>
          <w:p>
            <w:pPr>
              <w:jc w:val="right"/>
              <w:spacing w:after="0"/>
              <w:rPr>
                <w:sz w:val="20"/>
                <w:szCs w:val="20"/>
                <w:color w:val="auto"/>
              </w:rPr>
            </w:pPr>
            <w:r>
              <w:rPr>
                <w:rFonts w:ascii="Arial" w:cs="Arial" w:eastAsia="Arial" w:hAnsi="Arial"/>
                <w:sz w:val="14"/>
                <w:szCs w:val="14"/>
                <w:color w:val="auto"/>
              </w:rPr>
              <w:t>933,934</w:t>
            </w:r>
          </w:p>
        </w:tc>
        <w:tc>
          <w:tcPr>
            <w:tcW w:w="2160" w:type="dxa"/>
            <w:vAlign w:val="bottom"/>
          </w:tcPr>
          <w:p>
            <w:pPr>
              <w:jc w:val="right"/>
              <w:ind w:right="365"/>
              <w:spacing w:after="0"/>
              <w:rPr>
                <w:sz w:val="20"/>
                <w:szCs w:val="20"/>
                <w:color w:val="auto"/>
              </w:rPr>
            </w:pPr>
            <w:r>
              <w:rPr>
                <w:rFonts w:ascii="Arial" w:cs="Arial" w:eastAsia="Arial" w:hAnsi="Arial"/>
                <w:sz w:val="14"/>
                <w:szCs w:val="14"/>
                <w:color w:val="auto"/>
              </w:rPr>
              <w:t>549,834</w:t>
            </w:r>
          </w:p>
        </w:tc>
        <w:tc>
          <w:tcPr>
            <w:tcW w:w="1740" w:type="dxa"/>
            <w:vAlign w:val="bottom"/>
          </w:tcPr>
          <w:p>
            <w:pPr>
              <w:jc w:val="right"/>
              <w:ind w:right="365"/>
              <w:spacing w:after="0"/>
              <w:rPr>
                <w:sz w:val="20"/>
                <w:szCs w:val="20"/>
                <w:color w:val="auto"/>
              </w:rPr>
            </w:pPr>
            <w:r>
              <w:rPr>
                <w:rFonts w:ascii="Arial" w:cs="Arial" w:eastAsia="Arial" w:hAnsi="Arial"/>
                <w:sz w:val="14"/>
                <w:szCs w:val="14"/>
                <w:color w:val="auto"/>
              </w:rPr>
              <w:t>390,015</w:t>
            </w:r>
          </w:p>
        </w:tc>
        <w:tc>
          <w:tcPr>
            <w:tcW w:w="1460" w:type="dxa"/>
            <w:vAlign w:val="bottom"/>
          </w:tcPr>
          <w:p>
            <w:pPr>
              <w:jc w:val="right"/>
              <w:ind w:right="85"/>
              <w:spacing w:after="0"/>
              <w:rPr>
                <w:sz w:val="20"/>
                <w:szCs w:val="20"/>
                <w:color w:val="auto"/>
              </w:rPr>
            </w:pPr>
            <w:r>
              <w:rPr>
                <w:rFonts w:ascii="Arial" w:cs="Arial" w:eastAsia="Arial" w:hAnsi="Arial"/>
                <w:sz w:val="14"/>
                <w:szCs w:val="14"/>
                <w:color w:val="auto"/>
              </w:rPr>
              <w:t>257,578</w:t>
            </w:r>
          </w:p>
        </w:tc>
      </w:tr>
      <w:tr>
        <w:trPr>
          <w:trHeight w:val="53"/>
        </w:trPr>
        <w:tc>
          <w:tcPr>
            <w:tcW w:w="428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2160" w:type="dxa"/>
            <w:vAlign w:val="bottom"/>
            <w:tcBorders>
              <w:bottom w:val="single" w:sz="8" w:color="auto"/>
            </w:tcBorders>
          </w:tcPr>
          <w:p>
            <w:pPr>
              <w:spacing w:after="0"/>
              <w:rPr>
                <w:sz w:val="4"/>
                <w:szCs w:val="4"/>
                <w:color w:val="auto"/>
              </w:rPr>
            </w:pPr>
          </w:p>
        </w:tc>
        <w:tc>
          <w:tcPr>
            <w:tcW w:w="174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22"/>
          <w:szCs w:val="22"/>
          <w:b w:val="1"/>
          <w:bCs w:val="1"/>
          <w:color w:val="009ADA"/>
        </w:rPr>
        <w:t>Non-GAAP Financial Measures and Other Key Metrics</w:t>
      </w:r>
    </w:p>
    <w:p>
      <w:pPr>
        <w:spacing w:after="0" w:line="213" w:lineRule="exact"/>
        <w:rPr>
          <w:sz w:val="20"/>
          <w:szCs w:val="20"/>
          <w:color w:val="auto"/>
        </w:rPr>
      </w:pPr>
    </w:p>
    <w:p>
      <w:pPr>
        <w:ind w:right="140"/>
        <w:spacing w:after="0" w:line="337" w:lineRule="auto"/>
        <w:rPr>
          <w:sz w:val="20"/>
          <w:szCs w:val="20"/>
          <w:color w:val="auto"/>
        </w:rPr>
      </w:pPr>
      <w:r>
        <w:rPr>
          <w:rFonts w:ascii="Arial" w:cs="Arial" w:eastAsia="Arial" w:hAnsi="Arial"/>
          <w:sz w:val="16"/>
          <w:szCs w:val="16"/>
          <w:color w:val="auto"/>
        </w:rPr>
        <w:t>We have provided in this Proxy Statement financial information that has not been prepared in accordance with generally accepted accounting principles in the United States (GAAP). We use non-GAAP financial information to evaluate the performance of our ongoing operations, including to set targets for our employee compensation programs, and for internal planning and forecasting purposes. We believe that non-GAAP financial information, when taken collectively, may be helpful to investors because it provides consistency and comparability with past financial performance. However, non-GAAP financial information is presented for supplemental informational purposes only, has limitations as an analytical tool and should not be considered in isolation or as a substitute for financial information presented in accordance with GAAP.</w:t>
      </w:r>
    </w:p>
    <w:p>
      <w:pPr>
        <w:spacing w:after="0" w:line="151" w:lineRule="exact"/>
        <w:rPr>
          <w:sz w:val="20"/>
          <w:szCs w:val="20"/>
          <w:color w:val="auto"/>
        </w:rPr>
      </w:pPr>
    </w:p>
    <w:p>
      <w:pPr>
        <w:spacing w:after="0" w:line="336" w:lineRule="auto"/>
        <w:rPr>
          <w:sz w:val="20"/>
          <w:szCs w:val="20"/>
          <w:color w:val="auto"/>
        </w:rPr>
      </w:pPr>
      <w:r>
        <w:rPr>
          <w:rFonts w:ascii="Arial" w:cs="Arial" w:eastAsia="Arial" w:hAnsi="Arial"/>
          <w:sz w:val="16"/>
          <w:szCs w:val="16"/>
          <w:color w:val="auto"/>
        </w:rPr>
        <w:t>Calculated billings is a non-GAAP financial measure that we believe is a key metric to measure our periodic performance. Calculated billings represents our total revenue plus the change in deferred revenue in a period. Calculated billings in any particular period aims to reflect amounts invoiced for subscriptions to access our cloud platform, together with related support services for our new and existing customers. We typically invoice our customers annually in advance, and to a lesser extent quarterly in advance, monthly in advance or multi-year in advance. As calculated billings continues to grow in absolute terms, we expect our calculated billings growth rate to trend down over time. We also expect that calculated billings will be affected by seasonality in terms of when we enter into agreements with customers; and the mix of billings in each reporting period as we typically invoice customers annually in advance, and to a lesser extent quarterly in advance, monthly in advance or multi-year in advance. Investors are encouraged to review the related GAAP financial measures and the reconciliation of these non-GAAP financial measures to their most directly comparable GAAP financial measures, and not to rely on any single financial measure to evaluate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258445</wp:posOffset>
            </wp:positionV>
            <wp:extent cx="342900" cy="21463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342900" cy="214630"/>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ind w:left="5500"/>
        <w:spacing w:after="0"/>
        <w:tabs>
          <w:tab w:leader="none" w:pos="9780" w:val="left"/>
        </w:tabs>
        <w:rPr>
          <w:sz w:val="20"/>
          <w:szCs w:val="20"/>
          <w:color w:val="auto"/>
        </w:rPr>
      </w:pPr>
      <w:r>
        <w:rPr>
          <w:rFonts w:ascii="Arial" w:cs="Arial" w:eastAsia="Arial" w:hAnsi="Arial"/>
          <w:sz w:val="28"/>
          <w:szCs w:val="28"/>
          <w:color w:val="auto"/>
          <w:vertAlign w:val="superscript"/>
        </w:rPr>
        <w:t>A-1</w:t>
      </w:r>
      <w:r>
        <w:rPr>
          <w:sz w:val="20"/>
          <w:szCs w:val="20"/>
          <w:color w:val="auto"/>
        </w:rPr>
        <w:tab/>
      </w:r>
      <w:r>
        <w:rPr>
          <w:rFonts w:ascii="Arial" w:cs="Arial" w:eastAsia="Arial" w:hAnsi="Arial"/>
          <w:sz w:val="14"/>
          <w:szCs w:val="14"/>
          <w:color w:val="auto"/>
        </w:rPr>
        <w:t>2021 Proxy Statement</w:t>
      </w:r>
    </w:p>
    <w:p>
      <w:pPr>
        <w:sectPr>
          <w:pgSz w:w="11900" w:h="16838" w:orient="portrait"/>
          <w:cols w:equalWidth="0" w:num="1">
            <w:col w:w="11240"/>
          </w:cols>
          <w:pgMar w:left="320" w:top="172" w:right="339" w:bottom="1440" w:gutter="0" w:footer="0" w:header="0"/>
        </w:sectPr>
      </w:pPr>
    </w:p>
    <w:bookmarkStart w:id="76" w:name="page77"/>
    <w:bookmarkEnd w:id="76"/>
    <w:p>
      <w:pPr>
        <w:spacing w:after="0"/>
        <w:tabs>
          <w:tab w:leader="none" w:pos="97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6789420" cy="877824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clrChange>
                        <a:clrFrom>
                          <a:srgbClr val="FFFFFF"/>
                        </a:clrFrom>
                        <a:clrTo>
                          <a:srgbClr val="FFFFFF">
                            <a:alpha val="0"/>
                          </a:srgbClr>
                        </a:clrTo>
                      </a:clrChange>
                      <a:extLst>
                        <a:ext uri="{28A0092B-C50C-407E-A947-70E740481C1C}"/>
                      </a:extLst>
                    </a:blip>
                    <a:srcRect/>
                    <a:stretch>
                      <a:fillRect/>
                    </a:stretch>
                  </pic:blipFill>
                  <pic:spPr bwMode="auto">
                    <a:xfrm>
                      <a:off x="0" y="0"/>
                      <a:ext cx="6789420" cy="8778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tabs>
          <w:tab w:leader="none" w:pos="97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6789420" cy="877824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clrChange>
                        <a:clrFrom>
                          <a:srgbClr val="FFFFFF"/>
                        </a:clrFrom>
                        <a:clrTo>
                          <a:srgbClr val="FFFFFF">
                            <a:alpha val="0"/>
                          </a:srgbClr>
                        </a:clrTo>
                      </a:clrChange>
                      <a:extLst>
                        <a:ext uri="{28A0092B-C50C-407E-A947-70E740481C1C}"/>
                      </a:extLst>
                    </a:blip>
                    <a:srcRect/>
                    <a:stretch>
                      <a:fillRect/>
                    </a:stretch>
                  </pic:blipFill>
                  <pic:spPr bwMode="auto">
                    <a:xfrm>
                      <a:off x="0" y="0"/>
                      <a:ext cx="6789420" cy="877824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abstractNum>
  <w:abstractNum w:abstractNumId="1">
    <w:nsid w:val="8138641"/>
    <w:multiLevelType w:val="hybridMultilevel"/>
    <w:lvl w:ilvl="0">
      <w:lvlJc w:val="left"/>
      <w:lvlText w:val="☒"/>
      <w:numFmt w:val="bullet"/>
      <w:start w:val="1"/>
    </w:lvl>
  </w:abstractNum>
  <w:abstractNum w:abstractNumId="2">
    <w:nsid w:val="1E7FF521"/>
    <w:multiLevelType w:val="hybridMultilevel"/>
    <w:lvl w:ilvl="0">
      <w:lvlJc w:val="left"/>
      <w:lvlText w:val="☐"/>
      <w:numFmt w:val="bullet"/>
      <w:start w:val="1"/>
    </w:lvl>
    <w:lvl w:ilvl="1">
      <w:lvlJc w:val="left"/>
      <w:lvlText w:val="(%2)"/>
      <w:numFmt w:val="decimal"/>
      <w:start w:val="1"/>
    </w:lvl>
  </w:abstractNum>
  <w:abstractNum w:abstractNumId="3">
    <w:nsid w:val="7C3DBD3D"/>
    <w:multiLevelType w:val="hybridMultilevel"/>
    <w:lvl w:ilvl="0">
      <w:lvlJc w:val="left"/>
      <w:lvlText w:val="1"/>
      <w:numFmt w:val="bullet"/>
      <w:start w:val="1"/>
    </w:lvl>
  </w:abstractNum>
  <w:abstractNum w:abstractNumId="4">
    <w:nsid w:val="737B8DDC"/>
    <w:multiLevelType w:val="hybridMultilevel"/>
    <w:lvl w:ilvl="0">
      <w:lvlJc w:val="left"/>
      <w:lvlText w:val="3"/>
      <w:numFmt w:val="bullet"/>
      <w:start w:val="1"/>
    </w:lvl>
  </w:abstractNum>
  <w:abstractNum w:abstractNumId="5">
    <w:nsid w:val="6CEAF087"/>
    <w:multiLevelType w:val="hybridMultilevel"/>
    <w:lvl w:ilvl="0">
      <w:lvlJc w:val="left"/>
      <w:lvlText w:val="4"/>
      <w:numFmt w:val="bullet"/>
      <w:start w:val="1"/>
    </w:lvl>
  </w:abstractNum>
  <w:abstractNum w:abstractNumId="6">
    <w:nsid w:val="22221A70"/>
    <w:multiLevelType w:val="hybridMultilevel"/>
    <w:lvl w:ilvl="0">
      <w:lvlJc w:val="left"/>
      <w:lvlText w:val="1"/>
      <w:numFmt w:val="bullet"/>
      <w:start w:val="1"/>
    </w:lvl>
  </w:abstractNum>
  <w:abstractNum w:abstractNumId="7">
    <w:nsid w:val="4516DDE9"/>
    <w:multiLevelType w:val="hybridMultilevel"/>
    <w:lvl w:ilvl="0">
      <w:lvlJc w:val="left"/>
      <w:lvlText w:val="2"/>
      <w:numFmt w:val="bullet"/>
      <w:start w:val="1"/>
    </w:lvl>
  </w:abstractNum>
  <w:abstractNum w:abstractNumId="8">
    <w:nsid w:val="3006C83E"/>
    <w:multiLevelType w:val="hybridMultilevel"/>
    <w:lvl w:ilvl="0">
      <w:lvlJc w:val="left"/>
      <w:lvlText w:val="3"/>
      <w:numFmt w:val="bullet"/>
      <w:start w:val="1"/>
    </w:lvl>
  </w:abstractNum>
  <w:abstractNum w:abstractNumId="9">
    <w:nsid w:val="614FD4A1"/>
    <w:multiLevelType w:val="hybridMultilevel"/>
    <w:lvl w:ilvl="0">
      <w:lvlJc w:val="left"/>
      <w:lvlText w:val="4"/>
      <w:numFmt w:val="bullet"/>
      <w:start w:val="1"/>
    </w:lvl>
  </w:abstractNum>
  <w:abstractNum w:abstractNumId="10">
    <w:nsid w:val="419AC241"/>
    <w:multiLevelType w:val="hybridMultilevel"/>
    <w:lvl w:ilvl="0">
      <w:lvlJc w:val="left"/>
      <w:lvlText w:val="*"/>
      <w:numFmt w:val="bullet"/>
      <w:start w:val="1"/>
    </w:lvl>
  </w:abstractNum>
  <w:abstractNum w:abstractNumId="11">
    <w:nsid w:val="5577F8E1"/>
    <w:multiLevelType w:val="hybridMultilevel"/>
    <w:lvl w:ilvl="0">
      <w:lvlJc w:val="left"/>
      <w:lvlText w:val="▪"/>
      <w:numFmt w:val="bullet"/>
      <w:start w:val="1"/>
    </w:lvl>
  </w:abstractNum>
  <w:abstractNum w:abstractNumId="12">
    <w:nsid w:val="440BADFC"/>
    <w:multiLevelType w:val="hybridMultilevel"/>
    <w:lvl w:ilvl="0">
      <w:lvlJc w:val="left"/>
      <w:lvlText w:val="•"/>
      <w:numFmt w:val="bullet"/>
      <w:start w:val="1"/>
    </w:lvl>
  </w:abstractNum>
  <w:abstractNum w:abstractNumId="13">
    <w:nsid w:val="5072367"/>
    <w:multiLevelType w:val="hybridMultilevel"/>
    <w:lvl w:ilvl="0">
      <w:lvlJc w:val="left"/>
      <w:lvlText w:val="•"/>
      <w:numFmt w:val="bullet"/>
      <w:start w:val="1"/>
    </w:lvl>
  </w:abstractNum>
  <w:abstractNum w:abstractNumId="14">
    <w:nsid w:val="3804823E"/>
    <w:multiLevelType w:val="hybridMultilevel"/>
    <w:lvl w:ilvl="0">
      <w:lvlJc w:val="left"/>
      <w:lvlText w:val="•"/>
      <w:numFmt w:val="bullet"/>
      <w:start w:val="1"/>
    </w:lvl>
  </w:abstractNum>
  <w:abstractNum w:abstractNumId="15">
    <w:nsid w:val="77465F01"/>
    <w:multiLevelType w:val="hybridMultilevel"/>
    <w:lvl w:ilvl="0">
      <w:lvlJc w:val="left"/>
      <w:lvlText w:val="•"/>
      <w:numFmt w:val="bullet"/>
      <w:start w:val="1"/>
    </w:lvl>
  </w:abstractNum>
  <w:abstractNum w:abstractNumId="16">
    <w:nsid w:val="7724C67E"/>
    <w:multiLevelType w:val="hybridMultilevel"/>
    <w:lvl w:ilvl="0">
      <w:lvlJc w:val="left"/>
      <w:lvlText w:val="•"/>
      <w:numFmt w:val="bullet"/>
      <w:start w:val="1"/>
    </w:lvl>
  </w:abstractNum>
  <w:abstractNum w:abstractNumId="17">
    <w:nsid w:val="5C482A97"/>
    <w:multiLevelType w:val="hybridMultilevel"/>
    <w:lvl w:ilvl="0">
      <w:lvlJc w:val="left"/>
      <w:lvlText w:val="•"/>
      <w:numFmt w:val="bullet"/>
      <w:start w:val="1"/>
    </w:lvl>
  </w:abstractNum>
  <w:abstractNum w:abstractNumId="18">
    <w:nsid w:val="2463B9EA"/>
    <w:multiLevelType w:val="hybridMultilevel"/>
    <w:lvl w:ilvl="0">
      <w:lvlJc w:val="left"/>
      <w:lvlText w:val="•"/>
      <w:numFmt w:val="bullet"/>
      <w:start w:val="1"/>
    </w:lvl>
  </w:abstractNum>
  <w:abstractNum w:abstractNumId="19">
    <w:nsid w:val="5E884ADC"/>
    <w:multiLevelType w:val="hybridMultilevel"/>
    <w:lvl w:ilvl="0">
      <w:lvlJc w:val="left"/>
      <w:lvlText w:val="•"/>
      <w:numFmt w:val="bullet"/>
      <w:start w:val="1"/>
    </w:lvl>
  </w:abstractNum>
  <w:abstractNum w:abstractNumId="20">
    <w:nsid w:val="51EAD36B"/>
    <w:multiLevelType w:val="hybridMultilevel"/>
    <w:lvl w:ilvl="0">
      <w:lvlJc w:val="left"/>
      <w:lvlText w:val="•"/>
      <w:numFmt w:val="bullet"/>
      <w:start w:val="1"/>
    </w:lvl>
  </w:abstractNum>
  <w:abstractNum w:abstractNumId="21">
    <w:nsid w:val="2D517796"/>
    <w:multiLevelType w:val="hybridMultilevel"/>
    <w:lvl w:ilvl="0">
      <w:lvlJc w:val="left"/>
      <w:lvlText w:val="•"/>
      <w:numFmt w:val="bullet"/>
      <w:start w:val="1"/>
    </w:lvl>
  </w:abstractNum>
  <w:abstractNum w:abstractNumId="22">
    <w:nsid w:val="580BD78F"/>
    <w:multiLevelType w:val="hybridMultilevel"/>
    <w:lvl w:ilvl="0">
      <w:lvlJc w:val="left"/>
      <w:lvlText w:val="•"/>
      <w:numFmt w:val="bullet"/>
      <w:start w:val="1"/>
    </w:lvl>
  </w:abstractNum>
  <w:abstractNum w:abstractNumId="23">
    <w:nsid w:val="153EA438"/>
    <w:multiLevelType w:val="hybridMultilevel"/>
    <w:lvl w:ilvl="0">
      <w:lvlJc w:val="left"/>
      <w:lvlText w:val="•"/>
      <w:numFmt w:val="bullet"/>
      <w:start w:val="1"/>
    </w:lvl>
  </w:abstractNum>
  <w:abstractNum w:abstractNumId="24">
    <w:nsid w:val="3855585C"/>
    <w:multiLevelType w:val="hybridMultilevel"/>
    <w:lvl w:ilvl="0">
      <w:lvlJc w:val="left"/>
      <w:lvlText w:val="(%1)"/>
      <w:numFmt w:val="decimal"/>
      <w:start w:val="1"/>
    </w:lvl>
  </w:abstractNum>
  <w:abstractNum w:abstractNumId="25">
    <w:nsid w:val="70A64E2A"/>
    <w:multiLevelType w:val="hybridMultilevel"/>
    <w:lvl w:ilvl="0">
      <w:lvlJc w:val="left"/>
      <w:lvlText w:val="•"/>
      <w:numFmt w:val="bullet"/>
      <w:start w:val="1"/>
    </w:lvl>
  </w:abstractNum>
  <w:abstractNum w:abstractNumId="26">
    <w:nsid w:val="6A2342EC"/>
    <w:multiLevelType w:val="hybridMultilevel"/>
    <w:lvl w:ilvl="0">
      <w:lvlJc w:val="left"/>
      <w:lvlText w:val="•"/>
      <w:numFmt w:val="bullet"/>
      <w:start w:val="1"/>
    </w:lvl>
  </w:abstractNum>
  <w:abstractNum w:abstractNumId="27">
    <w:nsid w:val="2A487CB0"/>
    <w:multiLevelType w:val="hybridMultilevel"/>
    <w:lvl w:ilvl="0">
      <w:lvlJc w:val="left"/>
      <w:lvlText w:val="•"/>
      <w:numFmt w:val="bullet"/>
      <w:start w:val="1"/>
    </w:lvl>
  </w:abstractNum>
  <w:abstractNum w:abstractNumId="28">
    <w:nsid w:val="1D4ED43B"/>
    <w:multiLevelType w:val="hybridMultilevel"/>
    <w:lvl w:ilvl="0">
      <w:lvlJc w:val="left"/>
      <w:lvlText w:val="•"/>
      <w:numFmt w:val="bullet"/>
      <w:start w:val="1"/>
    </w:lvl>
    <w:lvl w:ilvl="1">
      <w:lvlJc w:val="left"/>
      <w:lvlText w:val="◦"/>
      <w:numFmt w:val="bullet"/>
      <w:start w:val="1"/>
    </w:lvl>
  </w:abstractNum>
  <w:abstractNum w:abstractNumId="29">
    <w:nsid w:val="725A06FB"/>
    <w:multiLevelType w:val="hybridMultilevel"/>
    <w:lvl w:ilvl="0">
      <w:lvlJc w:val="left"/>
      <w:lvlText w:val="(%1)"/>
      <w:numFmt w:val="decimal"/>
      <w:start w:val="1"/>
    </w:lvl>
  </w:abstractNum>
  <w:abstractNum w:abstractNumId="30">
    <w:nsid w:val="2CD89A32"/>
    <w:multiLevelType w:val="hybridMultilevel"/>
    <w:lvl w:ilvl="0">
      <w:lvlJc w:val="left"/>
      <w:lvlText w:val="(%1)"/>
      <w:numFmt w:val="decimal"/>
      <w:start w:val="1"/>
    </w:lvl>
  </w:abstractNum>
  <w:abstractNum w:abstractNumId="31">
    <w:nsid w:val="57E4CCAF"/>
    <w:multiLevelType w:val="hybridMultilevel"/>
    <w:lvl w:ilvl="0">
      <w:lvlJc w:val="left"/>
      <w:lvlText w:val="(%1)"/>
      <w:numFmt w:val="decimal"/>
      <w:start w:val="1"/>
    </w:lvl>
  </w:abstractNum>
  <w:abstractNum w:abstractNumId="32">
    <w:nsid w:val="7A6D8D3C"/>
    <w:multiLevelType w:val="hybridMultilevel"/>
    <w:lvl w:ilvl="0">
      <w:lvlJc w:val="left"/>
      <w:lvlText w:val="•"/>
      <w:numFmt w:val="bullet"/>
      <w:start w:val="1"/>
    </w:lvl>
  </w:abstractNum>
  <w:abstractNum w:abstractNumId="33">
    <w:nsid w:val="4B588F54"/>
    <w:multiLevelType w:val="hybridMultilevel"/>
    <w:lvl w:ilvl="0">
      <w:lvlJc w:val="left"/>
      <w:lvlText w:val="•"/>
      <w:numFmt w:val="bullet"/>
      <w:start w:val="1"/>
    </w:lvl>
  </w:abstractNum>
  <w:abstractNum w:abstractNumId="34">
    <w:nsid w:val="542289EC"/>
    <w:multiLevelType w:val="hybridMultilevel"/>
    <w:lvl w:ilvl="0">
      <w:lvlJc w:val="left"/>
      <w:lvlText w:val="*"/>
      <w:numFmt w:val="bullet"/>
      <w:start w:val="1"/>
    </w:lvl>
  </w:abstractNum>
  <w:abstractNum w:abstractNumId="35">
    <w:nsid w:val="6DE91B18"/>
    <w:multiLevelType w:val="hybridMultilevel"/>
    <w:lvl w:ilvl="0">
      <w:lvlJc w:val="left"/>
      <w:lvlText w:val="*"/>
      <w:numFmt w:val="bullet"/>
      <w:start w:val="1"/>
    </w:lvl>
  </w:abstractNum>
  <w:abstractNum w:abstractNumId="36">
    <w:nsid w:val="38437FDB"/>
    <w:multiLevelType w:val="hybridMultilevel"/>
    <w:lvl w:ilvl="0">
      <w:lvlJc w:val="left"/>
      <w:lvlText w:val="•"/>
      <w:numFmt w:val="bullet"/>
      <w:start w:val="1"/>
    </w:lvl>
  </w:abstractNum>
  <w:abstractNum w:abstractNumId="37">
    <w:nsid w:val="7644A45C"/>
    <w:multiLevelType w:val="hybridMultilevel"/>
    <w:lvl w:ilvl="0">
      <w:lvlJc w:val="left"/>
      <w:lvlText w:val="•"/>
      <w:numFmt w:val="bullet"/>
      <w:start w:val="1"/>
    </w:lvl>
  </w:abstractNum>
  <w:abstractNum w:abstractNumId="38">
    <w:nsid w:val="32FFF902"/>
    <w:multiLevelType w:val="hybridMultilevel"/>
    <w:lvl w:ilvl="0">
      <w:lvlJc w:val="left"/>
      <w:lvlText w:val="•"/>
      <w:numFmt w:val="bullet"/>
      <w:start w:val="1"/>
    </w:lvl>
  </w:abstractNum>
  <w:abstractNum w:abstractNumId="39">
    <w:nsid w:val="684A481A"/>
    <w:multiLevelType w:val="hybridMultilevel"/>
    <w:lvl w:ilvl="0">
      <w:lvlJc w:val="left"/>
      <w:lvlText w:val="•"/>
      <w:numFmt w:val="bullet"/>
      <w:start w:val="1"/>
    </w:lvl>
  </w:abstractNum>
  <w:abstractNum w:abstractNumId="40">
    <w:nsid w:val="579478FE"/>
    <w:multiLevelType w:val="hybridMultilevel"/>
    <w:lvl w:ilvl="0">
      <w:lvlJc w:val="left"/>
      <w:lvlText w:val="•"/>
      <w:numFmt w:val="bullet"/>
      <w:start w:val="1"/>
    </w:lvl>
  </w:abstractNum>
  <w:abstractNum w:abstractNumId="41">
    <w:nsid w:val="749ABB43"/>
    <w:multiLevelType w:val="hybridMultilevel"/>
    <w:lvl w:ilvl="0">
      <w:lvlJc w:val="left"/>
      <w:lvlText w:val="•"/>
      <w:numFmt w:val="bullet"/>
      <w:start w:val="1"/>
    </w:lvl>
  </w:abstractNum>
  <w:abstractNum w:abstractNumId="42">
    <w:nsid w:val="3DC240FB"/>
    <w:multiLevelType w:val="hybridMultilevel"/>
    <w:lvl w:ilvl="0">
      <w:lvlJc w:val="left"/>
      <w:lvlText w:val="•"/>
      <w:numFmt w:val="bullet"/>
      <w:start w:val="1"/>
    </w:lvl>
  </w:abstractNum>
  <w:abstractNum w:abstractNumId="43">
    <w:nsid w:val="1BA026FA"/>
    <w:multiLevelType w:val="hybridMultilevel"/>
    <w:lvl w:ilvl="0">
      <w:lvlJc w:val="left"/>
      <w:lvlText w:val="•"/>
      <w:numFmt w:val="bullet"/>
      <w:start w:val="1"/>
    </w:lvl>
  </w:abstractNum>
  <w:abstractNum w:abstractNumId="44">
    <w:nsid w:val="79A1DEAA"/>
    <w:multiLevelType w:val="hybridMultilevel"/>
    <w:lvl w:ilvl="0">
      <w:lvlJc w:val="left"/>
      <w:lvlText w:val="•"/>
      <w:numFmt w:val="bullet"/>
      <w:start w:val="1"/>
    </w:lvl>
  </w:abstractNum>
  <w:abstractNum w:abstractNumId="45">
    <w:nsid w:val="75C6C33A"/>
    <w:multiLevelType w:val="hybridMultilevel"/>
    <w:lvl w:ilvl="0">
      <w:lvlJc w:val="left"/>
      <w:lvlText w:val="•"/>
      <w:numFmt w:val="bullet"/>
      <w:start w:val="1"/>
    </w:lvl>
  </w:abstractNum>
  <w:abstractNum w:abstractNumId="46">
    <w:nsid w:val="12E685FB"/>
    <w:multiLevelType w:val="hybridMultilevel"/>
    <w:lvl w:ilvl="0">
      <w:lvlJc w:val="left"/>
      <w:lvlText w:val="(%1)"/>
      <w:numFmt w:val="decimal"/>
      <w:start w:val="1"/>
    </w:lvl>
  </w:abstractNum>
  <w:abstractNum w:abstractNumId="47">
    <w:nsid w:val="70C6A529"/>
    <w:multiLevelType w:val="hybridMultilevel"/>
    <w:lvl w:ilvl="0">
      <w:lvlJc w:val="left"/>
      <w:lvlText w:val="(%1)"/>
      <w:numFmt w:val="decimal"/>
      <w:start w:val="1"/>
    </w:lvl>
  </w:abstractNum>
  <w:abstractNum w:abstractNumId="48">
    <w:nsid w:val="520EEDD1"/>
    <w:multiLevelType w:val="hybridMultilevel"/>
    <w:lvl w:ilvl="0">
      <w:lvlJc w:val="left"/>
      <w:lvlText w:val="(%1)"/>
      <w:numFmt w:val="decimal"/>
      <w:start w:val="1"/>
    </w:lvl>
  </w:abstractNum>
  <w:abstractNum w:abstractNumId="49">
    <w:nsid w:val="374A3FE6"/>
    <w:multiLevelType w:val="hybridMultilevel"/>
    <w:lvl w:ilvl="0">
      <w:lvlJc w:val="left"/>
      <w:lvlText w:val="(%1)"/>
      <w:numFmt w:val="decimal"/>
      <w:start w:val="1"/>
    </w:lvl>
  </w:abstractNum>
  <w:abstractNum w:abstractNumId="50">
    <w:nsid w:val="4F4EF005"/>
    <w:multiLevelType w:val="hybridMultilevel"/>
    <w:lvl w:ilvl="0">
      <w:lvlJc w:val="left"/>
      <w:lvlText w:val="(%1)"/>
      <w:numFmt w:val="decimal"/>
      <w:start w:val="1"/>
    </w:lvl>
  </w:abstractNum>
  <w:abstractNum w:abstractNumId="51">
    <w:nsid w:val="23F9C13C"/>
    <w:multiLevelType w:val="hybridMultilevel"/>
    <w:lvl w:ilvl="0">
      <w:lvlJc w:val="left"/>
      <w:lvlText w:val="(%1)"/>
      <w:numFmt w:val="decimal"/>
      <w:start w:val="1"/>
    </w:lvl>
  </w:abstractNum>
  <w:abstractNum w:abstractNumId="52">
    <w:nsid w:val="649BB77C"/>
    <w:multiLevelType w:val="hybridMultilevel"/>
    <w:lvl w:ilvl="0">
      <w:lvlJc w:val="left"/>
      <w:lvlText w:val="(%1)"/>
      <w:numFmt w:val="decimal"/>
      <w:start w:val="1"/>
    </w:lvl>
  </w:abstractNum>
  <w:abstractNum w:abstractNumId="53">
    <w:nsid w:val="275AC794"/>
    <w:multiLevelType w:val="hybridMultilevel"/>
    <w:lvl w:ilvl="0">
      <w:lvlJc w:val="left"/>
      <w:lvlText w:val="•"/>
      <w:numFmt w:val="bullet"/>
      <w:start w:val="1"/>
    </w:lvl>
  </w:abstractNum>
  <w:abstractNum w:abstractNumId="54">
    <w:nsid w:val="39386575"/>
    <w:multiLevelType w:val="hybridMultilevel"/>
    <w:lvl w:ilvl="0">
      <w:lvlJc w:val="left"/>
      <w:lvlText w:val="*"/>
      <w:numFmt w:val="bullet"/>
      <w:start w:val="1"/>
    </w:lvl>
  </w:abstractNum>
  <w:abstractNum w:abstractNumId="55">
    <w:nsid w:val="1CF10FD8"/>
    <w:multiLevelType w:val="hybridMultilevel"/>
    <w:lvl w:ilvl="0">
      <w:lvlJc w:val="left"/>
      <w:lvlText w:val="(%1)"/>
      <w:numFmt w:val="decimal"/>
      <w:start w:val="1"/>
    </w:lvl>
  </w:abstractNum>
  <w:abstractNum w:abstractNumId="56">
    <w:nsid w:val="180115BE"/>
    <w:multiLevelType w:val="hybridMultilevel"/>
    <w:lvl w:ilvl="0">
      <w:lvlJc w:val="left"/>
      <w:lvlText w:val="(%1)"/>
      <w:numFmt w:val="decimal"/>
      <w:start w:val="5"/>
    </w:lvl>
  </w:abstractNum>
  <w:abstractNum w:abstractNumId="57">
    <w:nsid w:val="235BA86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jpe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jpeg"/><Relationship Id="rId180" Type="http://schemas.openxmlformats.org/officeDocument/2006/relationships/image" Target="media/image173.jpeg"/><Relationship Id="rId181" Type="http://schemas.openxmlformats.org/officeDocument/2006/relationships/image" Target="media/image174.jpeg"/><Relationship Id="rId182" Type="http://schemas.openxmlformats.org/officeDocument/2006/relationships/image" Target="media/image175.jpe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jpeg"/><Relationship Id="rId193" Type="http://schemas.openxmlformats.org/officeDocument/2006/relationships/image" Target="media/image186.jpeg"/><Relationship Id="rId194" Type="http://schemas.openxmlformats.org/officeDocument/2006/relationships/image" Target="media/image187.jpe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jpeg"/><Relationship Id="rId214" Type="http://schemas.openxmlformats.org/officeDocument/2006/relationships/image" Target="media/image207.png"/><Relationship Id="rId215" Type="http://schemas.openxmlformats.org/officeDocument/2006/relationships/image" Target="media/image208.jpeg"/><Relationship Id="rId216" Type="http://schemas.openxmlformats.org/officeDocument/2006/relationships/image" Target="media/image209.png"/><Relationship Id="rId217" Type="http://schemas.openxmlformats.org/officeDocument/2006/relationships/image" Target="media/image210.jpeg"/><Relationship Id="rId218" Type="http://schemas.openxmlformats.org/officeDocument/2006/relationships/image" Target="media/image211.png"/><Relationship Id="rId219" Type="http://schemas.openxmlformats.org/officeDocument/2006/relationships/image" Target="media/image212.jpe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jpe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jpe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jpe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jpe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jpe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jpe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jpe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jpe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jpeg"/><Relationship Id="rId266" Type="http://schemas.openxmlformats.org/officeDocument/2006/relationships/image" Target="media/image259.png"/><Relationship Id="rId267" Type="http://schemas.openxmlformats.org/officeDocument/2006/relationships/image" Target="media/image260.jpeg"/><Relationship Id="rId268" Type="http://schemas.openxmlformats.org/officeDocument/2006/relationships/image" Target="media/image261.png"/><Relationship Id="rId269" Type="http://schemas.openxmlformats.org/officeDocument/2006/relationships/image" Target="media/image262.jpeg"/><Relationship Id="rId270" Type="http://schemas.openxmlformats.org/officeDocument/2006/relationships/image" Target="media/image263.png"/><Relationship Id="rId271" Type="http://schemas.openxmlformats.org/officeDocument/2006/relationships/image" Target="media/image264.jpeg"/><Relationship Id="rId272" Type="http://schemas.openxmlformats.org/officeDocument/2006/relationships/image" Target="media/image265.png"/><Relationship Id="rId273" Type="http://schemas.openxmlformats.org/officeDocument/2006/relationships/image" Target="media/image266.jpeg"/><Relationship Id="rId274" Type="http://schemas.openxmlformats.org/officeDocument/2006/relationships/image" Target="media/image267.png"/><Relationship Id="rId275" Type="http://schemas.openxmlformats.org/officeDocument/2006/relationships/image" Target="media/image268.jpe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jpe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jpe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jpeg"/><Relationship Id="rId295" Type="http://schemas.openxmlformats.org/officeDocument/2006/relationships/image" Target="media/image288.png"/><Relationship Id="rId296" Type="http://schemas.openxmlformats.org/officeDocument/2006/relationships/image" Target="media/image289.jpe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jpe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jpe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jpeg"/><Relationship Id="rId314" Type="http://schemas.openxmlformats.org/officeDocument/2006/relationships/image" Target="media/image307.png"/><Relationship Id="rId315" Type="http://schemas.openxmlformats.org/officeDocument/2006/relationships/image" Target="media/image308.jpe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jpe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jpeg"/><Relationship Id="rId323" Type="http://schemas.openxmlformats.org/officeDocument/2006/relationships/image" Target="media/image316.png"/><Relationship Id="rId324" Type="http://schemas.openxmlformats.org/officeDocument/2006/relationships/image" Target="media/image317.jpeg"/><Relationship Id="rId325" Type="http://schemas.openxmlformats.org/officeDocument/2006/relationships/image" Target="media/image318.png"/><Relationship Id="rId326" Type="http://schemas.openxmlformats.org/officeDocument/2006/relationships/image" Target="media/image319.jpeg"/><Relationship Id="rId327" Type="http://schemas.openxmlformats.org/officeDocument/2006/relationships/image" Target="media/image320.png"/><Relationship Id="rId328" Type="http://schemas.openxmlformats.org/officeDocument/2006/relationships/image" Target="media/image321.jpeg"/><Relationship Id="rId329" Type="http://schemas.openxmlformats.org/officeDocument/2006/relationships/image" Target="media/image322.png"/><Relationship Id="rId330" Type="http://schemas.openxmlformats.org/officeDocument/2006/relationships/image" Target="media/image323.jpe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jpeg"/><Relationship Id="rId337" Type="http://schemas.openxmlformats.org/officeDocument/2006/relationships/image" Target="media/image330.jpeg"/><Relationship Id="rId338" Type="http://schemas.openxmlformats.org/officeDocument/2006/relationships/image" Target="media/image33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2021-11-24T15:18:38Z</dcterms:created>
  <dcterms:modified xsi:type="dcterms:W3CDTF">2021-11-24T15:18:38Z</dcterms:modified>
</cp:coreProperties>
</file>