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UNITED STATES</w:t>
      </w:r>
    </w:p>
    <w:p>
      <w:pPr>
        <w:spacing w:after="0" w:line="1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5"/>
          <w:szCs w:val="35"/>
          <w:b w:val="1"/>
          <w:bCs w:val="1"/>
          <w:color w:val="auto"/>
        </w:rPr>
        <w:t>SECURITIES AND EXCHANGE COMMISSION</w:t>
      </w:r>
    </w:p>
    <w:p>
      <w:pPr>
        <w:spacing w:after="0" w:line="6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51"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85" w:lineRule="exact"/>
        <w:rPr>
          <w:sz w:val="24"/>
          <w:szCs w:val="24"/>
          <w:color w:val="auto"/>
        </w:rPr>
      </w:pPr>
    </w:p>
    <w:p>
      <w:pPr>
        <w:ind w:left="800" w:hanging="482"/>
        <w:spacing w:after="0"/>
        <w:tabs>
          <w:tab w:leader="none" w:pos="8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QUARTERLY REPORT PURSUANT TO SECTION 13 OR 15(d) OF THE SECURITIES EXCHANGE ACT OF 1934</w:t>
      </w:r>
    </w:p>
    <w:p>
      <w:pPr>
        <w:spacing w:after="0" w:line="27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For the quarterly period ended April 30, 2026</w:t>
      </w:r>
    </w:p>
    <w:p>
      <w:pPr>
        <w:spacing w:after="0" w:line="22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7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6"/>
          <w:szCs w:val="16"/>
          <w:color w:val="auto"/>
        </w:rPr>
        <w:t>TRANSITION REPORT PURSUANT TO SECTION 13 OR 15(d) OF THE SECURITIES EXCHANGE ACT OF 1934</w:t>
      </w:r>
    </w:p>
    <w:p>
      <w:pPr>
        <w:spacing w:after="0" w:line="271"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For the transition period from _to_</w:t>
      </w:r>
    </w:p>
    <w:p>
      <w:pPr>
        <w:spacing w:after="0" w:line="3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Commission File Number: 001-38413</w:t>
      </w:r>
    </w:p>
    <w:p>
      <w:pPr>
        <w:spacing w:after="0" w:line="216"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16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0"/>
          <w:szCs w:val="40"/>
          <w:b w:val="1"/>
          <w:bCs w:val="1"/>
          <w:color w:val="auto"/>
        </w:rPr>
        <w:t>ZSCALER, INC.</w:t>
      </w:r>
    </w:p>
    <w:p>
      <w:pPr>
        <w:spacing w:after="0" w:line="65"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ectPr>
          <w:pgSz w:w="11900" w:h="16838" w:orient="portrait"/>
          <w:cols w:equalWidth="0" w:num="1">
            <w:col w:w="11200"/>
          </w:cols>
          <w:pgMar w:left="320" w:top="1440" w:right="379" w:bottom="162" w:gutter="0" w:footer="0" w:header="0"/>
        </w:sectPr>
      </w:pPr>
    </w:p>
    <w:p>
      <w:pPr>
        <w:spacing w:after="0" w:line="59"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26-1173892</w:t>
      </w:r>
    </w:p>
    <w:p>
      <w:pPr>
        <w:spacing w:after="0" w:line="12" w:lineRule="exact"/>
        <w:rPr>
          <w:sz w:val="24"/>
          <w:szCs w:val="24"/>
          <w:color w:val="auto"/>
        </w:rPr>
      </w:pPr>
    </w:p>
    <w:p>
      <w:pPr>
        <w:sectPr>
          <w:pgSz w:w="11900" w:h="16838" w:orient="portrait"/>
          <w:cols w:equalWidth="0" w:num="2">
            <w:col w:w="8300" w:space="720"/>
            <w:col w:w="2180"/>
          </w:cols>
          <w:pgMar w:left="320" w:top="1440" w:right="379" w:bottom="162" w:gutter="0" w:footer="0" w:header="0"/>
          <w:type w:val="continuous"/>
        </w:sectPr>
      </w:pPr>
    </w:p>
    <w:p>
      <w:pPr>
        <w:ind w:left="1060"/>
        <w:spacing w:after="0" w:line="197" w:lineRule="auto"/>
        <w:rPr>
          <w:sz w:val="20"/>
          <w:szCs w:val="20"/>
          <w:color w:val="auto"/>
        </w:rPr>
      </w:pPr>
      <w:r>
        <w:rPr>
          <w:rFonts w:ascii="Times New Roman" w:cs="Times New Roman" w:eastAsia="Times New Roman" w:hAnsi="Times New Roman"/>
          <w:sz w:val="14"/>
          <w:szCs w:val="14"/>
          <w:color w:val="auto"/>
        </w:rPr>
        <w:t>(State or other jurisdiction of</w:t>
      </w:r>
    </w:p>
    <w:p>
      <w:pPr>
        <w:ind w:left="1020"/>
        <w:spacing w:after="0"/>
        <w:rPr>
          <w:sz w:val="20"/>
          <w:szCs w:val="20"/>
          <w:color w:val="auto"/>
        </w:rPr>
      </w:pPr>
      <w:r>
        <w:rPr>
          <w:rFonts w:ascii="Times New Roman" w:cs="Times New Roman" w:eastAsia="Times New Roman" w:hAnsi="Times New Roman"/>
          <w:sz w:val="14"/>
          <w:szCs w:val="14"/>
          <w:color w:val="auto"/>
        </w:rPr>
        <w:t>incorporation or organization)</w:t>
      </w:r>
    </w:p>
    <w:p>
      <w:pPr>
        <w:spacing w:after="0" w:line="20" w:lineRule="exact"/>
        <w:rPr>
          <w:sz w:val="24"/>
          <w:szCs w:val="24"/>
          <w:color w:val="auto"/>
        </w:rPr>
      </w:pPr>
      <w:r>
        <w:rPr>
          <w:sz w:val="24"/>
          <w:szCs w:val="24"/>
          <w:color w:val="auto"/>
        </w:rPr>
        <w:br w:type="column"/>
      </w:r>
    </w:p>
    <w:p>
      <w:pPr>
        <w:jc w:val="center"/>
        <w:ind w:right="1080"/>
        <w:spacing w:after="0" w:line="197" w:lineRule="auto"/>
        <w:rPr>
          <w:sz w:val="20"/>
          <w:szCs w:val="20"/>
          <w:color w:val="auto"/>
        </w:rPr>
      </w:pPr>
      <w:r>
        <w:rPr>
          <w:rFonts w:ascii="Times New Roman" w:cs="Times New Roman" w:eastAsia="Times New Roman" w:hAnsi="Times New Roman"/>
          <w:sz w:val="14"/>
          <w:szCs w:val="14"/>
          <w:color w:val="auto"/>
        </w:rPr>
        <w:t>(I.R.S. Employer</w:t>
      </w:r>
    </w:p>
    <w:p>
      <w:pPr>
        <w:jc w:val="center"/>
        <w:ind w:right="1080"/>
        <w:spacing w:after="0"/>
        <w:rPr>
          <w:sz w:val="20"/>
          <w:szCs w:val="20"/>
          <w:color w:val="auto"/>
        </w:rPr>
      </w:pPr>
      <w:r>
        <w:rPr>
          <w:rFonts w:ascii="Times New Roman" w:cs="Times New Roman" w:eastAsia="Times New Roman" w:hAnsi="Times New Roman"/>
          <w:sz w:val="14"/>
          <w:szCs w:val="14"/>
          <w:color w:val="auto"/>
        </w:rPr>
        <w:t>Identification Number)</w:t>
      </w:r>
    </w:p>
    <w:p>
      <w:pPr>
        <w:spacing w:after="0" w:line="80" w:lineRule="exact"/>
        <w:rPr>
          <w:sz w:val="24"/>
          <w:szCs w:val="24"/>
          <w:color w:val="auto"/>
        </w:rPr>
      </w:pPr>
    </w:p>
    <w:p>
      <w:pPr>
        <w:sectPr>
          <w:pgSz w:w="11900" w:h="16838" w:orient="portrait"/>
          <w:cols w:equalWidth="0" w:num="2">
            <w:col w:w="8060" w:space="720"/>
            <w:col w:w="2420"/>
          </w:cols>
          <w:pgMar w:left="320" w:top="1440" w:right="379" w:bottom="162" w:gutter="0" w:footer="0" w:header="0"/>
          <w:type w:val="continuous"/>
        </w:sect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120 Holger Way</w:t>
      </w:r>
    </w:p>
    <w:p>
      <w:pPr>
        <w:spacing w:after="0" w:line="6"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San Jose, California 95134</w:t>
      </w:r>
    </w:p>
    <w:p>
      <w:pPr>
        <w:spacing w:after="0" w:line="7"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(Address of principal executive offices)</w:t>
      </w:r>
    </w:p>
    <w:p>
      <w:pPr>
        <w:spacing w:after="0" w:line="388" w:lineRule="exact"/>
        <w:rPr>
          <w:sz w:val="24"/>
          <w:szCs w:val="24"/>
          <w:color w:val="auto"/>
        </w:rPr>
      </w:pPr>
    </w:p>
    <w:p>
      <w:pPr>
        <w:jc w:val="center"/>
        <w:ind w:right="-37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(408) 533-0288</w:t>
      </w:r>
    </w:p>
    <w:p>
      <w:pPr>
        <w:spacing w:after="0" w:line="22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ectPr>
          <w:pgSz w:w="11900" w:h="16838" w:orient="portrait"/>
          <w:cols w:equalWidth="0" w:num="1">
            <w:col w:w="11200"/>
          </w:cols>
          <w:pgMar w:left="320" w:top="1440" w:right="379" w:bottom="162" w:gutter="0" w:footer="0" w:header="0"/>
          <w:type w:val="continuous"/>
        </w:sectPr>
      </w:pPr>
    </w:p>
    <w:p>
      <w:pPr>
        <w:spacing w:after="0" w:line="212" w:lineRule="exact"/>
        <w:rPr>
          <w:sz w:val="24"/>
          <w:szCs w:val="24"/>
          <w:color w:val="auto"/>
        </w:rPr>
      </w:pPr>
    </w:p>
    <w:p>
      <w:pPr>
        <w:ind w:left="3140"/>
        <w:spacing w:after="0"/>
        <w:rPr>
          <w:sz w:val="20"/>
          <w:szCs w:val="20"/>
          <w:color w:val="auto"/>
        </w:rPr>
      </w:pPr>
      <w:r>
        <w:rPr>
          <w:rFonts w:ascii="Times New Roman" w:cs="Times New Roman" w:eastAsia="Times New Roman" w:hAnsi="Times New Roman"/>
          <w:sz w:val="22"/>
          <w:szCs w:val="22"/>
          <w:b w:val="1"/>
          <w:bCs w:val="1"/>
          <w:color w:val="auto"/>
        </w:rPr>
        <w:t>Securities registered pursuant to Section 12(b) of the Act:</w:t>
      </w:r>
    </w:p>
    <w:p>
      <w:pPr>
        <w:spacing w:after="0" w:line="69" w:lineRule="exact"/>
        <w:rPr>
          <w:sz w:val="24"/>
          <w:szCs w:val="24"/>
          <w:color w:val="auto"/>
        </w:rPr>
      </w:pPr>
    </w:p>
    <w:tbl>
      <w:tblPr>
        <w:tblLayout w:type="fixed"/>
        <w:tblInd w:w="670" w:type="dxa"/>
        <w:tblCellMar>
          <w:top w:w="0" w:type="dxa"/>
          <w:left w:w="0" w:type="dxa"/>
          <w:bottom w:w="0" w:type="dxa"/>
          <w:right w:w="0" w:type="dxa"/>
        </w:tblCellMar>
      </w:tblPr>
      <w:tr>
        <w:trPr>
          <w:trHeight w:val="216"/>
        </w:trPr>
        <w:tc>
          <w:tcPr>
            <w:tcW w:w="38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Each Class</w:t>
            </w:r>
          </w:p>
        </w:tc>
        <w:tc>
          <w:tcPr>
            <w:tcW w:w="22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Trading Symbol(s)</w:t>
            </w:r>
          </w:p>
        </w:tc>
        <w:tc>
          <w:tcPr>
            <w:tcW w:w="382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2"/>
                <w:szCs w:val="22"/>
                <w:b w:val="1"/>
                <w:bCs w:val="1"/>
                <w:color w:val="auto"/>
                <w:w w:val="98"/>
              </w:rPr>
              <w:t>Name of Each Exchange on Which</w:t>
            </w:r>
          </w:p>
        </w:tc>
        <w:tc>
          <w:tcPr>
            <w:tcW w:w="0" w:type="dxa"/>
            <w:vAlign w:val="bottom"/>
          </w:tcPr>
          <w:p>
            <w:pPr>
              <w:spacing w:after="0"/>
              <w:rPr>
                <w:sz w:val="1"/>
                <w:szCs w:val="1"/>
                <w:color w:val="auto"/>
              </w:rPr>
            </w:pPr>
          </w:p>
        </w:tc>
      </w:tr>
      <w:tr>
        <w:trPr>
          <w:trHeight w:val="284"/>
        </w:trPr>
        <w:tc>
          <w:tcPr>
            <w:tcW w:w="384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2220" w:type="dxa"/>
            <w:vAlign w:val="bottom"/>
            <w:tcBorders>
              <w:bottom w:val="single" w:sz="8" w:color="auto"/>
              <w:right w:val="single" w:sz="8" w:color="auto"/>
            </w:tcBorders>
            <w:vMerge w:val="continue"/>
          </w:tcPr>
          <w:p>
            <w:pPr>
              <w:spacing w:after="0"/>
              <w:rPr>
                <w:sz w:val="24"/>
                <w:szCs w:val="24"/>
                <w:color w:val="auto"/>
              </w:rPr>
            </w:pP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Registered</w:t>
            </w:r>
          </w:p>
        </w:tc>
        <w:tc>
          <w:tcPr>
            <w:tcW w:w="0" w:type="dxa"/>
            <w:vAlign w:val="bottom"/>
          </w:tcPr>
          <w:p>
            <w:pPr>
              <w:spacing w:after="0"/>
              <w:rPr>
                <w:sz w:val="1"/>
                <w:szCs w:val="1"/>
                <w:color w:val="auto"/>
              </w:rPr>
            </w:pPr>
          </w:p>
        </w:tc>
      </w:tr>
      <w:tr>
        <w:trPr>
          <w:trHeight w:val="263"/>
        </w:trPr>
        <w:tc>
          <w:tcPr>
            <w:tcW w:w="38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Common Stock, $0.001 Par Value</w:t>
            </w:r>
          </w:p>
        </w:tc>
        <w:tc>
          <w:tcPr>
            <w:tcW w:w="2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3"/>
              </w:rPr>
              <w:t>ZS</w:t>
            </w:r>
          </w:p>
        </w:tc>
        <w:tc>
          <w:tcPr>
            <w:tcW w:w="3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The Nasdaq Stock Market LLC</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right="20" w:firstLine="486"/>
        <w:spacing w:after="0" w:line="26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firstLine="486"/>
        <w:spacing w:after="0" w:line="25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firstLine="486"/>
        <w:spacing w:after="0" w:line="29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160" w:type="dxa"/>
        <w:tblCellMar>
          <w:top w:w="0" w:type="dxa"/>
          <w:left w:w="0" w:type="dxa"/>
          <w:bottom w:w="0" w:type="dxa"/>
          <w:right w:w="0" w:type="dxa"/>
        </w:tblCellMar>
      </w:tblPr>
      <w:tr>
        <w:trPr>
          <w:trHeight w:val="225"/>
        </w:trPr>
        <w:tc>
          <w:tcPr>
            <w:tcW w:w="196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Large accelerated filer</w:t>
            </w:r>
          </w:p>
        </w:tc>
        <w:tc>
          <w:tcPr>
            <w:tcW w:w="28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196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Non-accelerated filer</w:t>
            </w:r>
          </w:p>
        </w:tc>
        <w:tc>
          <w:tcPr>
            <w:tcW w:w="28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4200" w:type="dxa"/>
            <w:vAlign w:val="bottom"/>
          </w:tcPr>
          <w:p>
            <w:pPr>
              <w:jc w:val="center"/>
              <w:ind w:left="134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9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420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00"/>
          </w:cols>
          <w:pgMar w:left="320" w:top="1440" w:right="379" w:bottom="162" w:gutter="0" w:footer="0" w:header="0"/>
          <w:type w:val="continuous"/>
        </w:sectPr>
      </w:pPr>
    </w:p>
    <w:bookmarkStart w:id="1" w:name="page2"/>
    <w:bookmarkEnd w:id="1"/>
    <w:p>
      <w:pPr>
        <w:ind w:right="20" w:firstLine="486"/>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17" w:lineRule="exact"/>
        <w:rPr>
          <w:sz w:val="20"/>
          <w:szCs w:val="20"/>
          <w:color w:val="auto"/>
        </w:rPr>
      </w:pPr>
    </w:p>
    <w:p>
      <w:pPr>
        <w:ind w:left="500"/>
        <w:spacing w:after="0" w:line="207" w:lineRule="exact"/>
        <w:tabs>
          <w:tab w:leader="none" w:pos="934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May 19, 2026, the number of shares of registrant’s common stock outstanding was 161,709,525.</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80" w:type="dxa"/>
            <w:vAlign w:val="bottom"/>
            <w:gridSpan w:val="14"/>
          </w:tcPr>
          <w:p>
            <w:pPr>
              <w:ind w:left="860"/>
              <w:spacing w:after="0"/>
              <w:rPr>
                <w:sz w:val="20"/>
                <w:szCs w:val="20"/>
                <w:color w:val="auto"/>
              </w:rPr>
            </w:pPr>
            <w:r>
              <w:rPr>
                <w:rFonts w:ascii="Times New Roman" w:cs="Times New Roman" w:eastAsia="Times New Roman" w:hAnsi="Times New Roman"/>
                <w:sz w:val="18"/>
                <w:szCs w:val="18"/>
                <w:b w:val="1"/>
                <w:bCs w:val="1"/>
                <w:color w:val="auto"/>
              </w:rPr>
              <w:t>ZSCALER, INC.</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180" w:type="dxa"/>
            <w:vAlign w:val="bottom"/>
            <w:gridSpan w:val="14"/>
          </w:tcPr>
          <w:p>
            <w:pPr>
              <w:ind w:left="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vMerge w:val="restart"/>
          </w:tcPr>
          <w:p>
            <w:pPr>
              <w:spacing w:after="0"/>
              <w:rPr>
                <w:sz w:val="19"/>
                <w:szCs w:val="19"/>
                <w:color w:val="auto"/>
              </w:rPr>
            </w:pPr>
          </w:p>
        </w:tc>
        <w:tc>
          <w:tcPr>
            <w:tcW w:w="6340" w:type="dxa"/>
            <w:vAlign w:val="bottom"/>
            <w:gridSpan w:val="15"/>
            <w:vMerge w:val="restart"/>
          </w:tcPr>
          <w:p>
            <w:pPr>
              <w:jc w:val="center"/>
              <w:ind w:right="3460"/>
              <w:spacing w:after="0"/>
              <w:rPr>
                <w:sz w:val="20"/>
                <w:szCs w:val="20"/>
                <w:color w:val="auto"/>
              </w:rPr>
            </w:pPr>
            <w:r>
              <w:rPr>
                <w:rFonts w:ascii="Times New Roman" w:cs="Times New Roman" w:eastAsia="Times New Roman" w:hAnsi="Times New Roman"/>
                <w:sz w:val="18"/>
                <w:szCs w:val="18"/>
                <w:color w:val="auto"/>
                <w:w w:val="98"/>
              </w:rPr>
              <w:t>PART I. FINANCIAL INFORMATION</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w w:val="96"/>
              </w:rPr>
              <w:t>Page No.</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6340" w:type="dxa"/>
            <w:vAlign w:val="bottom"/>
            <w:gridSpan w:val="15"/>
            <w:vMerge w:val="continue"/>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0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880" w:type="dxa"/>
            <w:vAlign w:val="bottom"/>
            <w:tcBorders>
              <w:top w:val="single" w:sz="8" w:color="auto"/>
            </w:tcBorders>
            <w:gridSpan w:val="8"/>
          </w:tcPr>
          <w:p>
            <w:pPr>
              <w:spacing w:after="0"/>
              <w:rPr>
                <w:sz w:val="18"/>
                <w:szCs w:val="18"/>
                <w:color w:val="auto"/>
              </w:rPr>
            </w:pPr>
          </w:p>
        </w:tc>
        <w:tc>
          <w:tcPr>
            <w:tcW w:w="3460" w:type="dxa"/>
            <w:vAlign w:val="bottom"/>
            <w:gridSpan w:val="7"/>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7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April 30, 2026 and July 31, 2025</w:t>
            </w:r>
          </w:p>
        </w:tc>
        <w:tc>
          <w:tcPr>
            <w:tcW w:w="3620" w:type="dxa"/>
            <w:vAlign w:val="bottom"/>
            <w:gridSpan w:val="8"/>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 of Operations for the Three and Nine Months Ended April 30, 2026 and 2025</w:t>
            </w:r>
          </w:p>
        </w:tc>
        <w:tc>
          <w:tcPr>
            <w:tcW w:w="1180" w:type="dxa"/>
            <w:vAlign w:val="bottom"/>
            <w:gridSpan w:val="4"/>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 of Comprehensive Income (Loss) for the Three and Nine Months Ended April 30,</w:t>
            </w:r>
          </w:p>
        </w:tc>
        <w:tc>
          <w:tcPr>
            <w:tcW w:w="7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35"/>
        </w:trPr>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620" w:type="dxa"/>
            <w:vAlign w:val="bottom"/>
            <w:tcBorders>
              <w:top w:val="single" w:sz="8" w:color="0000FF"/>
            </w:tcBorders>
            <w:gridSpan w:val="13"/>
          </w:tcPr>
          <w:p>
            <w:pPr>
              <w:spacing w:after="0" w:line="136" w:lineRule="exact"/>
              <w:rPr>
                <w:sz w:val="20"/>
                <w:szCs w:val="20"/>
                <w:color w:val="auto"/>
              </w:rPr>
            </w:pPr>
            <w:r>
              <w:rPr>
                <w:rFonts w:ascii="Times New Roman" w:cs="Times New Roman" w:eastAsia="Times New Roman" w:hAnsi="Times New Roman"/>
                <w:sz w:val="15"/>
                <w:szCs w:val="15"/>
                <w:color w:val="0000FF"/>
              </w:rPr>
              <w:t>2026 and 2025</w:t>
            </w:r>
          </w:p>
        </w:tc>
        <w:tc>
          <w:tcPr>
            <w:tcW w:w="1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74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gridSpan w:val="2"/>
          </w:tcPr>
          <w:p>
            <w:pPr>
              <w:spacing w:after="0"/>
              <w:rPr>
                <w:sz w:val="11"/>
                <w:szCs w:val="11"/>
                <w:color w:val="auto"/>
              </w:rPr>
            </w:pPr>
          </w:p>
        </w:tc>
        <w:tc>
          <w:tcPr>
            <w:tcW w:w="1080" w:type="dxa"/>
            <w:vAlign w:val="bottom"/>
            <w:tcBorders>
              <w:top w:val="single" w:sz="8" w:color="0000FF"/>
            </w:tcBorders>
          </w:tcPr>
          <w:p>
            <w:pPr>
              <w:spacing w:after="0"/>
              <w:rPr>
                <w:sz w:val="11"/>
                <w:szCs w:val="11"/>
                <w:color w:val="auto"/>
              </w:rPr>
            </w:pPr>
          </w:p>
        </w:tc>
        <w:tc>
          <w:tcPr>
            <w:tcW w:w="700" w:type="dxa"/>
            <w:vAlign w:val="bottom"/>
            <w:tcBorders>
              <w:top w:val="single" w:sz="8" w:color="0000FF"/>
            </w:tcBorders>
            <w:gridSpan w:val="2"/>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360" w:type="dxa"/>
            <w:vAlign w:val="bottom"/>
            <w:gridSpan w:val="24"/>
          </w:tcPr>
          <w:p>
            <w:pPr>
              <w:spacing w:after="0" w:line="203"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and Nine Months Ended April 30, 2026 and</w:t>
            </w:r>
          </w:p>
        </w:tc>
        <w:tc>
          <w:tcPr>
            <w:tcW w:w="720" w:type="dxa"/>
            <w:vAlign w:val="bottom"/>
            <w:gridSpan w:val="4"/>
            <w:vMerge w:val="restart"/>
          </w:tcPr>
          <w:p>
            <w:pPr>
              <w:jc w:val="right"/>
              <w:ind w:right="6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Borders>
              <w:top w:val="single" w:sz="8" w:color="0000FF"/>
            </w:tcBorders>
          </w:tcPr>
          <w:p>
            <w:pPr>
              <w:spacing w:after="0" w:line="142" w:lineRule="exact"/>
              <w:rPr>
                <w:sz w:val="20"/>
                <w:szCs w:val="20"/>
                <w:color w:val="auto"/>
              </w:rPr>
            </w:pPr>
            <w:r>
              <w:rPr>
                <w:rFonts w:ascii="Times New Roman" w:cs="Times New Roman" w:eastAsia="Times New Roman" w:hAnsi="Times New Roman"/>
                <w:sz w:val="16"/>
                <w:szCs w:val="16"/>
                <w:color w:val="0000FF"/>
              </w:rPr>
              <w:t>2025</w:t>
            </w:r>
          </w:p>
        </w:tc>
        <w:tc>
          <w:tcPr>
            <w:tcW w:w="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40" w:type="dxa"/>
            <w:vAlign w:val="bottom"/>
            <w:tcBorders>
              <w:top w:val="single" w:sz="8" w:color="0000FF"/>
            </w:tcBorders>
          </w:tcPr>
          <w:p>
            <w:pPr>
              <w:spacing w:after="0"/>
              <w:rPr>
                <w:sz w:val="13"/>
                <w:szCs w:val="13"/>
                <w:color w:val="auto"/>
              </w:rPr>
            </w:pPr>
          </w:p>
        </w:tc>
        <w:tc>
          <w:tcPr>
            <w:tcW w:w="10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20" w:type="dxa"/>
            <w:vAlign w:val="bottom"/>
          </w:tcPr>
          <w:p>
            <w:pPr>
              <w:spacing w:after="0"/>
              <w:rPr>
                <w:sz w:val="13"/>
                <w:szCs w:val="13"/>
                <w:color w:val="auto"/>
              </w:rPr>
            </w:pPr>
          </w:p>
        </w:tc>
        <w:tc>
          <w:tcPr>
            <w:tcW w:w="7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gridSpan w:val="2"/>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gridSpan w:val="3"/>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960" w:type="dxa"/>
            <w:vAlign w:val="bottom"/>
            <w:gridSpan w:val="2"/>
          </w:tcPr>
          <w:p>
            <w:pPr>
              <w:spacing w:after="0"/>
              <w:rPr>
                <w:sz w:val="2"/>
                <w:szCs w:val="2"/>
                <w:color w:val="auto"/>
              </w:rPr>
            </w:pPr>
          </w:p>
        </w:tc>
        <w:tc>
          <w:tcPr>
            <w:tcW w:w="700" w:type="dxa"/>
            <w:vAlign w:val="bottom"/>
            <w:gridSpan w:val="2"/>
          </w:tcPr>
          <w:p>
            <w:pPr>
              <w:spacing w:after="0"/>
              <w:rPr>
                <w:sz w:val="2"/>
                <w:szCs w:val="2"/>
                <w:color w:val="auto"/>
              </w:rPr>
            </w:pPr>
          </w:p>
        </w:tc>
        <w:tc>
          <w:tcPr>
            <w:tcW w:w="1080" w:type="dxa"/>
            <w:vAlign w:val="bottom"/>
          </w:tcPr>
          <w:p>
            <w:pPr>
              <w:spacing w:after="0"/>
              <w:rPr>
                <w:sz w:val="2"/>
                <w:szCs w:val="2"/>
                <w:color w:val="auto"/>
              </w:rPr>
            </w:pPr>
          </w:p>
        </w:tc>
        <w:tc>
          <w:tcPr>
            <w:tcW w:w="184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April 30, 2026 and 2025</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1840" w:type="dxa"/>
            <w:vAlign w:val="bottom"/>
            <w:gridSpan w:val="5"/>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33</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0" w:type="dxa"/>
            <w:vAlign w:val="bottom"/>
            <w:gridSpan w:val="4"/>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292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3.</w:t>
            </w: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54</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20" w:type="dxa"/>
            <w:vAlign w:val="bottom"/>
            <w:gridSpan w:val="3"/>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362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4.</w:t>
            </w: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56</w:t>
            </w: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500" w:type="dxa"/>
            <w:vAlign w:val="bottom"/>
            <w:tcBorders>
              <w:top w:val="single" w:sz="8" w:color="0000FF"/>
            </w:tcBorders>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1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460" w:type="dxa"/>
            <w:vAlign w:val="bottom"/>
            <w:tcBorders>
              <w:top w:val="single" w:sz="8" w:color="0000FF"/>
            </w:tcBorders>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180" w:type="dxa"/>
            <w:vAlign w:val="bottom"/>
            <w:gridSpan w:val="14"/>
          </w:tcPr>
          <w:p>
            <w:pPr>
              <w:jc w:val="center"/>
              <w:ind w:right="3620"/>
              <w:spacing w:after="0"/>
              <w:rPr>
                <w:sz w:val="20"/>
                <w:szCs w:val="20"/>
                <w:color w:val="auto"/>
              </w:rPr>
            </w:pPr>
            <w:r>
              <w:rPr>
                <w:rFonts w:ascii="Times New Roman" w:cs="Times New Roman" w:eastAsia="Times New Roman" w:hAnsi="Times New Roman"/>
                <w:sz w:val="18"/>
                <w:szCs w:val="18"/>
                <w:color w:val="auto"/>
                <w:w w:val="97"/>
              </w:rPr>
              <w:t>PART II. OTHER INFORMATION</w:t>
            </w:r>
          </w:p>
        </w:tc>
        <w:tc>
          <w:tcPr>
            <w:tcW w:w="48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318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560" w:type="dxa"/>
            <w:vAlign w:val="bottom"/>
            <w:tcBorders>
              <w:top w:val="single" w:sz="8" w:color="auto"/>
            </w:tcBorders>
            <w:gridSpan w:val="6"/>
          </w:tcPr>
          <w:p>
            <w:pPr>
              <w:spacing w:after="0"/>
              <w:rPr>
                <w:sz w:val="18"/>
                <w:szCs w:val="18"/>
                <w:color w:val="auto"/>
              </w:rPr>
            </w:pPr>
          </w:p>
        </w:tc>
        <w:tc>
          <w:tcPr>
            <w:tcW w:w="3620" w:type="dxa"/>
            <w:vAlign w:val="bottom"/>
            <w:gridSpan w:val="8"/>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57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6"/>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6"/>
              </w:rPr>
              <w:t>Item 1A.</w:t>
            </w:r>
          </w:p>
        </w:tc>
        <w:tc>
          <w:tcPr>
            <w:tcW w:w="46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8460" w:type="dxa"/>
            <w:vAlign w:val="bottom"/>
            <w:gridSpan w:val="20"/>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0000FF"/>
                <w:w w:val="88"/>
              </w:rPr>
              <w:t>57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5020" w:type="dxa"/>
            <w:vAlign w:val="bottom"/>
            <w:gridSpan w:val="1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0" w:type="dxa"/>
            <w:vAlign w:val="bottom"/>
          </w:tcPr>
          <w:p>
            <w:pPr>
              <w:spacing w:after="0"/>
              <w:rPr>
                <w:sz w:val="18"/>
                <w:szCs w:val="18"/>
                <w:color w:val="auto"/>
              </w:rPr>
            </w:pPr>
          </w:p>
        </w:tc>
        <w:tc>
          <w:tcPr>
            <w:tcW w:w="6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460" w:type="dxa"/>
            <w:vAlign w:val="bottom"/>
          </w:tcPr>
          <w:p>
            <w:pPr>
              <w:spacing w:after="0"/>
              <w:rPr>
                <w:sz w:val="18"/>
                <w:szCs w:val="18"/>
                <w:color w:val="auto"/>
              </w:rPr>
            </w:pP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10"/>
        </w:trPr>
        <w:tc>
          <w:tcPr>
            <w:tcW w:w="60" w:type="dxa"/>
            <w:vAlign w:val="bottom"/>
          </w:tcPr>
          <w:p>
            <w:pPr>
              <w:spacing w:after="0"/>
              <w:rPr>
                <w:sz w:val="18"/>
                <w:szCs w:val="18"/>
                <w:color w:val="auto"/>
              </w:rPr>
            </w:pPr>
          </w:p>
        </w:tc>
        <w:tc>
          <w:tcPr>
            <w:tcW w:w="11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5.</w:t>
            </w: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20" w:type="dxa"/>
            <w:vAlign w:val="bottom"/>
            <w:gridSpan w:val="12"/>
          </w:tcPr>
          <w:p>
            <w:pPr>
              <w:spacing w:after="0"/>
              <w:rPr>
                <w:sz w:val="18"/>
                <w:szCs w:val="18"/>
                <w:color w:val="auto"/>
              </w:rPr>
            </w:pP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8060" w:type="dxa"/>
            <w:vAlign w:val="bottom"/>
            <w:gridSpan w:val="1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11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6.</w:t>
            </w: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0" w:type="dxa"/>
            <w:vAlign w:val="bottom"/>
            <w:gridSpan w:val="21"/>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3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2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0000FF"/>
              </w:rPr>
              <w:t>99</w:t>
            </w:r>
          </w:p>
        </w:tc>
        <w:tc>
          <w:tcPr>
            <w:tcW w:w="0" w:type="dxa"/>
            <w:vAlign w:val="bottom"/>
          </w:tcPr>
          <w:p>
            <w:pPr>
              <w:spacing w:after="0"/>
              <w:rPr>
                <w:sz w:val="1"/>
                <w:szCs w:val="1"/>
                <w:color w:val="auto"/>
              </w:rPr>
            </w:pPr>
          </w:p>
        </w:tc>
      </w:tr>
      <w:tr>
        <w:trPr>
          <w:trHeight w:val="1769"/>
        </w:trPr>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 w:name="page3"/>
    <w:bookmarkEnd w:id="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16" w:lineRule="exact"/>
        <w:rPr>
          <w:sz w:val="20"/>
          <w:szCs w:val="20"/>
          <w:color w:val="auto"/>
        </w:rPr>
      </w:pPr>
    </w:p>
    <w:p>
      <w:pPr>
        <w:jc w:val="both"/>
        <w:ind w:firstLine="648"/>
        <w:spacing w:after="0" w:line="309"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but not limited to statements regarding our financial outlook and market positioning. These forward-looking statements are made as of the date they were first issued and were based on current expectations, estimates, forecasts and projections as well as the beliefs and assumptions of management. The words "believe," "may," "will," "potentially," "estimate," "continue," "anticipate," "intend," "could," "would," "project," "plan," "expect," and similar expressions that convey uncertainty of future events or outcomes are intended to identify forward-looking statements.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forward-looking statements include, but are not limited to, statements concerning the following:</w:t>
      </w:r>
    </w:p>
    <w:p>
      <w:pPr>
        <w:spacing w:after="0" w:line="266"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macroeconomic and geopolitical events, developments and conditions on our business;</w:t>
      </w:r>
    </w:p>
    <w:p>
      <w:pPr>
        <w:spacing w:after="0" w:line="279" w:lineRule="exact"/>
        <w:rPr>
          <w:rFonts w:ascii="Times New Roman" w:cs="Times New Roman" w:eastAsia="Times New Roman" w:hAnsi="Times New Roman"/>
          <w:sz w:val="18"/>
          <w:szCs w:val="18"/>
          <w:color w:val="auto"/>
        </w:rPr>
      </w:pPr>
    </w:p>
    <w:p>
      <w:pPr>
        <w:jc w:val="both"/>
        <w:ind w:left="980" w:hanging="324"/>
        <w:spacing w:after="0" w:line="313"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cloud platform;</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ability to compete effectively;</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and availability of our cloud platform;</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expand our customer base, including by attracting new customers;</w:t>
      </w:r>
    </w:p>
    <w:p>
      <w:pPr>
        <w:spacing w:after="0" w:line="265" w:lineRule="exact"/>
        <w:rPr>
          <w:rFonts w:ascii="Times New Roman" w:cs="Times New Roman" w:eastAsia="Times New Roman" w:hAnsi="Times New Roman"/>
          <w:sz w:val="18"/>
          <w:szCs w:val="18"/>
          <w:color w:val="auto"/>
        </w:rPr>
      </w:pPr>
    </w:p>
    <w:p>
      <w:pPr>
        <w:ind w:left="980" w:hanging="324"/>
        <w:spacing w:after="0" w:line="329"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solutions or enhancements to our existing solutions, including artificial intelligence, or AI, and machine learning, or ML, capabilities, and bring them to market in a timely manner;</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new solutions or enhancements to our existing solutions;</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in the markets in which we operate, particularly as a result of AI;</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 and our ability to effectively manage our growth and associated investments;</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about and objectives for future operations;</w:t>
      </w:r>
    </w:p>
    <w:p>
      <w:pPr>
        <w:spacing w:after="0" w:line="265" w:lineRule="exact"/>
        <w:rPr>
          <w:rFonts w:ascii="Times New Roman" w:cs="Times New Roman" w:eastAsia="Times New Roman" w:hAnsi="Times New Roman"/>
          <w:sz w:val="18"/>
          <w:szCs w:val="18"/>
          <w:color w:val="auto"/>
        </w:rPr>
      </w:pPr>
    </w:p>
    <w:p>
      <w:pPr>
        <w:ind w:left="980" w:hanging="324"/>
        <w:spacing w:after="0" w:line="329" w:lineRule="auto"/>
        <w:tabs>
          <w:tab w:leader="none" w:pos="97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about and objectives for future acquisitions, strategic investments, partnerships and alliances and our ability to successfully integrate completed acquisitions;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third parties, including channel partners;</w:t>
      </w:r>
    </w:p>
    <w:p>
      <w:pPr>
        <w:spacing w:after="0" w:line="2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 rights;</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defend litigation brought against us;</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 our existing markets and into new markets;</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sufficiency of cash to meet cash needs for at least the next 12 months and service our outstanding debt;</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3" w:name="page4"/>
    <w:bookmarkEnd w:id="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and ability to raise additional capital in future debt or equity financings;</w:t>
      </w:r>
    </w:p>
    <w:p>
      <w:pPr>
        <w:spacing w:after="0" w:line="265" w:lineRule="exact"/>
        <w:rPr>
          <w:rFonts w:ascii="Times New Roman" w:cs="Times New Roman" w:eastAsia="Times New Roman" w:hAnsi="Times New Roman"/>
          <w:sz w:val="18"/>
          <w:szCs w:val="18"/>
          <w:color w:val="auto"/>
        </w:rPr>
      </w:pPr>
    </w:p>
    <w:p>
      <w:pPr>
        <w:ind w:left="980" w:hanging="324"/>
        <w:spacing w:after="0" w:line="329"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any settlement upon conversion of the 2028 Notes (as defined in Note 10, Convertible Senior Notes, to the unaudited condensed consolidated financial statements included elsewhere in this Quarterly Report on Form 10-Q);</w:t>
      </w:r>
    </w:p>
    <w:p>
      <w:pPr>
        <w:spacing w:after="0" w:line="175" w:lineRule="exact"/>
        <w:rPr>
          <w:rFonts w:ascii="Times New Roman" w:cs="Times New Roman" w:eastAsia="Times New Roman" w:hAnsi="Times New Roman"/>
          <w:sz w:val="18"/>
          <w:szCs w:val="18"/>
          <w:color w:val="auto"/>
        </w:rPr>
      </w:pPr>
    </w:p>
    <w:p>
      <w:pPr>
        <w:ind w:left="980" w:hanging="324"/>
        <w:spacing w:after="0" w:line="329"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and regulations, including tariffs and trade regulations, that currently apply or become applicable to our business both in the United States, or the U.S., and internationally;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beliefs about the impacts of legal developments upon our business;</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attraction and retention of qualified employees and key personnel; and</w:t>
      </w:r>
    </w:p>
    <w:p>
      <w:pPr>
        <w:spacing w:after="0" w:line="26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trading prices of our common stock.</w:t>
      </w:r>
    </w:p>
    <w:p>
      <w:pPr>
        <w:spacing w:after="0" w:line="279" w:lineRule="exact"/>
        <w:rPr>
          <w:sz w:val="20"/>
          <w:szCs w:val="20"/>
          <w:color w:val="auto"/>
        </w:rPr>
      </w:pPr>
    </w:p>
    <w:p>
      <w:pPr>
        <w:jc w:val="both"/>
        <w:ind w:firstLine="648"/>
        <w:spacing w:after="0" w:line="305"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"Risk Factors" elsewhere in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and you should not place undue reliance on our forward-looking statements.</w:t>
      </w:r>
    </w:p>
    <w:p>
      <w:pPr>
        <w:spacing w:after="0" w:line="184" w:lineRule="exact"/>
        <w:rPr>
          <w:sz w:val="20"/>
          <w:szCs w:val="20"/>
          <w:color w:val="auto"/>
        </w:rPr>
      </w:pPr>
    </w:p>
    <w:p>
      <w:pPr>
        <w:jc w:val="both"/>
        <w:ind w:firstLine="648"/>
        <w:spacing w:after="0" w:line="307"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w:t>
      </w:r>
    </w:p>
    <w:p>
      <w:pPr>
        <w:spacing w:after="0" w:line="196" w:lineRule="exact"/>
        <w:rPr>
          <w:sz w:val="20"/>
          <w:szCs w:val="20"/>
          <w:color w:val="auto"/>
        </w:rPr>
      </w:pPr>
    </w:p>
    <w:p>
      <w:pPr>
        <w:jc w:val="both"/>
        <w:ind w:firstLine="648"/>
        <w:spacing w:after="0" w:line="313" w:lineRule="auto"/>
        <w:rPr>
          <w:sz w:val="20"/>
          <w:szCs w:val="20"/>
          <w:color w:val="auto"/>
        </w:rPr>
      </w:pPr>
      <w:r>
        <w:rPr>
          <w:rFonts w:ascii="Times New Roman" w:cs="Times New Roman" w:eastAsia="Times New Roman" w:hAnsi="Times New Roman"/>
          <w:sz w:val="18"/>
          <w:szCs w:val="18"/>
          <w:color w:val="auto"/>
        </w:rPr>
        <w:t>You should read this Quarterly Report on Form 10-Q in conjunction with the audited consolidated financial statements and related notes in our Annual Report on Form 10-K for the fiscal year ended July 31, 2025 filed with the Securities and Exchange Commission, or the SEC, on September 11,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9"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8"/>
                <w:szCs w:val="18"/>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280" w:type="dxa"/>
            <w:vAlign w:val="bottom"/>
          </w:tcPr>
          <w:p>
            <w:pPr>
              <w:spacing w:after="0"/>
              <w:rPr>
                <w:sz w:val="18"/>
                <w:szCs w:val="18"/>
                <w:color w:val="auto"/>
              </w:rPr>
            </w:pP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0" w:type="dxa"/>
            <w:vAlign w:val="bottom"/>
          </w:tcPr>
          <w:p>
            <w:pPr>
              <w:spacing w:after="0"/>
              <w:rPr>
                <w:sz w:val="1"/>
                <w:szCs w:val="1"/>
                <w:color w:val="auto"/>
              </w:rPr>
            </w:pPr>
          </w:p>
        </w:tc>
      </w:tr>
      <w:tr>
        <w:trPr>
          <w:trHeight w:val="208"/>
        </w:trPr>
        <w:tc>
          <w:tcPr>
            <w:tcW w:w="7540" w:type="dxa"/>
            <w:vAlign w:val="bottom"/>
            <w:vMerge w:val="continue"/>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2,389,023</w:t>
            </w:r>
          </w:p>
        </w:tc>
        <w:tc>
          <w:tcPr>
            <w:tcW w:w="0" w:type="dxa"/>
            <w:vAlign w:val="bottom"/>
          </w:tcPr>
          <w:p>
            <w:pPr>
              <w:spacing w:after="0"/>
              <w:rPr>
                <w:sz w:val="1"/>
                <w:szCs w:val="1"/>
                <w:color w:val="auto"/>
              </w:rPr>
            </w:pP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investments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1,183,386</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730,461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992,181</w:t>
            </w:r>
          </w:p>
        </w:tc>
        <w:tc>
          <w:tcPr>
            <w:tcW w:w="0" w:type="dxa"/>
            <w:vAlign w:val="bottom"/>
          </w:tcPr>
          <w:p>
            <w:pPr>
              <w:spacing w:after="0"/>
              <w:rPr>
                <w:sz w:val="1"/>
                <w:szCs w:val="1"/>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180,819</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187,911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148,881</w:t>
            </w:r>
          </w:p>
        </w:tc>
        <w:tc>
          <w:tcPr>
            <w:tcW w:w="0" w:type="dxa"/>
            <w:vAlign w:val="bottom"/>
          </w:tcPr>
          <w:p>
            <w:pPr>
              <w:spacing w:after="0"/>
              <w:rPr>
                <w:sz w:val="1"/>
                <w:szCs w:val="1"/>
                <w:color w:val="auto"/>
              </w:rPr>
            </w:pPr>
          </w:p>
        </w:tc>
      </w:tr>
      <w:tr>
        <w:trPr>
          <w:trHeight w:val="223"/>
        </w:trPr>
        <w:tc>
          <w:tcPr>
            <w:tcW w:w="75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4,654,185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4,894,290</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543,377</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89,772</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347,820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328,722</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Acquired intangible assets, net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191,735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47,323</w:t>
            </w:r>
          </w:p>
        </w:tc>
        <w:tc>
          <w:tcPr>
            <w:tcW w:w="0" w:type="dxa"/>
            <w:vAlign w:val="bottom"/>
          </w:tcPr>
          <w:p>
            <w:pPr>
              <w:spacing w:after="0"/>
              <w:rPr>
                <w:sz w:val="1"/>
                <w:szCs w:val="1"/>
                <w:color w:val="auto"/>
              </w:rPr>
            </w:pPr>
          </w:p>
        </w:tc>
      </w:tr>
      <w:tr>
        <w:trPr>
          <w:trHeight w:val="229"/>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417,730</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96,982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98,674</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6,419,888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33,874</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46,906</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93,984</w:t>
            </w:r>
          </w:p>
        </w:tc>
        <w:tc>
          <w:tcPr>
            <w:tcW w:w="0" w:type="dxa"/>
            <w:vAlign w:val="bottom"/>
          </w:tcPr>
          <w:p>
            <w:pPr>
              <w:spacing w:after="0"/>
              <w:rPr>
                <w:sz w:val="1"/>
                <w:szCs w:val="1"/>
                <w:color w:val="auto"/>
              </w:rPr>
            </w:pPr>
          </w:p>
        </w:tc>
      </w:tr>
      <w:tr>
        <w:trPr>
          <w:trHeight w:val="230"/>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180,637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181,807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2,054,417</w:t>
            </w:r>
          </w:p>
        </w:tc>
        <w:tc>
          <w:tcPr>
            <w:tcW w:w="0" w:type="dxa"/>
            <w:vAlign w:val="bottom"/>
          </w:tcPr>
          <w:p>
            <w:pPr>
              <w:spacing w:after="0"/>
              <w:rPr>
                <w:sz w:val="1"/>
                <w:szCs w:val="1"/>
                <w:color w:val="auto"/>
              </w:rPr>
            </w:pPr>
          </w:p>
        </w:tc>
      </w:tr>
      <w:tr>
        <w:trPr>
          <w:trHeight w:val="230"/>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66,751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52,497</w:t>
            </w:r>
          </w:p>
        </w:tc>
        <w:tc>
          <w:tcPr>
            <w:tcW w:w="0" w:type="dxa"/>
            <w:vAlign w:val="bottom"/>
          </w:tcPr>
          <w:p>
            <w:pPr>
              <w:spacing w:after="0"/>
              <w:rPr>
                <w:sz w:val="1"/>
                <w:szCs w:val="1"/>
                <w:color w:val="auto"/>
              </w:rPr>
            </w:pPr>
          </w:p>
        </w:tc>
      </w:tr>
      <w:tr>
        <w:trPr>
          <w:trHeight w:val="223"/>
        </w:trPr>
        <w:tc>
          <w:tcPr>
            <w:tcW w:w="75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2,500,942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2,429,611</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Convertible senior notes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1,700,727</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380,063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413,609</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43,352</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33,316</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4,731,484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4,620,615</w:t>
            </w:r>
          </w:p>
        </w:tc>
        <w:tc>
          <w:tcPr>
            <w:tcW w:w="0" w:type="dxa"/>
            <w:vAlign w:val="bottom"/>
          </w:tcPr>
          <w:p>
            <w:pPr>
              <w:spacing w:after="0"/>
              <w:rPr>
                <w:sz w:val="1"/>
                <w:szCs w:val="1"/>
                <w:color w:val="auto"/>
              </w:rPr>
            </w:pPr>
          </w:p>
        </w:tc>
      </w:tr>
      <w:tr>
        <w:trPr>
          <w:trHeight w:val="21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12)</w:t>
            </w:r>
          </w:p>
        </w:tc>
        <w:tc>
          <w:tcPr>
            <w:tcW w:w="2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5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Preferred stock; $0.001 par value; 200,000 shares authorized as of April 30, 2026 and July 31, 2025; no</w:t>
            </w:r>
          </w:p>
        </w:tc>
        <w:tc>
          <w:tcPr>
            <w:tcW w:w="26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shares issued and outstanding as of April 30, 2026 and July 31, 2025</w:t>
            </w:r>
          </w:p>
        </w:tc>
        <w:tc>
          <w:tcPr>
            <w:tcW w:w="26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5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stock; $0.001 par value; 1,000,000 shares authorized as of April 30, 2026 and July 31, 2025;</w:t>
            </w:r>
          </w:p>
        </w:tc>
        <w:tc>
          <w:tcPr>
            <w:tcW w:w="2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754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161,710 and 158,301 shares issued and outstanding as of April 30, 2026 and July 31, 2025,</w:t>
            </w:r>
          </w:p>
        </w:tc>
        <w:tc>
          <w:tcPr>
            <w:tcW w:w="2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2,980,591</w:t>
            </w: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0" w:type="dxa"/>
            <w:vAlign w:val="bottom"/>
          </w:tcPr>
          <w:p>
            <w:pPr>
              <w:spacing w:after="0"/>
              <w:rPr>
                <w:sz w:val="1"/>
                <w:szCs w:val="1"/>
                <w:color w:val="auto"/>
              </w:rPr>
            </w:pPr>
          </w:p>
        </w:tc>
      </w:tr>
      <w:tr>
        <w:trPr>
          <w:trHeight w:val="23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(1,189,558)</w:t>
            </w:r>
          </w:p>
        </w:tc>
        <w:tc>
          <w:tcPr>
            <w:tcW w:w="0" w:type="dxa"/>
            <w:vAlign w:val="bottom"/>
          </w:tcPr>
          <w:p>
            <w:pPr>
              <w:spacing w:after="0"/>
              <w:rPr>
                <w:sz w:val="1"/>
                <w:szCs w:val="1"/>
                <w:color w:val="auto"/>
              </w:rPr>
            </w:pPr>
          </w:p>
        </w:tc>
      </w:tr>
      <w:tr>
        <w:trPr>
          <w:trHeight w:val="223"/>
        </w:trPr>
        <w:tc>
          <w:tcPr>
            <w:tcW w:w="75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2,366,595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1,799,273</w:t>
            </w:r>
          </w:p>
        </w:tc>
        <w:tc>
          <w:tcPr>
            <w:tcW w:w="0" w:type="dxa"/>
            <w:vAlign w:val="bottom"/>
          </w:tcPr>
          <w:p>
            <w:pPr>
              <w:spacing w:after="0"/>
              <w:rPr>
                <w:sz w:val="1"/>
                <w:szCs w:val="1"/>
                <w:color w:val="auto"/>
              </w:rPr>
            </w:pPr>
          </w:p>
        </w:tc>
      </w:tr>
      <w:tr>
        <w:trPr>
          <w:trHeight w:val="248"/>
        </w:trPr>
        <w:tc>
          <w:tcPr>
            <w:tcW w:w="75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7,098,079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6,419,888</w:t>
            </w:r>
          </w:p>
        </w:tc>
        <w:tc>
          <w:tcPr>
            <w:tcW w:w="0" w:type="dxa"/>
            <w:vAlign w:val="bottom"/>
          </w:tcPr>
          <w:p>
            <w:pPr>
              <w:spacing w:after="0"/>
              <w:rPr>
                <w:sz w:val="1"/>
                <w:szCs w:val="1"/>
                <w:color w:val="auto"/>
              </w:rPr>
            </w:pP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5" w:name="page6"/>
    <w:bookmarkEnd w:id="5"/>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ind w:left="4120"/>
        <w:spacing w:after="0" w:line="215" w:lineRule="auto"/>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8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60" w:type="dxa"/>
            <w:vAlign w:val="bottom"/>
          </w:tcPr>
          <w:p>
            <w:pPr>
              <w:spacing w:after="0"/>
              <w:rPr>
                <w:sz w:val="18"/>
                <w:szCs w:val="18"/>
                <w:color w:val="auto"/>
              </w:rPr>
            </w:pPr>
          </w:p>
        </w:tc>
        <w:tc>
          <w:tcPr>
            <w:tcW w:w="288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45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678,034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1,953,889</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192,652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568,665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445,938</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657,823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522,056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1,885,673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1,507,951</w:t>
            </w:r>
          </w:p>
        </w:tc>
        <w:tc>
          <w:tcPr>
            <w:tcW w:w="0" w:type="dxa"/>
            <w:vAlign w:val="bottom"/>
          </w:tcPr>
          <w:p>
            <w:pPr>
              <w:spacing w:after="0"/>
              <w:rPr>
                <w:sz w:val="1"/>
                <w:szCs w:val="1"/>
                <w:color w:val="auto"/>
              </w:rPr>
            </w:pPr>
          </w:p>
        </w:tc>
      </w:tr>
      <w:tr>
        <w:trPr>
          <w:trHeight w:val="210"/>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371,941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928,564</w:t>
            </w:r>
          </w:p>
        </w:tc>
        <w:tc>
          <w:tcPr>
            <w:tcW w:w="0" w:type="dxa"/>
            <w:vAlign w:val="bottom"/>
          </w:tcPr>
          <w:p>
            <w:pPr>
              <w:spacing w:after="0"/>
              <w:rPr>
                <w:sz w:val="1"/>
                <w:szCs w:val="1"/>
                <w:color w:val="auto"/>
              </w:rPr>
            </w:pP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232,281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180,726</w:t>
            </w:r>
          </w:p>
        </w:tc>
        <w:tc>
          <w:tcPr>
            <w:tcW w:w="0" w:type="dxa"/>
            <w:vAlign w:val="bottom"/>
          </w:tcPr>
          <w:p>
            <w:pPr>
              <w:spacing w:after="0"/>
              <w:rPr>
                <w:sz w:val="1"/>
                <w:szCs w:val="1"/>
                <w:color w:val="auto"/>
              </w:rPr>
            </w:pPr>
          </w:p>
        </w:tc>
      </w:tr>
      <w:tr>
        <w:trPr>
          <w:trHeight w:val="223"/>
        </w:trPr>
        <w:tc>
          <w:tcPr>
            <w:tcW w:w="4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687,463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547,467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2,003,448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1,604,169</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(96,218)</w:t>
            </w:r>
          </w:p>
        </w:tc>
        <w:tc>
          <w:tcPr>
            <w:tcW w:w="0" w:type="dxa"/>
            <w:vAlign w:val="bottom"/>
          </w:tcPr>
          <w:p>
            <w:pPr>
              <w:spacing w:after="0"/>
              <w:rPr>
                <w:sz w:val="1"/>
                <w:szCs w:val="1"/>
                <w:color w:val="auto"/>
              </w:rPr>
            </w:pPr>
          </w:p>
        </w:tc>
      </w:tr>
      <w:tr>
        <w:trPr>
          <w:trHeight w:val="229"/>
        </w:trPr>
        <w:tc>
          <w:tcPr>
            <w:tcW w:w="45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92,189</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0" w:type="dxa"/>
            <w:vAlign w:val="bottom"/>
          </w:tcPr>
          <w:p>
            <w:pPr>
              <w:spacing w:after="0"/>
              <w:rPr>
                <w:sz w:val="1"/>
                <w:szCs w:val="1"/>
                <w:color w:val="auto"/>
              </w:rPr>
            </w:pPr>
          </w:p>
        </w:tc>
      </w:tr>
      <w:tr>
        <w:trPr>
          <w:trHeight w:val="248"/>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5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(0.09)</w:t>
            </w:r>
          </w:p>
        </w:tc>
        <w:tc>
          <w:tcPr>
            <w:tcW w:w="8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17"/>
                <w:szCs w:val="17"/>
                <w:color w:val="auto"/>
              </w:rPr>
            </w:pPr>
          </w:p>
        </w:tc>
        <w:tc>
          <w:tcPr>
            <w:tcW w:w="36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(0.16)</w:t>
            </w:r>
          </w:p>
        </w:tc>
        <w:tc>
          <w:tcPr>
            <w:tcW w:w="0" w:type="dxa"/>
            <w:vAlign w:val="bottom"/>
          </w:tcPr>
          <w:p>
            <w:pPr>
              <w:spacing w:after="0"/>
              <w:rPr>
                <w:sz w:val="1"/>
                <w:szCs w:val="1"/>
                <w:color w:val="auto"/>
              </w:rPr>
            </w:pPr>
          </w:p>
        </w:tc>
      </w:tr>
      <w:tr>
        <w:trPr>
          <w:trHeight w:val="20"/>
        </w:trPr>
        <w:tc>
          <w:tcPr>
            <w:tcW w:w="45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52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computing net loss per</w:t>
            </w:r>
          </w:p>
        </w:tc>
        <w:tc>
          <w:tcPr>
            <w:tcW w:w="36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160,741</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154,909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159,662</w:t>
            </w: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153,699</w:t>
            </w:r>
          </w:p>
        </w:tc>
        <w:tc>
          <w:tcPr>
            <w:tcW w:w="0" w:type="dxa"/>
            <w:vAlign w:val="bottom"/>
          </w:tcPr>
          <w:p>
            <w:pPr>
              <w:spacing w:after="0"/>
              <w:rPr>
                <w:sz w:val="1"/>
                <w:szCs w:val="1"/>
                <w:color w:val="auto"/>
              </w:rPr>
            </w:pPr>
          </w:p>
        </w:tc>
      </w:tr>
      <w:tr>
        <w:trPr>
          <w:trHeight w:val="236"/>
        </w:trPr>
        <w:tc>
          <w:tcPr>
            <w:tcW w:w="45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 basic and diluted</w:t>
            </w:r>
          </w:p>
        </w:tc>
        <w:tc>
          <w:tcPr>
            <w:tcW w:w="36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8" w:right="359" w:bottom="1440" w:gutter="0" w:footer="0" w:header="0"/>
        </w:sectPr>
      </w:pPr>
    </w:p>
    <w:bookmarkStart w:id="6" w:name="page7"/>
    <w:bookmarkEnd w:id="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2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4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25"/>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23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Available-for-sale securities: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175"/>
        </w:trPr>
        <w:tc>
          <w:tcPr>
            <w:tcW w:w="442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Change in net unrealized gains (losses) on available-for-</w:t>
            </w:r>
          </w:p>
        </w:tc>
        <w:tc>
          <w:tcPr>
            <w:tcW w:w="10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43"/>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sale securities</w:t>
            </w:r>
          </w:p>
        </w:tc>
        <w:tc>
          <w:tcPr>
            <w:tcW w:w="10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(11,029)</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3,515</w:t>
            </w:r>
          </w:p>
        </w:tc>
      </w:tr>
      <w:tr>
        <w:trPr>
          <w:trHeight w:val="229"/>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 hedging instruments:</w:t>
            </w: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 in net unrealized gains (losses)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12,588</w:t>
            </w:r>
          </w:p>
        </w:tc>
      </w:tr>
      <w:tr>
        <w:trPr>
          <w:trHeight w:val="229"/>
        </w:trPr>
        <w:tc>
          <w:tcPr>
            <w:tcW w:w="44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realized (gains) losses reclassified into net loss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4,928</w:t>
            </w:r>
          </w:p>
        </w:tc>
      </w:tr>
      <w:tr>
        <w:trPr>
          <w:trHeight w:val="223"/>
        </w:trPr>
        <w:tc>
          <w:tcPr>
            <w:tcW w:w="44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change on cash flow hedges</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36,075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17,516</w:t>
            </w:r>
          </w:p>
        </w:tc>
      </w:tr>
      <w:tr>
        <w:trPr>
          <w:trHeight w:val="223"/>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(22,905)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38,546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21,031</w:t>
            </w:r>
          </w:p>
        </w:tc>
      </w:tr>
      <w:tr>
        <w:trPr>
          <w:trHeight w:val="248"/>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(36,788)</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3"/>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34,421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(2,869)</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 w:name="page8"/>
    <w:bookmarkEnd w:id="7"/>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Stockholders' equity activity for the three months ended April 30, 2026:</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restart"/>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940" w:type="dxa"/>
            <w:vAlign w:val="bottom"/>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31, 2026</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160,570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3,416,085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(1,235,485)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2,195,948</w:t>
            </w:r>
          </w:p>
        </w:tc>
        <w:tc>
          <w:tcPr>
            <w:tcW w:w="0" w:type="dxa"/>
            <w:vAlign w:val="bottom"/>
          </w:tcPr>
          <w:p>
            <w:pPr>
              <w:spacing w:after="0"/>
              <w:rPr>
                <w:sz w:val="1"/>
                <w:szCs w:val="1"/>
                <w:color w:val="auto"/>
              </w:rPr>
            </w:pPr>
          </w:p>
        </w:tc>
      </w:tr>
      <w:tr>
        <w:trPr>
          <w:trHeight w:val="184"/>
        </w:trPr>
        <w:tc>
          <w:tcPr>
            <w:tcW w:w="39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of restricted stock units and performance</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9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acquisitions subject to future vesting</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207,435</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(22,905)</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0" w:type="dxa"/>
            <w:vAlign w:val="bottom"/>
          </w:tcPr>
          <w:p>
            <w:pPr>
              <w:spacing w:after="0"/>
              <w:rPr>
                <w:sz w:val="1"/>
                <w:szCs w:val="1"/>
                <w:color w:val="auto"/>
              </w:rPr>
            </w:pPr>
          </w:p>
        </w:tc>
      </w:tr>
      <w:tr>
        <w:trPr>
          <w:trHeight w:val="223"/>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2026</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161,710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3,623,519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(1,249,368)</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2,366,595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Stockholders' equity activity for the three months ended April 30, 2025:</w:t>
      </w: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8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9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8"/>
                <w:szCs w:val="8"/>
                <w:color w:val="auto"/>
              </w:rPr>
            </w:pPr>
          </w:p>
        </w:tc>
        <w:tc>
          <w:tcPr>
            <w:tcW w:w="142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restart"/>
          </w:tcPr>
          <w:p>
            <w:pPr>
              <w:jc w:val="center"/>
              <w:ind w:right="93"/>
              <w:spacing w:after="0" w:line="162"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94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53"/>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160" w:type="dxa"/>
            <w:vAlign w:val="bottom"/>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31,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154,725</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2,797,350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(1,167,855)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1,607,346</w:t>
            </w:r>
          </w:p>
        </w:tc>
        <w:tc>
          <w:tcPr>
            <w:tcW w:w="0" w:type="dxa"/>
            <w:vAlign w:val="bottom"/>
          </w:tcPr>
          <w:p>
            <w:pPr>
              <w:spacing w:after="0"/>
              <w:rPr>
                <w:sz w:val="1"/>
                <w:szCs w:val="1"/>
                <w:color w:val="auto"/>
              </w:rPr>
            </w:pPr>
          </w:p>
        </w:tc>
      </w:tr>
      <w:tr>
        <w:trPr>
          <w:trHeight w:val="176"/>
        </w:trPr>
        <w:tc>
          <w:tcPr>
            <w:tcW w:w="39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75"/>
        </w:trPr>
        <w:tc>
          <w:tcPr>
            <w:tcW w:w="39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Vesting of restricted stock units and performance</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163,131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38,546</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April 30, 2025</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2,960,521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(1,171,980)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1,804,939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200"/>
          </w:cols>
          <w:pgMar w:left="340" w:top="14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8" w:right="359" w:bottom="1440" w:gutter="0" w:footer="0" w:header="0"/>
          <w:type w:val="continuous"/>
        </w:sectPr>
      </w:pPr>
    </w:p>
    <w:bookmarkStart w:id="8" w:name="page9"/>
    <w:bookmarkEnd w:id="8"/>
    <w:p>
      <w:pPr>
        <w:ind w:left="32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2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Stockholders' equity activity for the nine months ended April 30, 2026:</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940" w:type="dxa"/>
            <w:vAlign w:val="bottom"/>
          </w:tcPr>
          <w:p>
            <w:pPr>
              <w:spacing w:after="0"/>
              <w:rPr>
                <w:sz w:val="18"/>
                <w:szCs w:val="18"/>
                <w:color w:val="auto"/>
              </w:rPr>
            </w:pPr>
          </w:p>
        </w:tc>
        <w:tc>
          <w:tcPr>
            <w:tcW w:w="1820" w:type="dxa"/>
            <w:vAlign w:val="bottom"/>
            <w:gridSpan w:val="5"/>
          </w:tcPr>
          <w:p>
            <w:pPr>
              <w:ind w:lef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60" w:type="dxa"/>
            <w:vAlign w:val="bottom"/>
          </w:tcPr>
          <w:p>
            <w:pPr>
              <w:spacing w:after="0"/>
              <w:rPr>
                <w:sz w:val="18"/>
                <w:szCs w:val="18"/>
                <w:color w:val="auto"/>
              </w:rPr>
            </w:pPr>
          </w:p>
        </w:tc>
        <w:tc>
          <w:tcPr>
            <w:tcW w:w="10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5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vMerge w:val="restart"/>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10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560" w:type="dxa"/>
            <w:vAlign w:val="bottom"/>
            <w:gridSpan w:val="3"/>
            <w:vMerge w:val="continue"/>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940" w:type="dxa"/>
            <w:vAlign w:val="bottom"/>
          </w:tcPr>
          <w:p>
            <w:pPr>
              <w:spacing w:after="0"/>
              <w:rPr>
                <w:sz w:val="14"/>
                <w:szCs w:val="14"/>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60" w:type="dxa"/>
            <w:vAlign w:val="bottom"/>
          </w:tcPr>
          <w:p>
            <w:pPr>
              <w:spacing w:after="0"/>
              <w:rPr>
                <w:sz w:val="14"/>
                <w:szCs w:val="14"/>
                <w:color w:val="auto"/>
              </w:rPr>
            </w:pPr>
          </w:p>
        </w:tc>
        <w:tc>
          <w:tcPr>
            <w:tcW w:w="10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40" w:type="dxa"/>
            <w:vAlign w:val="bottom"/>
          </w:tcPr>
          <w:p>
            <w:pPr>
              <w:spacing w:after="0"/>
              <w:rPr>
                <w:sz w:val="18"/>
                <w:szCs w:val="18"/>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8"/>
                <w:szCs w:val="18"/>
                <w:color w:val="auto"/>
              </w:rPr>
            </w:pPr>
          </w:p>
        </w:tc>
        <w:tc>
          <w:tcPr>
            <w:tcW w:w="114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July 31, 2025</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158,301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2,980,591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(1,189,558)</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1,799,273</w:t>
            </w:r>
          </w:p>
        </w:tc>
        <w:tc>
          <w:tcPr>
            <w:tcW w:w="0" w:type="dxa"/>
            <w:vAlign w:val="bottom"/>
          </w:tcPr>
          <w:p>
            <w:pPr>
              <w:spacing w:after="0"/>
              <w:rPr>
                <w:sz w:val="1"/>
                <w:szCs w:val="1"/>
                <w:color w:val="auto"/>
              </w:rPr>
            </w:pPr>
          </w:p>
        </w:tc>
      </w:tr>
      <w:tr>
        <w:trPr>
          <w:trHeight w:val="184"/>
        </w:trPr>
        <w:tc>
          <w:tcPr>
            <w:tcW w:w="39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under the employee stock</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plan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0" w:type="dxa"/>
            <w:vAlign w:val="bottom"/>
          </w:tcPr>
          <w:p>
            <w:pPr>
              <w:spacing w:after="0"/>
              <w:rPr>
                <w:sz w:val="1"/>
                <w:szCs w:val="1"/>
                <w:color w:val="auto"/>
              </w:rPr>
            </w:pPr>
          </w:p>
        </w:tc>
      </w:tr>
      <w:tr>
        <w:trPr>
          <w:trHeight w:val="184"/>
        </w:trPr>
        <w:tc>
          <w:tcPr>
            <w:tcW w:w="39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Vesting of restricted stock units and performance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common stock in connection with</w:t>
            </w: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acquisitions subject to future vesting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617,441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617,441</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(59,810)</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30, 2026</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3,623,519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(1,249,368)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2,366,595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Stockholders' equity activity for the nine months ended April 30, 2025:</w:t>
      </w:r>
    </w:p>
    <w:p>
      <w:pPr>
        <w:spacing w:after="0" w:line="200" w:lineRule="exact"/>
        <w:rPr>
          <w:sz w:val="20"/>
          <w:szCs w:val="20"/>
          <w:color w:val="auto"/>
        </w:r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3940" w:type="dxa"/>
            <w:vAlign w:val="bottom"/>
          </w:tcPr>
          <w:p>
            <w:pPr>
              <w:spacing w:after="0"/>
              <w:rPr>
                <w:sz w:val="16"/>
                <w:szCs w:val="16"/>
                <w:color w:val="auto"/>
              </w:rPr>
            </w:pPr>
          </w:p>
        </w:tc>
        <w:tc>
          <w:tcPr>
            <w:tcW w:w="1800" w:type="dxa"/>
            <w:vAlign w:val="bottom"/>
            <w:gridSpan w:val="5"/>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2"/>
        </w:trPr>
        <w:tc>
          <w:tcPr>
            <w:tcW w:w="3940" w:type="dxa"/>
            <w:vAlign w:val="bottom"/>
          </w:tcPr>
          <w:p>
            <w:pPr>
              <w:spacing w:after="0"/>
              <w:rPr>
                <w:sz w:val="8"/>
                <w:szCs w:val="8"/>
                <w:color w:val="auto"/>
              </w:rPr>
            </w:pPr>
          </w:p>
        </w:tc>
        <w:tc>
          <w:tcPr>
            <w:tcW w:w="180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gridSpan w:val="2"/>
            <w:vMerge w:val="restart"/>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w w:val="98"/>
              </w:rPr>
              <w:t>Additional</w:t>
            </w:r>
          </w:p>
        </w:tc>
        <w:tc>
          <w:tcPr>
            <w:tcW w:w="140" w:type="dxa"/>
            <w:vAlign w:val="bottom"/>
          </w:tcPr>
          <w:p>
            <w:pPr>
              <w:spacing w:after="0"/>
              <w:rPr>
                <w:sz w:val="8"/>
                <w:szCs w:val="8"/>
                <w:color w:val="auto"/>
              </w:rPr>
            </w:pPr>
          </w:p>
        </w:tc>
        <w:tc>
          <w:tcPr>
            <w:tcW w:w="1420" w:type="dxa"/>
            <w:vAlign w:val="bottom"/>
            <w:gridSpan w:val="2"/>
            <w:vMerge w:val="restart"/>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restart"/>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Borders>
              <w:top w:val="single" w:sz="8" w:color="auto"/>
            </w:tcBorders>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20" w:type="dxa"/>
            <w:vAlign w:val="bottom"/>
            <w:tcBorders>
              <w:top w:val="single" w:sz="8" w:color="auto"/>
            </w:tcBorders>
          </w:tcPr>
          <w:p>
            <w:pPr>
              <w:spacing w:after="0"/>
              <w:rPr>
                <w:sz w:val="3"/>
                <w:szCs w:val="3"/>
                <w:color w:val="auto"/>
              </w:rPr>
            </w:pPr>
          </w:p>
        </w:tc>
        <w:tc>
          <w:tcPr>
            <w:tcW w:w="70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3940" w:type="dxa"/>
            <w:vAlign w:val="bottom"/>
          </w:tcPr>
          <w:p>
            <w:pPr>
              <w:spacing w:after="0"/>
              <w:rPr>
                <w:sz w:val="14"/>
                <w:szCs w:val="14"/>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Paid-In</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52"/>
              <w:spacing w:after="0" w:line="162" w:lineRule="exact"/>
              <w:rPr>
                <w:sz w:val="20"/>
                <w:szCs w:val="20"/>
                <w:color w:val="auto"/>
              </w:rPr>
            </w:pPr>
            <w:r>
              <w:rPr>
                <w:rFonts w:ascii="Times New Roman" w:cs="Times New Roman" w:eastAsia="Times New Roman" w:hAnsi="Times New Roman"/>
                <w:sz w:val="16"/>
                <w:szCs w:val="16"/>
                <w:b w:val="1"/>
                <w:bCs w:val="1"/>
                <w:color w:val="auto"/>
                <w:w w:val="99"/>
              </w:rPr>
              <w:t>Stockholders’</w:t>
            </w:r>
          </w:p>
        </w:tc>
        <w:tc>
          <w:tcPr>
            <w:tcW w:w="0" w:type="dxa"/>
            <w:vAlign w:val="bottom"/>
          </w:tcPr>
          <w:p>
            <w:pPr>
              <w:spacing w:after="0"/>
              <w:rPr>
                <w:sz w:val="1"/>
                <w:szCs w:val="1"/>
                <w:color w:val="auto"/>
              </w:rPr>
            </w:pPr>
          </w:p>
        </w:tc>
      </w:tr>
      <w:tr>
        <w:trPr>
          <w:trHeight w:val="214"/>
        </w:trPr>
        <w:tc>
          <w:tcPr>
            <w:tcW w:w="394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4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Income (Loss)</w:t>
            </w:r>
          </w:p>
        </w:tc>
        <w:tc>
          <w:tcPr>
            <w:tcW w:w="120" w:type="dxa"/>
            <w:vAlign w:val="bottom"/>
          </w:tcPr>
          <w:p>
            <w:pPr>
              <w:spacing w:after="0"/>
              <w:rPr>
                <w:sz w:val="18"/>
                <w:szCs w:val="18"/>
                <w:color w:val="auto"/>
              </w:rPr>
            </w:pPr>
          </w:p>
        </w:tc>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20" w:type="dxa"/>
            <w:vAlign w:val="bottom"/>
          </w:tcPr>
          <w:p>
            <w:pPr>
              <w:spacing w:after="0"/>
              <w:rPr>
                <w:sz w:val="18"/>
                <w:szCs w:val="18"/>
                <w:color w:val="auto"/>
              </w:rPr>
            </w:pPr>
          </w:p>
        </w:tc>
        <w:tc>
          <w:tcPr>
            <w:tcW w:w="1160" w:type="dxa"/>
            <w:vAlign w:val="bottom"/>
          </w:tcPr>
          <w:p>
            <w:pPr>
              <w:jc w:val="center"/>
              <w:ind w:right="52"/>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25"/>
        </w:trPr>
        <w:tc>
          <w:tcPr>
            <w:tcW w:w="3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as of July 31, 2024</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152,490</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2,426,819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(1,148,080)</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1,274,102</w:t>
            </w:r>
          </w:p>
        </w:tc>
        <w:tc>
          <w:tcPr>
            <w:tcW w:w="0" w:type="dxa"/>
            <w:vAlign w:val="bottom"/>
          </w:tcPr>
          <w:p>
            <w:pPr>
              <w:spacing w:after="0"/>
              <w:rPr>
                <w:sz w:val="1"/>
                <w:szCs w:val="1"/>
                <w:color w:val="auto"/>
              </w:rPr>
            </w:pPr>
          </w:p>
        </w:tc>
      </w:tr>
      <w:tr>
        <w:trPr>
          <w:trHeight w:val="184"/>
        </w:trPr>
        <w:tc>
          <w:tcPr>
            <w:tcW w:w="39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upon exercise of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184"/>
        </w:trPr>
        <w:tc>
          <w:tcPr>
            <w:tcW w:w="394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Issuance of common stock under the employee stock</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plan</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0" w:type="dxa"/>
            <w:vAlign w:val="bottom"/>
          </w:tcPr>
          <w:p>
            <w:pPr>
              <w:spacing w:after="0"/>
              <w:rPr>
                <w:sz w:val="1"/>
                <w:szCs w:val="1"/>
                <w:color w:val="auto"/>
              </w:rPr>
            </w:pPr>
          </w:p>
        </w:tc>
      </w:tr>
      <w:tr>
        <w:trPr>
          <w:trHeight w:val="184"/>
        </w:trPr>
        <w:tc>
          <w:tcPr>
            <w:tcW w:w="394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Vesting of restricted stock units and performance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stock awards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507,865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507,865</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21,031</w:t>
            </w: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April 30, 2025</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155,696</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2,960,521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16,242</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(1,171,980)</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1,804,939</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48" w:right="35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9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79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798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c>
          <w:tcPr>
            <w:tcW w:w="0" w:type="dxa"/>
            <w:vAlign w:val="bottom"/>
          </w:tcPr>
          <w:p>
            <w:pPr>
              <w:spacing w:after="0"/>
              <w:rPr>
                <w:sz w:val="1"/>
                <w:szCs w:val="1"/>
                <w:color w:val="auto"/>
              </w:rPr>
            </w:pPr>
          </w:p>
        </w:tc>
      </w:tr>
      <w:tr>
        <w:trPr>
          <w:trHeight w:val="22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cash provided by operating activities:</w:t>
            </w:r>
          </w:p>
        </w:tc>
        <w:tc>
          <w:tcPr>
            <w:tcW w:w="3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74,101</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149,675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121,499</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operating lease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47,896</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610,332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488,696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Accretion of investments purchased at a discount</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Unrealized gains on hedging transactions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(17,841)</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 combinations: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280,042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acquisition costs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(139,986)</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other current and noncurrent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(12,182)</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28,947</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 other current and noncurrent liabilities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(7,033)</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compensation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revenue</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90,011</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(43,969)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(45,194)</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850,369</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721,849</w:t>
            </w:r>
          </w:p>
        </w:tc>
        <w:tc>
          <w:tcPr>
            <w:tcW w:w="0" w:type="dxa"/>
            <w:vAlign w:val="bottom"/>
          </w:tcPr>
          <w:p>
            <w:pPr>
              <w:spacing w:after="0"/>
              <w:rPr>
                <w:sz w:val="1"/>
                <w:szCs w:val="1"/>
                <w:color w:val="auto"/>
              </w:rPr>
            </w:pPr>
          </w:p>
        </w:tc>
      </w:tr>
      <w:tr>
        <w:trPr>
          <w:trHeight w:val="21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(77,467)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(104,206)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(62,871)</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business acquisitions, net of cash acquired</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 of strategic investments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(1,971,715)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(886,636)</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875,893</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(2,281,779)</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(179,440)</w:t>
            </w:r>
          </w:p>
        </w:tc>
        <w:tc>
          <w:tcPr>
            <w:tcW w:w="0" w:type="dxa"/>
            <w:vAlign w:val="bottom"/>
          </w:tcPr>
          <w:p>
            <w:pPr>
              <w:spacing w:after="0"/>
              <w:rPr>
                <w:sz w:val="1"/>
                <w:szCs w:val="1"/>
                <w:color w:val="auto"/>
              </w:rPr>
            </w:pPr>
          </w:p>
        </w:tc>
      </w:tr>
      <w:tr>
        <w:trPr>
          <w:trHeight w:val="209"/>
        </w:trPr>
        <w:tc>
          <w:tcPr>
            <w:tcW w:w="7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upon exercise of stock options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issuance of common stock under the employee stock purchase plan</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22,344</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holdback amounts related to a business acquisition</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9"/>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for issuance costs related to the 2028 Notes</w:t>
            </w:r>
          </w:p>
        </w:tc>
        <w:tc>
          <w:tcPr>
            <w:tcW w:w="3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Purchases of capped calls related to the 2028 Notes</w:t>
            </w:r>
          </w:p>
        </w:tc>
        <w:tc>
          <w:tcPr>
            <w:tcW w:w="3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798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24,499</w:t>
            </w:r>
          </w:p>
        </w:tc>
        <w:tc>
          <w:tcPr>
            <w:tcW w:w="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25,401</w:t>
            </w:r>
          </w:p>
        </w:tc>
        <w:tc>
          <w:tcPr>
            <w:tcW w:w="0" w:type="dxa"/>
            <w:vAlign w:val="bottom"/>
          </w:tcPr>
          <w:p>
            <w:pPr>
              <w:spacing w:after="0"/>
              <w:rPr>
                <w:sz w:val="1"/>
                <w:szCs w:val="1"/>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(1,406,911)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567,810</w:t>
            </w:r>
          </w:p>
        </w:tc>
        <w:tc>
          <w:tcPr>
            <w:tcW w:w="0" w:type="dxa"/>
            <w:vAlign w:val="bottom"/>
          </w:tcPr>
          <w:p>
            <w:pPr>
              <w:spacing w:after="0"/>
              <w:rPr>
                <w:sz w:val="1"/>
                <w:szCs w:val="1"/>
                <w:color w:val="auto"/>
              </w:rPr>
            </w:pPr>
          </w:p>
        </w:tc>
      </w:tr>
      <w:tr>
        <w:trPr>
          <w:trHeight w:val="229"/>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2,389,023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1,423,080</w:t>
            </w:r>
          </w:p>
        </w:tc>
        <w:tc>
          <w:tcPr>
            <w:tcW w:w="0" w:type="dxa"/>
            <w:vAlign w:val="bottom"/>
          </w:tcPr>
          <w:p>
            <w:pPr>
              <w:spacing w:after="0"/>
              <w:rPr>
                <w:sz w:val="1"/>
                <w:szCs w:val="1"/>
                <w:color w:val="auto"/>
              </w:rPr>
            </w:pP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982,112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1,990,890</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98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 net of tax refunds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w:t>
            </w:r>
          </w:p>
        </w:tc>
        <w:tc>
          <w:tcPr>
            <w:tcW w:w="0" w:type="dxa"/>
            <w:vAlign w:val="bottom"/>
          </w:tcPr>
          <w:p>
            <w:pPr>
              <w:spacing w:after="0"/>
              <w:rPr>
                <w:sz w:val="1"/>
                <w:szCs w:val="1"/>
                <w:color w:val="auto"/>
              </w:rPr>
            </w:pPr>
          </w:p>
        </w:tc>
      </w:tr>
      <w:tr>
        <w:trPr>
          <w:trHeight w:val="230"/>
        </w:trPr>
        <w:tc>
          <w:tcPr>
            <w:tcW w:w="79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 expense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Non-Cash Activities</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Operating lease right-of-use assets obtained in exchange for operating lease obligations, net of terminations $</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103,728</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26,042</w:t>
            </w:r>
          </w:p>
        </w:tc>
        <w:tc>
          <w:tcPr>
            <w:tcW w:w="0" w:type="dxa"/>
            <w:vAlign w:val="bottom"/>
          </w:tcPr>
          <w:p>
            <w:pPr>
              <w:spacing w:after="0"/>
              <w:rPr>
                <w:sz w:val="1"/>
                <w:szCs w:val="1"/>
                <w:color w:val="auto"/>
              </w:rPr>
            </w:pPr>
          </w:p>
        </w:tc>
      </w:tr>
      <w:tr>
        <w:trPr>
          <w:trHeight w:val="229"/>
        </w:trPr>
        <w:tc>
          <w:tcPr>
            <w:tcW w:w="79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purchased equipment included in accounts payable and accrued expenses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12,045</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100"/>
          </w:cols>
          <w:pgMar w:left="400" w:top="148" w:right="39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ind w:left="5820"/>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00" w:top="148" w:right="399" w:bottom="1440" w:gutter="0" w:footer="0" w:header="0"/>
          <w:type w:val="continuous"/>
        </w:sectPr>
      </w:pPr>
    </w:p>
    <w:bookmarkStart w:id="10" w:name="page11"/>
    <w:bookmarkEnd w:id="1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ZSCALER, INC.</w:t>
      </w:r>
    </w:p>
    <w:p>
      <w:pPr>
        <w:spacing w:after="0" w:line="212"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Business and Summary of Significant Accounting Policies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29" w:lineRule="exact"/>
        <w:rPr>
          <w:sz w:val="20"/>
          <w:szCs w:val="20"/>
          <w:color w:val="auto"/>
        </w:rPr>
      </w:pPr>
    </w:p>
    <w:p>
      <w:pPr>
        <w:jc w:val="both"/>
        <w:ind w:firstLine="450"/>
        <w:spacing w:after="0" w:line="304" w:lineRule="auto"/>
        <w:rPr>
          <w:sz w:val="20"/>
          <w:szCs w:val="20"/>
          <w:color w:val="auto"/>
        </w:rPr>
      </w:pPr>
      <w:r>
        <w:rPr>
          <w:rFonts w:ascii="Times New Roman" w:cs="Times New Roman" w:eastAsia="Times New Roman" w:hAnsi="Times New Roman"/>
          <w:sz w:val="18"/>
          <w:szCs w:val="18"/>
          <w:color w:val="auto"/>
        </w:rPr>
        <w:t>Zscaler, Inc. ("Zscaler," the "Company," "we," "us," or "our") is a cloud security company that developed a platform incorporating core security functionalities needed to enable fast and secure access to cloud resources based on identity, context and an organization’s policies. Our solution is a purpose-built, multi-tenant, distributed cloud platform that implements Zero Trust principles to securely connect users, devices, applications, workloads and AI agents without relying on traditional network-based security. We deliver our solutions using a software-as-a-service ("SaaS") business model and sell subscriptions to customers to access our cloud platform, together with related support services. Our ever-evolving platform provides our customers with a flexible and scalable approach to better secure their operations, optimize user experience, eliminate complexity, reduce costs and respond to the challenges and opportunities of AI and future new technologies. We were incorporated in Delaware in September 2007 and conduct business worldwide, with presence in North America, South America, Europe and Asia. Our headquarters are in San Jose, California.</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16" w:lineRule="exact"/>
        <w:rPr>
          <w:sz w:val="20"/>
          <w:szCs w:val="20"/>
          <w:color w:val="auto"/>
        </w:rPr>
      </w:pPr>
    </w:p>
    <w:p>
      <w:pPr>
        <w:jc w:val="both"/>
        <w:ind w:firstLine="450"/>
        <w:spacing w:after="0" w:line="321"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conformity with accounting principles generally accepted in the United States ("GAAP") and applicable regulations of the SEC regarding interim financial reporting and include the accounts of the Company and its wholly owned subsidiaries. All intercompany balances and transactions have been eliminated in consolidation.</w:t>
      </w:r>
    </w:p>
    <w:p>
      <w:pPr>
        <w:spacing w:after="0" w:line="114"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Certain information and note disclosures normally included in the financial statements prepared in accordance with GAAP have been condensed or omitted pursuant to the applicable required disclosures and regulations of the SEC. Therefore, these unaudited condensed consolidated financial statements and accompanying notes should be read in conjunction with the Company's audited consolidated financial statements and related notes in its Annual Report on Form 10-K for the fiscal year ended July 31, 2025 (the "Fiscal 2025 Form 10-K"), as filed with the SEC on September 11, 2025.</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Interim Unaudited Condensed Consolidated Financial Statements</w:t>
      </w:r>
    </w:p>
    <w:p>
      <w:pPr>
        <w:spacing w:after="0" w:line="216" w:lineRule="exact"/>
        <w:rPr>
          <w:sz w:val="20"/>
          <w:szCs w:val="20"/>
          <w:color w:val="auto"/>
        </w:rPr>
      </w:pPr>
    </w:p>
    <w:p>
      <w:pPr>
        <w:jc w:val="both"/>
        <w:ind w:firstLine="450"/>
        <w:spacing w:after="0" w:line="302" w:lineRule="auto"/>
        <w:rPr>
          <w:sz w:val="20"/>
          <w:szCs w:val="20"/>
          <w:color w:val="auto"/>
        </w:rPr>
      </w:pPr>
      <w:r>
        <w:rPr>
          <w:rFonts w:ascii="Times New Roman" w:cs="Times New Roman" w:eastAsia="Times New Roman" w:hAnsi="Times New Roman"/>
          <w:sz w:val="18"/>
          <w:szCs w:val="18"/>
          <w:color w:val="auto"/>
        </w:rPr>
        <w:t>The accompanying condensed consolidated balance sheet as of July 31, 2025 was derived from the audited consolidated financial statements as of that date. The accompanying interim unaudited condensed consolidated financial statements, including the condensed consolidated balance sheet as of April 30, 2026, the condensed consolidated statements of operations for the three and nine months ended April 30, 2026 and 2025, the condensed consolidated statements of comprehensive income (loss) for the three and nine months ended April 30, 2026 and 2025, the condensed consolidated statements of stockholders’ equity for the three and nine months ended April 30, 2026 and 2025 and the condensed consolidated statements of cash flows for the nine months ended April 30, 2026 and 2025 are unaudited. The related financial data and the other financial information disclosed in the accompanying notes to these interim unaudited condensed consolidated financial statements are also unaudited. These interim unaudited condensed consolidated financial statements have been prepared on a basis consistent with our annual consolidated financial statements and, in our opinion, include all normal recurring adjustments necessary to state fairly our quarterly results. The results of operations for the three and nine months ended April 30, 2026 are not necessarily indicative of the results to be expected for our fiscal year ending July 31, 2026 or for any other future fiscal year or interim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900"/>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16"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judgments and assumptions that affect the amounts reported and disclosed in the financial statements and accompanying notes. Such estimates include, but are not limited to, the determination of revenue recognition, deferred revenue, deferred contract acquisition costs, capitalized internal-use software, valuation of acquired intangible assets, period of benefit generated from our deferred contract acquisition costs, allowance for doubtful accounts, valuation of common stock options and stock-based awards, useful lives of property and equipment, useful lives of acquired intangible assets, recoverability of goodwill, valuation of deferred tax assets and liabilities, loss contingencies related to litigation, fair value of convertible senior notes and the discount rate used for operating leases. Management determines these estimates and assumptions based on historical experience and on various other assumptions that are believed to be reasonable. Actual results could differ significantly from these estimates, and such differences may be material to the condensed consolidated financial statements.</w:t>
      </w:r>
    </w:p>
    <w:p>
      <w:pPr>
        <w:spacing w:after="0" w:line="130"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Due to uncertainty in the macroeconomic and geopolitical environment, there is ongoing disruption in the global economy and financial markets. We are not aware of any specific event or circumstances that would require an update to our estimates, judgments or assumptions or a revision to the carrying value of our assets or liabilities as of the date of issuance of these condensed consolidated financial statements. These estimates, judgments and assumptions may change in the future, as new events occur or additional information is obtained.</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Our fiscal year ends on July 31. References to fiscal 2026, for example, refer to our fiscal year ending July 31, 2026.</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216"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Our significant accounting policies are described in the Fiscal 2025 Form 10-K. There have been no significant changes to these policies that have had a material impact on the condensed consolidated financial statements and related notes for the three and nine months ended April 30, 2026.</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14"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("FASB") issued Accounting Standard Update ("ASU") No. 2025-06, </w:t>
      </w:r>
      <w:r>
        <w:rPr>
          <w:rFonts w:ascii="Times New Roman" w:cs="Times New Roman" w:eastAsia="Times New Roman" w:hAnsi="Times New Roman"/>
          <w:sz w:val="18"/>
          <w:szCs w:val="18"/>
          <w:i w:val="1"/>
          <w:iCs w:val="1"/>
          <w:color w:val="auto"/>
        </w:rPr>
        <w:t>Intangibles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Goodwill and Other - Internal-Use Software (Subtopic 350-40)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Targeted Improvements to the Accounting for Internal-Use Software. </w:t>
      </w:r>
      <w:r>
        <w:rPr>
          <w:rFonts w:ascii="Times New Roman" w:cs="Times New Roman" w:eastAsia="Times New Roman" w:hAnsi="Times New Roman"/>
          <w:sz w:val="18"/>
          <w:szCs w:val="18"/>
          <w:color w:val="auto"/>
        </w:rPr>
        <w:t>This standard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intended to make targeted improvements to the accounting and application of guidance related to costs incurred to develop software for internal use. This standard is effective for us in the annual and interim periods beginning in the first quarter of fiscal 2029. We are currently evaluating the potential impact of this standard on our consolidated financial statement disclosures.</w:t>
      </w:r>
    </w:p>
    <w:p>
      <w:pPr>
        <w:spacing w:after="0" w:line="126"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 xml:space="preserve">In July 2025, the FASB issued ASU No.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This standard amends guidance on measuring expected credit losses for current accounts receivable and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arising from revenue contracts. The amended guidance requires estimation of credit losses for these short-term assets based on the economic conditions that exist as of the balance sheet date, without forecasting future economic conditions. This standard is effective for us in the annual and interim periods beginning in the first quarter of fiscal 2027. We are currently evaluating the potential impact of this standard on our consolidated financial statement disclosures.</w:t>
      </w:r>
    </w:p>
    <w:p>
      <w:pPr>
        <w:spacing w:after="0" w:line="126" w:lineRule="exact"/>
        <w:rPr>
          <w:sz w:val="20"/>
          <w:szCs w:val="20"/>
          <w:color w:val="auto"/>
        </w:rPr>
      </w:pPr>
    </w:p>
    <w:p>
      <w:pPr>
        <w:jc w:val="both"/>
        <w:ind w:firstLine="450"/>
        <w:spacing w:after="0" w:line="314" w:lineRule="auto"/>
        <w:rPr>
          <w:sz w:val="20"/>
          <w:szCs w:val="20"/>
          <w:color w:val="auto"/>
        </w:rPr>
      </w:pPr>
      <w:r>
        <w:rPr>
          <w:rFonts w:ascii="Times New Roman" w:cs="Times New Roman" w:eastAsia="Times New Roman" w:hAnsi="Times New Roman"/>
          <w:sz w:val="18"/>
          <w:szCs w:val="18"/>
          <w:color w:val="auto"/>
        </w:rPr>
        <w:t xml:space="preserve">In November 2024, the FASB issued ASU No. 2024-03, </w:t>
      </w:r>
      <w:r>
        <w:rPr>
          <w:rFonts w:ascii="Times New Roman" w:cs="Times New Roman" w:eastAsia="Times New Roman" w:hAnsi="Times New Roman"/>
          <w:sz w:val="18"/>
          <w:szCs w:val="18"/>
          <w:i w:val="1"/>
          <w:iCs w:val="1"/>
          <w:color w:val="auto"/>
        </w:rPr>
        <w:t>Income Statement - Reporting Comprehensive Income - 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 (Subtopic 220-40), Disaggregation of Income Statement Expenses</w:t>
      </w:r>
      <w:r>
        <w:rPr>
          <w:rFonts w:ascii="Times New Roman" w:cs="Times New Roman" w:eastAsia="Times New Roman" w:hAnsi="Times New Roman"/>
          <w:sz w:val="18"/>
          <w:szCs w:val="18"/>
          <w:color w:val="auto"/>
        </w:rPr>
        <w:t>. This standard requires disclosures of additional information about specific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 categories in the notes to the financial statements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2" w:name="page13"/>
    <w:bookmarkEnd w:id="1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interim and annual reporting periods. This standard is effective for us in the annual periods beginning in fiscal 2028 and interim periods beginning in the first quarter of fiscal 2029. We are currently evaluating the potential impact of this standard on our consolidated financial statement disclosures.</w:t>
      </w:r>
    </w:p>
    <w:p>
      <w:pPr>
        <w:spacing w:after="0" w:line="108"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which enhances disclosure requirements primarily related to the effective tax rate reconciliation and income taxes paid. This standard is effective for us in annual periods beginning in fiscal 2026. We intend to adopt this standard on a prospective basis and have determined that while it will result in additional disclosure, the adoption will have no impact on our consolidated financial statements.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Revenue Recognition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16" w:lineRule="exact"/>
        <w:rPr>
          <w:sz w:val="20"/>
          <w:szCs w:val="20"/>
          <w:color w:val="auto"/>
        </w:rPr>
      </w:pPr>
    </w:p>
    <w:p>
      <w:pPr>
        <w:jc w:val="both"/>
        <w:ind w:right="20" w:firstLine="450"/>
        <w:spacing w:after="0" w:line="344" w:lineRule="auto"/>
        <w:rPr>
          <w:sz w:val="20"/>
          <w:szCs w:val="20"/>
          <w:color w:val="auto"/>
        </w:rPr>
      </w:pPr>
      <w:r>
        <w:rPr>
          <w:rFonts w:ascii="Times New Roman" w:cs="Times New Roman" w:eastAsia="Times New Roman" w:hAnsi="Times New Roman"/>
          <w:sz w:val="18"/>
          <w:szCs w:val="18"/>
          <w:color w:val="auto"/>
        </w:rPr>
        <w:t>Subscription and support revenue is recognized over time and accounted for approximately 98% of our revenue for each of the three and nine months ended April 30, 2026 and 2025, respectively.</w:t>
      </w:r>
    </w:p>
    <w:p>
      <w:pPr>
        <w:spacing w:after="0" w:line="9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revenue by region based on the shipping address of customers who have contracted to use our cloud platform:</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36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960" w:type="dxa"/>
            <w:vAlign w:val="bottom"/>
            <w:tcBorders>
              <w:bottom w:val="single" w:sz="8" w:color="auto"/>
            </w:tcBorders>
          </w:tcPr>
          <w:p>
            <w:pPr>
              <w:spacing w:after="0"/>
              <w:rPr>
                <w:sz w:val="18"/>
                <w:szCs w:val="18"/>
                <w:color w:val="auto"/>
              </w:rPr>
            </w:pPr>
          </w:p>
        </w:tc>
      </w:tr>
      <w:tr>
        <w:trPr>
          <w:trHeight w:val="211"/>
        </w:trPr>
        <w:tc>
          <w:tcPr>
            <w:tcW w:w="1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9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8"/>
                <w:szCs w:val="18"/>
                <w:color w:val="auto"/>
              </w:rPr>
            </w:pPr>
          </w:p>
        </w:tc>
      </w:tr>
      <w:tr>
        <w:trPr>
          <w:trHeight w:val="209"/>
        </w:trPr>
        <w:tc>
          <w:tcPr>
            <w:tcW w:w="17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w w:val="99"/>
              </w:rPr>
              <w:t>% Revenue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 Revenue</w:t>
            </w:r>
          </w:p>
        </w:tc>
      </w:tr>
      <w:tr>
        <w:trPr>
          <w:trHeight w:val="215"/>
        </w:trPr>
        <w:tc>
          <w:tcPr>
            <w:tcW w:w="1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00" w:type="dxa"/>
            <w:vAlign w:val="bottom"/>
            <w:gridSpan w:val="9"/>
          </w:tcPr>
          <w:p>
            <w:pPr>
              <w:ind w:left="800"/>
              <w:spacing w:after="0"/>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1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452,617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1,311,906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990,694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175"/>
        </w:trPr>
        <w:tc>
          <w:tcPr>
            <w:tcW w:w="17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Europe, Middle East</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43"/>
        </w:trPr>
        <w:tc>
          <w:tcPr>
            <w:tcW w:w="1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Africa</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236,364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r>
      <w:tr>
        <w:trPr>
          <w:trHeight w:val="229"/>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132,072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378,730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30"/>
        </w:trPr>
        <w:tc>
          <w:tcPr>
            <w:tcW w:w="1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29,422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24,666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71,641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8"/>
        </w:trPr>
        <w:tc>
          <w:tcPr>
            <w:tcW w:w="1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the revenue from contracts by type of customer:</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7"/>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w w:val="99"/>
              </w:rPr>
              <w:t>Three Months Ended April 30,</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960" w:type="dxa"/>
            <w:vAlign w:val="bottom"/>
            <w:tcBorders>
              <w:bottom w:val="single" w:sz="8" w:color="auto"/>
            </w:tcBorders>
          </w:tcPr>
          <w:p>
            <w:pPr>
              <w:spacing w:after="0"/>
              <w:rPr>
                <w:sz w:val="18"/>
                <w:szCs w:val="18"/>
                <w:color w:val="auto"/>
              </w:rPr>
            </w:pPr>
          </w:p>
        </w:tc>
      </w:tr>
      <w:tr>
        <w:trPr>
          <w:trHeight w:val="211"/>
        </w:trPr>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960" w:type="dxa"/>
            <w:vAlign w:val="bottom"/>
            <w:tcBorders>
              <w:bottom w:val="single" w:sz="8" w:color="auto"/>
            </w:tcBorders>
          </w:tcPr>
          <w:p>
            <w:pPr>
              <w:spacing w:after="0"/>
              <w:rPr>
                <w:sz w:val="18"/>
                <w:szCs w:val="18"/>
                <w:color w:val="auto"/>
              </w:rPr>
            </w:pPr>
          </w:p>
        </w:tc>
      </w:tr>
      <w:tr>
        <w:trPr>
          <w:trHeight w:val="210"/>
        </w:trPr>
        <w:tc>
          <w:tcPr>
            <w:tcW w:w="16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 Revenue</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 Revenue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 Revenue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w w:val="99"/>
              </w:rPr>
              <w:t>% Revenue</w:t>
            </w:r>
          </w:p>
        </w:tc>
      </w:tr>
      <w:tr>
        <w:trPr>
          <w:trHeight w:val="215"/>
        </w:trPr>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9"/>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(in thousands, except for percentage data)</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1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718,853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2,073,322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1,729,238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30"/>
        </w:trPr>
        <w:tc>
          <w:tcPr>
            <w:tcW w:w="1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Direct customers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131,622</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381,016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224,651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48"/>
        </w:trPr>
        <w:tc>
          <w:tcPr>
            <w:tcW w:w="16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850,475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16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283"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No single customer accounted for 10% or more of the total revenue during the periods presented. The following table summarizes the concentration of 10% or more of the total balance of accounts receivable,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3" w:name="page14"/>
    <w:bookmarkEnd w:id="1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April 30, 2026</w:t>
            </w: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26"/>
        </w:trPr>
        <w:tc>
          <w:tcPr>
            <w:tcW w:w="7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Channel partner A</w:t>
            </w:r>
          </w:p>
        </w:tc>
        <w:tc>
          <w:tcPr>
            <w:tcW w:w="1680" w:type="dxa"/>
            <w:vAlign w:val="bottom"/>
            <w:tcBorders>
              <w:top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rPr>
              <w:t>12%</w:t>
            </w: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w:t>
      </w:r>
    </w:p>
    <w:p>
      <w:pPr>
        <w:spacing w:after="0" w:line="270" w:lineRule="exact"/>
        <w:rPr>
          <w:sz w:val="20"/>
          <w:szCs w:val="20"/>
          <w:color w:val="auto"/>
        </w:rPr>
      </w:pPr>
    </w:p>
    <w:p>
      <w:pPr>
        <w:jc w:val="both"/>
        <w:ind w:firstLine="450"/>
        <w:spacing w:after="0" w:line="328" w:lineRule="auto"/>
        <w:rPr>
          <w:sz w:val="20"/>
          <w:szCs w:val="20"/>
          <w:color w:val="auto"/>
        </w:rPr>
      </w:pPr>
      <w:r>
        <w:rPr>
          <w:rFonts w:ascii="Times New Roman" w:cs="Times New Roman" w:eastAsia="Times New Roman" w:hAnsi="Times New Roman"/>
          <w:sz w:val="18"/>
          <w:szCs w:val="18"/>
          <w:color w:val="auto"/>
        </w:rPr>
        <w:t>Contract liabilities consist of deferred revenue and include payments received in advance of performance under the contract. Such amounts are recognized as revenue over the contractual period. Deferred revenue, including current and noncurrent balances as of April 30, 2026 and July 31, 2025 was $2,477.2 million and $2,468.0 million, respectively. In the nine months ended April 30, 2026 and 2025, we recognized revenue of $1,776.5 million and $1,432.1 million, respectively, that was included in the corresponding contract liability balance at the beginning of these periods.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Remaining Performance Obligations</w:t>
      </w:r>
    </w:p>
    <w:p>
      <w:pPr>
        <w:spacing w:after="0" w:line="229"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The typical subscription and support term is one to three years. Most of our subscription and support contracts are non-cancelable over the contractual term. However, customers typically have the right to terminate their contracts for cause, if we fail to perform. As of April 30, 2026, the aggregate amount of the transaction price allocated to remaining performance obligations was $6,459.3 million. We expect to recognize 46% of the transaction price over the next 12 months and 91% of the transaction price over the next three years, with the remainder recognized thereafter.</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Costs to Obtain and Fulfill a Contract</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capitalize sales commission and associated payroll taxes paid to sales personnel that are incremental to the acquisition of customer contracts.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costs are recorded as deferred contract acquisition costs in the condensed consolidated balance sheets.</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activity of the deferred contract acquisition costs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5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80" w:type="dxa"/>
            <w:vAlign w:val="bottom"/>
            <w:gridSpan w:val="7"/>
          </w:tcPr>
          <w:p>
            <w:pPr>
              <w:ind w:left="5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7"/>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519,304</w:t>
            </w:r>
          </w:p>
        </w:tc>
        <w:tc>
          <w:tcPr>
            <w:tcW w:w="100" w:type="dxa"/>
            <w:vAlign w:val="bottom"/>
            <w:shd w:val="clear" w:color="auto" w:fill="CCEEFF"/>
          </w:tcPr>
          <w:p>
            <w:pPr>
              <w:spacing w:after="0"/>
              <w:rPr>
                <w:sz w:val="22"/>
                <w:szCs w:val="22"/>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440,365</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center"/>
              <w:ind w:left="454"/>
              <w:spacing w:after="0"/>
              <w:rPr>
                <w:sz w:val="20"/>
                <w:szCs w:val="20"/>
                <w:color w:val="auto"/>
              </w:rPr>
            </w:pPr>
            <w:r>
              <w:rPr>
                <w:rFonts w:ascii="Times New Roman" w:cs="Times New Roman" w:eastAsia="Times New Roman" w:hAnsi="Times New Roman"/>
                <w:sz w:val="18"/>
                <w:szCs w:val="18"/>
                <w:color w:val="auto"/>
                <w:w w:val="99"/>
              </w:rPr>
              <w:t>509,541</w:t>
            </w: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445,398</w:t>
            </w:r>
          </w:p>
        </w:tc>
      </w:tr>
      <w:tr>
        <w:trPr>
          <w:trHeight w:val="229"/>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of contract acquisition costs</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jc w:val="center"/>
              <w:ind w:left="454"/>
              <w:spacing w:after="0"/>
              <w:rPr>
                <w:sz w:val="20"/>
                <w:szCs w:val="20"/>
                <w:color w:val="auto"/>
              </w:rPr>
            </w:pPr>
            <w:r>
              <w:rPr>
                <w:rFonts w:ascii="Times New Roman" w:cs="Times New Roman" w:eastAsia="Times New Roman" w:hAnsi="Times New Roman"/>
                <w:sz w:val="18"/>
                <w:szCs w:val="18"/>
                <w:color w:val="auto"/>
                <w:w w:val="99"/>
              </w:rPr>
              <w:t>184,660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center"/>
              <w:ind w:left="392"/>
              <w:spacing w:after="0"/>
              <w:rPr>
                <w:sz w:val="20"/>
                <w:szCs w:val="20"/>
                <w:color w:val="auto"/>
              </w:rPr>
            </w:pPr>
            <w:r>
              <w:rPr>
                <w:rFonts w:ascii="Times New Roman" w:cs="Times New Roman" w:eastAsia="Times New Roman" w:hAnsi="Times New Roman"/>
                <w:sz w:val="18"/>
                <w:szCs w:val="18"/>
                <w:color w:val="auto"/>
                <w:w w:val="99"/>
              </w:rPr>
              <w:t>139,986</w:t>
            </w: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(52,042)</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(42,308)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center"/>
              <w:ind w:left="414"/>
              <w:spacing w:after="0"/>
              <w:rPr>
                <w:sz w:val="20"/>
                <w:szCs w:val="20"/>
                <w:color w:val="auto"/>
              </w:rPr>
            </w:pPr>
            <w:r>
              <w:rPr>
                <w:rFonts w:ascii="Times New Roman" w:cs="Times New Roman" w:eastAsia="Times New Roman" w:hAnsi="Times New Roman"/>
                <w:sz w:val="18"/>
                <w:szCs w:val="18"/>
                <w:color w:val="auto"/>
                <w:w w:val="99"/>
              </w:rPr>
              <w:t>(149,675)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center"/>
              <w:ind w:left="372"/>
              <w:spacing w:after="0"/>
              <w:rPr>
                <w:sz w:val="20"/>
                <w:szCs w:val="20"/>
                <w:color w:val="auto"/>
              </w:rPr>
            </w:pPr>
            <w:r>
              <w:rPr>
                <w:rFonts w:ascii="Times New Roman" w:cs="Times New Roman" w:eastAsia="Times New Roman" w:hAnsi="Times New Roman"/>
                <w:sz w:val="18"/>
                <w:szCs w:val="18"/>
                <w:color w:val="auto"/>
              </w:rPr>
              <w:t>(121,499)</w:t>
            </w:r>
          </w:p>
        </w:tc>
      </w:tr>
      <w:tr>
        <w:trPr>
          <w:trHeight w:val="22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544,526</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463,885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center"/>
              <w:ind w:left="454"/>
              <w:spacing w:after="0"/>
              <w:rPr>
                <w:sz w:val="20"/>
                <w:szCs w:val="20"/>
                <w:color w:val="auto"/>
              </w:rPr>
            </w:pPr>
            <w:r>
              <w:rPr>
                <w:rFonts w:ascii="Times New Roman" w:cs="Times New Roman" w:eastAsia="Times New Roman" w:hAnsi="Times New Roman"/>
                <w:sz w:val="18"/>
                <w:szCs w:val="18"/>
                <w:color w:val="auto"/>
                <w:w w:val="99"/>
              </w:rPr>
              <w:t>544,526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463,885</w:t>
            </w:r>
          </w:p>
        </w:tc>
      </w:tr>
      <w:tr>
        <w:trPr>
          <w:trHeight w:val="21"/>
        </w:trPr>
        <w:tc>
          <w:tcPr>
            <w:tcW w:w="50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93"/>
        </w:trPr>
        <w:tc>
          <w:tcPr>
            <w:tcW w:w="7200" w:type="dxa"/>
            <w:vAlign w:val="bottom"/>
            <w:gridSpan w:val="5"/>
          </w:tcPr>
          <w:p>
            <w:pPr>
              <w:ind w:left="460"/>
              <w:spacing w:after="0"/>
              <w:rPr>
                <w:sz w:val="20"/>
                <w:szCs w:val="20"/>
                <w:color w:val="auto"/>
              </w:rPr>
            </w:pPr>
            <w:r>
              <w:rPr>
                <w:rFonts w:ascii="Times New Roman" w:cs="Times New Roman" w:eastAsia="Times New Roman" w:hAnsi="Times New Roman"/>
                <w:sz w:val="18"/>
                <w:szCs w:val="18"/>
                <w:color w:val="auto"/>
              </w:rPr>
              <w:t>The outstanding balance of the deferred contract acquisition costs consisted of the following:</w:t>
            </w: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15"/>
        </w:trPr>
        <w:tc>
          <w:tcPr>
            <w:tcW w:w="5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April 30, 2026</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6"/>
        </w:trPr>
        <w:tc>
          <w:tcPr>
            <w:tcW w:w="5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40" w:type="dxa"/>
            <w:vAlign w:val="bottom"/>
            <w:gridSpan w:val="6"/>
          </w:tcPr>
          <w:p>
            <w:pPr>
              <w:jc w:val="right"/>
              <w:ind w:right="101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current</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196,706</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180,819</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contract acquisition costs, noncurrent</w:t>
            </w:r>
          </w:p>
        </w:tc>
        <w:tc>
          <w:tcPr>
            <w:tcW w:w="300" w:type="dxa"/>
            <w:vAlign w:val="bottom"/>
            <w:tcBorders>
              <w:bottom w:val="single" w:sz="8" w:color="CCEEFF"/>
            </w:tcBorders>
          </w:tcPr>
          <w:p>
            <w:pPr>
              <w:spacing w:after="0"/>
              <w:rPr>
                <w:sz w:val="19"/>
                <w:szCs w:val="19"/>
                <w:color w:val="auto"/>
              </w:rPr>
            </w:pPr>
          </w:p>
        </w:tc>
        <w:tc>
          <w:tcPr>
            <w:tcW w:w="12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347,820</w:t>
            </w:r>
          </w:p>
        </w:tc>
        <w:tc>
          <w:tcPr>
            <w:tcW w:w="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18"/>
                <w:szCs w:val="18"/>
                <w:color w:val="auto"/>
                <w:w w:val="99"/>
              </w:rPr>
              <w:t>328,722</w:t>
            </w:r>
          </w:p>
        </w:tc>
      </w:tr>
      <w:tr>
        <w:trPr>
          <w:trHeight w:val="248"/>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contract acquisition costs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544,526</w:t>
            </w: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center"/>
              <w:ind w:left="392"/>
              <w:spacing w:after="0"/>
              <w:rPr>
                <w:sz w:val="20"/>
                <w:szCs w:val="20"/>
                <w:color w:val="auto"/>
              </w:rPr>
            </w:pPr>
            <w:r>
              <w:rPr>
                <w:rFonts w:ascii="Times New Roman" w:cs="Times New Roman" w:eastAsia="Times New Roman" w:hAnsi="Times New Roman"/>
                <w:sz w:val="18"/>
                <w:szCs w:val="18"/>
                <w:color w:val="auto"/>
                <w:w w:val="99"/>
              </w:rPr>
              <w:t>509,541</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4" w:name="page15"/>
    <w:bookmarkEnd w:id="1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Cash Equivalents and Short-Term Investments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equivalents and short-term investments consisted of the following as of April 30,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22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788,013</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47,729</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835,742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835,742</w:t>
            </w:r>
          </w:p>
        </w:tc>
        <w:tc>
          <w:tcPr>
            <w:tcW w:w="0" w:type="dxa"/>
            <w:vAlign w:val="bottom"/>
          </w:tcPr>
          <w:p>
            <w:pPr>
              <w:spacing w:after="0"/>
              <w:rPr>
                <w:sz w:val="1"/>
                <w:szCs w:val="1"/>
                <w:color w:val="auto"/>
              </w:rPr>
            </w:pPr>
          </w:p>
        </w:tc>
      </w:tr>
      <w:tr>
        <w:trPr>
          <w:trHeight w:val="48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439,900</w:t>
            </w: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1,744,709</w:t>
            </w:r>
          </w:p>
        </w:tc>
        <w:tc>
          <w:tcPr>
            <w:tcW w:w="0" w:type="dxa"/>
            <w:vAlign w:val="bottom"/>
          </w:tcPr>
          <w:p>
            <w:pPr>
              <w:spacing w:after="0"/>
              <w:rPr>
                <w:sz w:val="1"/>
                <w:szCs w:val="1"/>
                <w:color w:val="auto"/>
              </w:rPr>
            </w:pPr>
          </w:p>
        </w:tc>
      </w:tr>
      <w:tr>
        <w:trPr>
          <w:trHeight w:val="229"/>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95,051</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217,635</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2,562,596</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2,556,995</w:t>
            </w:r>
          </w:p>
        </w:tc>
        <w:tc>
          <w:tcPr>
            <w:tcW w:w="0" w:type="dxa"/>
            <w:vAlign w:val="bottom"/>
          </w:tcPr>
          <w:p>
            <w:pPr>
              <w:spacing w:after="0"/>
              <w:rPr>
                <w:sz w:val="1"/>
                <w:szCs w:val="1"/>
                <w:color w:val="auto"/>
              </w:rPr>
            </w:pPr>
          </w:p>
        </w:tc>
      </w:tr>
      <w:tr>
        <w:trPr>
          <w:trHeight w:val="250"/>
        </w:trPr>
        <w:tc>
          <w:tcPr>
            <w:tcW w:w="508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equivalents and short-term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3,398,338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3,392,737</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Cash equivalents and short-term investments consisted of the following as of July 31, 2025:</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24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20" w:type="dxa"/>
            <w:vAlign w:val="bottom"/>
          </w:tcPr>
          <w:p>
            <w:pPr>
              <w:spacing w:after="0"/>
              <w:rPr>
                <w:sz w:val="16"/>
                <w:szCs w:val="16"/>
                <w:color w:val="auto"/>
              </w:rPr>
            </w:pPr>
          </w:p>
        </w:tc>
        <w:tc>
          <w:tcPr>
            <w:tcW w:w="13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Unrealized</w:t>
            </w:r>
          </w:p>
        </w:tc>
        <w:tc>
          <w:tcPr>
            <w:tcW w:w="240" w:type="dxa"/>
            <w:vAlign w:val="bottom"/>
          </w:tcPr>
          <w:p>
            <w:pPr>
              <w:spacing w:after="0"/>
              <w:rPr>
                <w:sz w:val="16"/>
                <w:szCs w:val="16"/>
                <w:color w:val="auto"/>
              </w:rPr>
            </w:pPr>
          </w:p>
        </w:tc>
        <w:tc>
          <w:tcPr>
            <w:tcW w:w="1220" w:type="dxa"/>
            <w:vAlign w:val="bottom"/>
            <w:vMerge w:val="restart"/>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2"/>
        </w:trPr>
        <w:tc>
          <w:tcPr>
            <w:tcW w:w="5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Gains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90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1,403,678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1,403,678</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131,463</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1,543,609</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1,543,609</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230,999</w:t>
            </w:r>
          </w:p>
        </w:tc>
        <w:tc>
          <w:tcPr>
            <w:tcW w:w="0" w:type="dxa"/>
            <w:vAlign w:val="bottom"/>
          </w:tcPr>
          <w:p>
            <w:pPr>
              <w:spacing w:after="0"/>
              <w:rPr>
                <w:sz w:val="1"/>
                <w:szCs w:val="1"/>
                <w:color w:val="auto"/>
              </w:rPr>
            </w:pPr>
          </w:p>
        </w:tc>
      </w:tr>
      <w:tr>
        <w:trPr>
          <w:trHeight w:val="230"/>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74,992</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876,330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877,395</w:t>
            </w: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1,182,529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1,183,386</w:t>
            </w:r>
          </w:p>
        </w:tc>
        <w:tc>
          <w:tcPr>
            <w:tcW w:w="0" w:type="dxa"/>
            <w:vAlign w:val="bottom"/>
          </w:tcPr>
          <w:p>
            <w:pPr>
              <w:spacing w:after="0"/>
              <w:rPr>
                <w:sz w:val="1"/>
                <w:szCs w:val="1"/>
                <w:color w:val="auto"/>
              </w:rPr>
            </w:pPr>
          </w:p>
        </w:tc>
      </w:tr>
      <w:tr>
        <w:trPr>
          <w:trHeight w:val="250"/>
        </w:trPr>
        <w:tc>
          <w:tcPr>
            <w:tcW w:w="50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short-term investments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2,726,138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2,726,995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5" w:name="page16"/>
    <w:bookmarkEnd w:id="1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amortized cost and fair value of our short-term investments based on their stated maturities consisted of the following as of April 30, 2026:</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Amortized</w:t>
            </w:r>
          </w:p>
        </w:tc>
        <w:tc>
          <w:tcPr>
            <w:tcW w:w="160" w:type="dxa"/>
            <w:vAlign w:val="bottom"/>
          </w:tcPr>
          <w:p>
            <w:pPr>
              <w:spacing w:after="0"/>
              <w:rPr>
                <w:sz w:val="16"/>
                <w:szCs w:val="16"/>
                <w:color w:val="auto"/>
              </w:rPr>
            </w:pPr>
          </w:p>
        </w:tc>
        <w:tc>
          <w:tcPr>
            <w:tcW w:w="960" w:type="dxa"/>
            <w:vAlign w:val="bottom"/>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14"/>
        </w:trPr>
        <w:tc>
          <w:tcPr>
            <w:tcW w:w="8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Cost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8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
        </w:trPr>
        <w:tc>
          <w:tcPr>
            <w:tcW w:w="88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518,635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519,471</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Due between one to three years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1,826,297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1,819,889</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1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217,635</w:t>
            </w:r>
          </w:p>
        </w:tc>
        <w:tc>
          <w:tcPr>
            <w:tcW w:w="0" w:type="dxa"/>
            <w:vAlign w:val="bottom"/>
          </w:tcPr>
          <w:p>
            <w:pPr>
              <w:spacing w:after="0"/>
              <w:rPr>
                <w:sz w:val="1"/>
                <w:szCs w:val="1"/>
                <w:color w:val="auto"/>
              </w:rPr>
            </w:pPr>
          </w:p>
        </w:tc>
      </w:tr>
      <w:tr>
        <w:trPr>
          <w:trHeight w:val="223"/>
        </w:trPr>
        <w:tc>
          <w:tcPr>
            <w:tcW w:w="8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2,562,596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2,556,995</w:t>
            </w:r>
          </w:p>
        </w:tc>
        <w:tc>
          <w:tcPr>
            <w:tcW w:w="0" w:type="dxa"/>
            <w:vAlign w:val="bottom"/>
          </w:tcPr>
          <w:p>
            <w:pPr>
              <w:spacing w:after="0"/>
              <w:rPr>
                <w:sz w:val="1"/>
                <w:szCs w:val="1"/>
                <w:color w:val="auto"/>
              </w:rPr>
            </w:pPr>
          </w:p>
        </w:tc>
      </w:tr>
      <w:tr>
        <w:trPr>
          <w:trHeight w:val="21"/>
        </w:trPr>
        <w:tc>
          <w:tcPr>
            <w:tcW w:w="8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Short-term investments that were in continuous unrealized loss position as of April 30, 2026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4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80" w:type="dxa"/>
            <w:vAlign w:val="bottom"/>
          </w:tcPr>
          <w:p>
            <w:pPr>
              <w:spacing w:after="0"/>
              <w:rPr>
                <w:sz w:val="18"/>
                <w:szCs w:val="18"/>
                <w:color w:val="auto"/>
              </w:rPr>
            </w:pPr>
          </w:p>
        </w:tc>
      </w:tr>
      <w:tr>
        <w:trPr>
          <w:trHeight w:val="158"/>
        </w:trPr>
        <w:tc>
          <w:tcPr>
            <w:tcW w:w="394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15"/>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
        </w:trPr>
        <w:tc>
          <w:tcPr>
            <w:tcW w:w="3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275,179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w:t>
            </w: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1,220,650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229"/>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Asset-backed securities</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1,714,506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1,714,506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(7,327)</w:t>
            </w:r>
          </w:p>
        </w:tc>
      </w:tr>
      <w:tr>
        <w:trPr>
          <w:trHeight w:val="21"/>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Short-term investments that were in continuous unrealized loss position as of July 31, 2025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Less than 12 Months</w:t>
            </w:r>
          </w:p>
        </w:tc>
        <w:tc>
          <w:tcPr>
            <w:tcW w:w="220" w:type="dxa"/>
            <w:vAlign w:val="bottom"/>
          </w:tcPr>
          <w:p>
            <w:pPr>
              <w:spacing w:after="0"/>
              <w:rPr>
                <w:sz w:val="18"/>
                <w:szCs w:val="18"/>
                <w:color w:val="auto"/>
              </w:rPr>
            </w:pPr>
          </w:p>
        </w:tc>
        <w:tc>
          <w:tcPr>
            <w:tcW w:w="2240" w:type="dxa"/>
            <w:vAlign w:val="bottom"/>
            <w:gridSpan w:val="5"/>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Greater than 12 Months</w:t>
            </w:r>
          </w:p>
        </w:tc>
        <w:tc>
          <w:tcPr>
            <w:tcW w:w="2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960" w:type="dxa"/>
            <w:vAlign w:val="bottom"/>
          </w:tcPr>
          <w:p>
            <w:pPr>
              <w:spacing w:after="0"/>
              <w:rPr>
                <w:sz w:val="18"/>
                <w:szCs w:val="18"/>
                <w:color w:val="auto"/>
              </w:rPr>
            </w:pPr>
          </w:p>
        </w:tc>
      </w:tr>
      <w:tr>
        <w:trPr>
          <w:trHeight w:val="158"/>
        </w:trPr>
        <w:tc>
          <w:tcPr>
            <w:tcW w:w="40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20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2"/>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Fair</w:t>
            </w: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93"/>
              <w:spacing w:after="0" w:line="158" w:lineRule="exact"/>
              <w:rPr>
                <w:sz w:val="20"/>
                <w:szCs w:val="20"/>
                <w:color w:val="auto"/>
              </w:rPr>
            </w:pPr>
            <w:r>
              <w:rPr>
                <w:rFonts w:ascii="Times New Roman" w:cs="Times New Roman" w:eastAsia="Times New Roman" w:hAnsi="Times New Roman"/>
                <w:sz w:val="16"/>
                <w:szCs w:val="16"/>
                <w:b w:val="1"/>
                <w:bCs w:val="1"/>
                <w:color w:val="auto"/>
              </w:rPr>
              <w:t>Unrealized</w:t>
            </w:r>
          </w:p>
        </w:tc>
      </w:tr>
      <w:tr>
        <w:trPr>
          <w:trHeight w:val="214"/>
        </w:trPr>
        <w:tc>
          <w:tcPr>
            <w:tcW w:w="4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Losses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Losses</w:t>
            </w:r>
          </w:p>
        </w:tc>
      </w:tr>
      <w:tr>
        <w:trPr>
          <w:trHeight w:val="215"/>
        </w:trPr>
        <w:tc>
          <w:tcPr>
            <w:tcW w:w="4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
        </w:trPr>
        <w:tc>
          <w:tcPr>
            <w:tcW w:w="4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securities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0"/>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r>
      <w:tr>
        <w:trPr>
          <w:trHeight w:val="223"/>
        </w:trPr>
        <w:tc>
          <w:tcPr>
            <w:tcW w:w="40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553,333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553,333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(1,037)</w:t>
            </w:r>
          </w:p>
        </w:tc>
      </w:tr>
      <w:tr>
        <w:trPr>
          <w:trHeight w:val="20"/>
        </w:trPr>
        <w:tc>
          <w:tcPr>
            <w:tcW w:w="4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03" w:lineRule="auto"/>
        <w:rPr>
          <w:sz w:val="20"/>
          <w:szCs w:val="20"/>
          <w:color w:val="auto"/>
        </w:rPr>
      </w:pPr>
      <w:r>
        <w:rPr>
          <w:rFonts w:ascii="Times New Roman" w:cs="Times New Roman" w:eastAsia="Times New Roman" w:hAnsi="Times New Roman"/>
          <w:sz w:val="18"/>
          <w:szCs w:val="18"/>
          <w:color w:val="auto"/>
        </w:rPr>
        <w:t>We review the individual securities that have unrealized losses in our short-term investment portfolio on a regular basis. We evaluate, among other criteria, whether we have the intention to sell any of these investments and whether it is more likely than not that we will be required to sell any of them before recovery of the amortized cost basis. Neither of these criteria were met in any period presented. We additionally evaluate whether the decline in fair value of the corporate debt securities below their amortized cost basis is related to credit losses or other factors. Based on this evaluation, we determined that unrealized losses of the above securities were primarily attributable to changes in interest rates and non-credit related factors. Accordingly, we determined that an allowance for credit losses was unnecessary for our short-term investments as of April 30, 2026 and July 31, 2025.</w:t>
      </w:r>
    </w:p>
    <w:p>
      <w:pPr>
        <w:spacing w:after="0" w:line="147" w:lineRule="exact"/>
        <w:rPr>
          <w:sz w:val="20"/>
          <w:szCs w:val="20"/>
          <w:color w:val="auto"/>
        </w:rPr>
      </w:pPr>
    </w:p>
    <w:p>
      <w:pPr>
        <w:jc w:val="both"/>
        <w:ind w:right="20" w:firstLine="450"/>
        <w:spacing w:after="0" w:line="329" w:lineRule="auto"/>
        <w:rPr>
          <w:sz w:val="20"/>
          <w:szCs w:val="20"/>
          <w:color w:val="auto"/>
        </w:rPr>
      </w:pPr>
      <w:r>
        <w:rPr>
          <w:rFonts w:ascii="Times New Roman" w:cs="Times New Roman" w:eastAsia="Times New Roman" w:hAnsi="Times New Roman"/>
          <w:sz w:val="18"/>
          <w:szCs w:val="18"/>
          <w:color w:val="auto"/>
        </w:rPr>
        <w:t>As of April 30, 2026 and July 31, 2025, we recorded $26.6 million and $17.9 million, respectively, of accrued interest receivable within prepaid expenses and other current assets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6" w:name="page17"/>
    <w:bookmarkEnd w:id="1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Strategic Investments</w:t>
      </w:r>
    </w:p>
    <w:p>
      <w:pPr>
        <w:spacing w:after="0" w:line="216"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strategic investments consist primarily of non-marketable equity securities of privately held companies, which do not have a readily determinable fair value. As of April 30, 2026 and July 31, 2025, the carrying amount of our strategic investments was $14.2 million and $10.6 million, respectively, and is included within other noncurrent assets in the condensed consolidated balance sheets. There were no material events or circumstances impacting their carrying amounts during the periods presented.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0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We measure our financial assets and liabilities at fair value at each reporting period using a fair value hierarchy, which requires us to maximize the use of observable inputs and minimize the use of unobservable inputs when measuring fair value. A financial instrument’s classification within the fair value hierarchy is based upon the lowest level of input that is significant to the fair value measurement.</w:t>
      </w:r>
    </w:p>
    <w:p>
      <w:pPr>
        <w:spacing w:after="0" w:line="135" w:lineRule="exact"/>
        <w:rPr>
          <w:sz w:val="20"/>
          <w:szCs w:val="20"/>
          <w:color w:val="auto"/>
        </w:rPr>
      </w:pPr>
    </w:p>
    <w:p>
      <w:pPr>
        <w:jc w:val="both"/>
        <w:ind w:firstLine="450"/>
        <w:spacing w:after="0" w:line="303" w:lineRule="auto"/>
        <w:rPr>
          <w:sz w:val="20"/>
          <w:szCs w:val="20"/>
          <w:color w:val="auto"/>
        </w:rPr>
      </w:pPr>
      <w:r>
        <w:rPr>
          <w:rFonts w:ascii="Times New Roman" w:cs="Times New Roman" w:eastAsia="Times New Roman" w:hAnsi="Times New Roman"/>
          <w:sz w:val="18"/>
          <w:szCs w:val="18"/>
          <w:color w:val="auto"/>
        </w:rPr>
        <w:t>Our money market funds are classified within Level I due to the highly liquid nature of these assets and have quoted prices in active markets. Our investments in U.S. treasury securities, U.S. government agency securities, Non-U.S. government securities, certificates of deposit, corporate debt securities, asset-backed securities, as well as assets and liabilities arising from our foreign currency forward contracts and interest rate swap contracts, are classified within Level II. The fair value of our Level II financial assets and liabilities is determined by using inputs based on non-binding market consensus prices that are primarily corroborated by observable market data or quoted market prices for similar instruments, for substantially the full term of the financial assets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Assets and liabilities that are measured at fair value on a recurring basis consisted of the following as of April 30,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320" w:type="dxa"/>
            <w:vAlign w:val="bottom"/>
          </w:tcPr>
          <w:p>
            <w:pPr>
              <w:spacing w:after="0"/>
              <w:rPr>
                <w:sz w:val="18"/>
                <w:szCs w:val="18"/>
                <w:color w:val="auto"/>
              </w:rPr>
            </w:pPr>
          </w:p>
        </w:tc>
        <w:tc>
          <w:tcPr>
            <w:tcW w:w="124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80" w:type="dxa"/>
            <w:vAlign w:val="bottom"/>
          </w:tcPr>
          <w:p>
            <w:pPr>
              <w:spacing w:after="0"/>
              <w:rPr>
                <w:sz w:val="18"/>
                <w:szCs w:val="18"/>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0" w:type="dxa"/>
            <w:vAlign w:val="bottom"/>
          </w:tcPr>
          <w:p>
            <w:pPr>
              <w:spacing w:after="0"/>
              <w:rPr>
                <w:sz w:val="1"/>
                <w:szCs w:val="1"/>
                <w:color w:val="auto"/>
              </w:rPr>
            </w:pPr>
          </w:p>
        </w:tc>
      </w:tr>
      <w:tr>
        <w:trPr>
          <w:trHeight w:val="158"/>
        </w:trPr>
        <w:tc>
          <w:tcPr>
            <w:tcW w:w="49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center"/>
              <w:ind w:right="73"/>
              <w:spacing w:after="0" w:line="158" w:lineRule="exact"/>
              <w:rPr>
                <w:sz w:val="20"/>
                <w:szCs w:val="20"/>
                <w:color w:val="auto"/>
              </w:rPr>
            </w:pPr>
            <w:r>
              <w:rPr>
                <w:rFonts w:ascii="Times New Roman" w:cs="Times New Roman" w:eastAsia="Times New Roman" w:hAnsi="Times New Roman"/>
                <w:sz w:val="16"/>
                <w:szCs w:val="16"/>
                <w:b w:val="1"/>
                <w:bCs w:val="1"/>
                <w:color w:val="auto"/>
                <w:w w:val="99"/>
              </w:rPr>
              <w:t>Quoted Prices</w:t>
            </w:r>
          </w:p>
        </w:tc>
        <w:tc>
          <w:tcPr>
            <w:tcW w:w="12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center"/>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 Active</w:t>
            </w:r>
          </w:p>
        </w:tc>
        <w:tc>
          <w:tcPr>
            <w:tcW w:w="320" w:type="dxa"/>
            <w:vAlign w:val="bottom"/>
          </w:tcPr>
          <w:p>
            <w:pPr>
              <w:spacing w:after="0"/>
              <w:rPr>
                <w:sz w:val="14"/>
                <w:szCs w:val="14"/>
                <w:color w:val="auto"/>
              </w:rPr>
            </w:pPr>
          </w:p>
        </w:tc>
        <w:tc>
          <w:tcPr>
            <w:tcW w:w="1240" w:type="dxa"/>
            <w:vAlign w:val="bottom"/>
            <w:gridSpan w:val="2"/>
          </w:tcPr>
          <w:p>
            <w:pPr>
              <w:jc w:val="center"/>
              <w:ind w:right="4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restart"/>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Markets for</w:t>
            </w:r>
          </w:p>
        </w:tc>
        <w:tc>
          <w:tcPr>
            <w:tcW w:w="320" w:type="dxa"/>
            <w:vAlign w:val="bottom"/>
          </w:tcPr>
          <w:p>
            <w:pPr>
              <w:spacing w:after="0"/>
              <w:rPr>
                <w:sz w:val="14"/>
                <w:szCs w:val="14"/>
                <w:color w:val="auto"/>
              </w:rPr>
            </w:pPr>
          </w:p>
        </w:tc>
        <w:tc>
          <w:tcPr>
            <w:tcW w:w="1240" w:type="dxa"/>
            <w:vAlign w:val="bottom"/>
            <w:gridSpan w:val="2"/>
          </w:tcPr>
          <w:p>
            <w:pPr>
              <w:jc w:val="center"/>
              <w:ind w:right="44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80" w:type="dxa"/>
            <w:vAlign w:val="bottom"/>
          </w:tcPr>
          <w:p>
            <w:pPr>
              <w:spacing w:after="0"/>
              <w:rPr>
                <w:sz w:val="14"/>
                <w:szCs w:val="14"/>
                <w:color w:val="auto"/>
              </w:rPr>
            </w:pPr>
          </w:p>
        </w:tc>
        <w:tc>
          <w:tcPr>
            <w:tcW w:w="128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Unobservable</w:t>
            </w:r>
          </w:p>
        </w:tc>
        <w:tc>
          <w:tcPr>
            <w:tcW w:w="0" w:type="dxa"/>
            <w:vAlign w:val="bottom"/>
          </w:tcPr>
          <w:p>
            <w:pPr>
              <w:spacing w:after="0"/>
              <w:rPr>
                <w:sz w:val="1"/>
                <w:szCs w:val="1"/>
                <w:color w:val="auto"/>
              </w:rPr>
            </w:pPr>
          </w:p>
        </w:tc>
      </w:tr>
      <w:tr>
        <w:trPr>
          <w:trHeight w:val="212"/>
        </w:trPr>
        <w:tc>
          <w:tcPr>
            <w:tcW w:w="49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232"/>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67"/>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835,742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788,013</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66"/>
        </w:trPr>
        <w:tc>
          <w:tcPr>
            <w:tcW w:w="4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439,900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1,744,709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Asset-backed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Non-U.S. government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496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cash equivalents and short-term investments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3,392,737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788,013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2,604,724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Designated derivative instruments: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assets-current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assets-noncurrent </w:t>
            </w:r>
            <w:r>
              <w:rPr>
                <w:rFonts w:ascii="Times New Roman" w:cs="Times New Roman" w:eastAsia="Times New Roman" w:hAnsi="Times New Roman"/>
                <w:sz w:val="23"/>
                <w:szCs w:val="23"/>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liabilities-current </w:t>
            </w:r>
            <w:r>
              <w:rPr>
                <w:rFonts w:ascii="Times New Roman" w:cs="Times New Roman" w:eastAsia="Times New Roman" w:hAnsi="Times New Roman"/>
                <w:sz w:val="23"/>
                <w:szCs w:val="23"/>
                <w:color w:val="auto"/>
                <w:vertAlign w:val="superscript"/>
              </w:rPr>
              <w:t>(3)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liabilities-noncurrent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contracts liabilities-current </w:t>
            </w:r>
            <w:r>
              <w:rPr>
                <w:rFonts w:ascii="Times New Roman" w:cs="Times New Roman" w:eastAsia="Times New Roman" w:hAnsi="Times New Roman"/>
                <w:sz w:val="23"/>
                <w:szCs w:val="23"/>
                <w:color w:val="auto"/>
                <w:vertAlign w:val="superscript"/>
              </w:rPr>
              <w:t>(3)</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Interest rate contracts liabilities-noncurrent </w:t>
            </w:r>
            <w:r>
              <w:rPr>
                <w:rFonts w:ascii="Times New Roman" w:cs="Times New Roman" w:eastAsia="Times New Roman" w:hAnsi="Times New Roman"/>
                <w:sz w:val="23"/>
                <w:szCs w:val="23"/>
                <w:color w:val="auto"/>
                <w:vertAlign w:val="superscript"/>
              </w:rPr>
              <w:t>(4)</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49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Non-designated derivative instruments: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assets-current </w:t>
            </w:r>
            <w:r>
              <w:rPr>
                <w:rFonts w:ascii="Times New Roman" w:cs="Times New Roman" w:eastAsia="Times New Roman" w:hAnsi="Times New Roman"/>
                <w:sz w:val="23"/>
                <w:szCs w:val="23"/>
                <w:color w:val="auto"/>
                <w:vertAlign w:val="superscript"/>
              </w:rPr>
              <w:t>(1)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liabilities-current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58" w:lineRule="exact"/>
        <w:rPr>
          <w:sz w:val="20"/>
          <w:szCs w:val="20"/>
          <w:color w:val="auto"/>
        </w:rPr>
      </w:pPr>
    </w:p>
    <w:p>
      <w:pPr>
        <w:ind w:left="500" w:hanging="168"/>
        <w:spacing w:after="0"/>
        <w:tabs>
          <w:tab w:leader="none" w:pos="5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prepaid expenses and other current assets in the condensed consolidated balance sheets.</w:t>
      </w:r>
    </w:p>
    <w:p>
      <w:pPr>
        <w:spacing w:after="0" w:line="42" w:lineRule="exact"/>
        <w:rPr>
          <w:rFonts w:ascii="Times New Roman" w:cs="Times New Roman" w:eastAsia="Times New Roman" w:hAnsi="Times New Roman"/>
          <w:sz w:val="21"/>
          <w:szCs w:val="21"/>
          <w:color w:val="auto"/>
          <w:vertAlign w:val="superscript"/>
        </w:rPr>
      </w:pPr>
    </w:p>
    <w:p>
      <w:pPr>
        <w:ind w:left="500" w:hanging="168"/>
        <w:spacing w:after="0" w:line="213" w:lineRule="auto"/>
        <w:tabs>
          <w:tab w:leader="none" w:pos="5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other noncurrent assets in the condensed consolidated balance sheets.</w:t>
      </w:r>
    </w:p>
    <w:p>
      <w:pPr>
        <w:spacing w:after="0" w:line="42" w:lineRule="exact"/>
        <w:rPr>
          <w:rFonts w:ascii="Times New Roman" w:cs="Times New Roman" w:eastAsia="Times New Roman" w:hAnsi="Times New Roman"/>
          <w:sz w:val="21"/>
          <w:szCs w:val="21"/>
          <w:color w:val="auto"/>
          <w:vertAlign w:val="superscript"/>
        </w:rPr>
      </w:pPr>
    </w:p>
    <w:p>
      <w:pPr>
        <w:ind w:left="500" w:hanging="168"/>
        <w:spacing w:after="0" w:line="213" w:lineRule="auto"/>
        <w:tabs>
          <w:tab w:leader="none" w:pos="5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accrued expenses and other current liabilities in the condensed consolidated balance sheets.</w:t>
      </w:r>
    </w:p>
    <w:p>
      <w:pPr>
        <w:spacing w:after="0" w:line="42" w:lineRule="exact"/>
        <w:rPr>
          <w:rFonts w:ascii="Times New Roman" w:cs="Times New Roman" w:eastAsia="Times New Roman" w:hAnsi="Times New Roman"/>
          <w:sz w:val="21"/>
          <w:szCs w:val="21"/>
          <w:color w:val="auto"/>
          <w:vertAlign w:val="superscript"/>
        </w:rPr>
      </w:pPr>
    </w:p>
    <w:p>
      <w:pPr>
        <w:ind w:left="500" w:hanging="168"/>
        <w:spacing w:after="0" w:line="213" w:lineRule="auto"/>
        <w:tabs>
          <w:tab w:leader="none" w:pos="500" w:val="left"/>
        </w:tabs>
        <w:numPr>
          <w:ilvl w:val="0"/>
          <w:numId w:val="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other noncurrent liabilities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Assets that are measured at fair value on a recurring basis consisted of the following as of July 31, 2025:</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Level I</w:t>
            </w:r>
          </w:p>
        </w:tc>
        <w:tc>
          <w:tcPr>
            <w:tcW w:w="2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Level II</w:t>
            </w:r>
          </w:p>
        </w:tc>
        <w:tc>
          <w:tcPr>
            <w:tcW w:w="180" w:type="dxa"/>
            <w:vAlign w:val="bottom"/>
          </w:tcPr>
          <w:p>
            <w:pPr>
              <w:spacing w:after="0"/>
              <w:rPr>
                <w:sz w:val="18"/>
                <w:szCs w:val="18"/>
                <w:color w:val="auto"/>
              </w:rPr>
            </w:pPr>
          </w:p>
        </w:tc>
        <w:tc>
          <w:tcPr>
            <w:tcW w:w="1280" w:type="dxa"/>
            <w:vAlign w:val="bottom"/>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Level III</w:t>
            </w:r>
          </w:p>
        </w:tc>
        <w:tc>
          <w:tcPr>
            <w:tcW w:w="0" w:type="dxa"/>
            <w:vAlign w:val="bottom"/>
          </w:tcPr>
          <w:p>
            <w:pPr>
              <w:spacing w:after="0"/>
              <w:rPr>
                <w:sz w:val="1"/>
                <w:szCs w:val="1"/>
                <w:color w:val="auto"/>
              </w:rPr>
            </w:pPr>
          </w:p>
        </w:tc>
      </w:tr>
      <w:tr>
        <w:trPr>
          <w:trHeight w:val="158"/>
        </w:trPr>
        <w:tc>
          <w:tcPr>
            <w:tcW w:w="5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rPr>
              <w:t>Quoted Prices</w:t>
            </w:r>
          </w:p>
        </w:tc>
        <w:tc>
          <w:tcPr>
            <w:tcW w:w="1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center"/>
              <w:ind w:right="132"/>
              <w:spacing w:after="0" w:line="158" w:lineRule="exact"/>
              <w:rPr>
                <w:sz w:val="20"/>
                <w:szCs w:val="20"/>
                <w:color w:val="auto"/>
              </w:rPr>
            </w:pPr>
            <w:r>
              <w:rPr>
                <w:rFonts w:ascii="Times New Roman" w:cs="Times New Roman" w:eastAsia="Times New Roman" w:hAnsi="Times New Roman"/>
                <w:sz w:val="16"/>
                <w:szCs w:val="16"/>
                <w:b w:val="1"/>
                <w:bCs w:val="1"/>
                <w:color w:val="auto"/>
              </w:rPr>
              <w:t>Significant</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vMerge w:val="restart"/>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Significant</w:t>
            </w: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in Active</w:t>
            </w: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62" w:lineRule="exact"/>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vMerge w:val="restart"/>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Markets for</w:t>
            </w:r>
          </w:p>
        </w:tc>
        <w:tc>
          <w:tcPr>
            <w:tcW w:w="220" w:type="dxa"/>
            <w:vAlign w:val="bottom"/>
          </w:tcPr>
          <w:p>
            <w:pPr>
              <w:spacing w:after="0"/>
              <w:rPr>
                <w:sz w:val="14"/>
                <w:szCs w:val="14"/>
                <w:color w:val="auto"/>
              </w:rPr>
            </w:pPr>
          </w:p>
        </w:tc>
        <w:tc>
          <w:tcPr>
            <w:tcW w:w="1340" w:type="dxa"/>
            <w:vAlign w:val="bottom"/>
            <w:gridSpan w:val="2"/>
          </w:tcPr>
          <w:p>
            <w:pPr>
              <w:jc w:val="center"/>
              <w:ind w:right="340"/>
              <w:spacing w:after="0" w:line="162" w:lineRule="exact"/>
              <w:rPr>
                <w:sz w:val="20"/>
                <w:szCs w:val="20"/>
                <w:color w:val="auto"/>
              </w:rPr>
            </w:pPr>
            <w:r>
              <w:rPr>
                <w:rFonts w:ascii="Times New Roman" w:cs="Times New Roman" w:eastAsia="Times New Roman" w:hAnsi="Times New Roman"/>
                <w:sz w:val="16"/>
                <w:szCs w:val="16"/>
                <w:b w:val="1"/>
                <w:bCs w:val="1"/>
                <w:color w:val="auto"/>
              </w:rPr>
              <w:t>Observable</w:t>
            </w:r>
          </w:p>
        </w:tc>
        <w:tc>
          <w:tcPr>
            <w:tcW w:w="180" w:type="dxa"/>
            <w:vAlign w:val="bottom"/>
          </w:tcPr>
          <w:p>
            <w:pPr>
              <w:spacing w:after="0"/>
              <w:rPr>
                <w:sz w:val="14"/>
                <w:szCs w:val="14"/>
                <w:color w:val="auto"/>
              </w:rPr>
            </w:pPr>
          </w:p>
        </w:tc>
        <w:tc>
          <w:tcPr>
            <w:tcW w:w="1280" w:type="dxa"/>
            <w:vAlign w:val="bottom"/>
          </w:tcPr>
          <w:p>
            <w:pPr>
              <w:jc w:val="center"/>
              <w:ind w:right="92"/>
              <w:spacing w:after="0" w:line="162" w:lineRule="exact"/>
              <w:rPr>
                <w:sz w:val="20"/>
                <w:szCs w:val="20"/>
                <w:color w:val="auto"/>
              </w:rPr>
            </w:pPr>
            <w:r>
              <w:rPr>
                <w:rFonts w:ascii="Times New Roman" w:cs="Times New Roman" w:eastAsia="Times New Roman" w:hAnsi="Times New Roman"/>
                <w:sz w:val="16"/>
                <w:szCs w:val="16"/>
                <w:b w:val="1"/>
                <w:bCs w:val="1"/>
                <w:color w:val="auto"/>
                <w:w w:val="99"/>
              </w:rPr>
              <w:t>Unobservable</w:t>
            </w:r>
          </w:p>
        </w:tc>
        <w:tc>
          <w:tcPr>
            <w:tcW w:w="0" w:type="dxa"/>
            <w:vAlign w:val="bottom"/>
          </w:tcPr>
          <w:p>
            <w:pPr>
              <w:spacing w:after="0"/>
              <w:rPr>
                <w:sz w:val="1"/>
                <w:szCs w:val="1"/>
                <w:color w:val="auto"/>
              </w:rPr>
            </w:pPr>
          </w:p>
        </w:tc>
      </w:tr>
      <w:tr>
        <w:trPr>
          <w:trHeight w:val="212"/>
        </w:trPr>
        <w:tc>
          <w:tcPr>
            <w:tcW w:w="50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6"/>
                <w:szCs w:val="16"/>
                <w:b w:val="1"/>
                <w:bCs w:val="1"/>
                <w:color w:val="auto"/>
              </w:rPr>
              <w:t>Identical Assets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6"/>
                <w:szCs w:val="16"/>
                <w:b w:val="1"/>
                <w:bCs w:val="1"/>
                <w:color w:val="auto"/>
              </w:rPr>
              <w:t>Inputs</w:t>
            </w:r>
          </w:p>
        </w:tc>
        <w:tc>
          <w:tcPr>
            <w:tcW w:w="0" w:type="dxa"/>
            <w:vAlign w:val="bottom"/>
          </w:tcPr>
          <w:p>
            <w:pPr>
              <w:spacing w:after="0"/>
              <w:rPr>
                <w:sz w:val="1"/>
                <w:szCs w:val="1"/>
                <w:color w:val="auto"/>
              </w:rPr>
            </w:pPr>
          </w:p>
        </w:tc>
      </w:tr>
      <w:tr>
        <w:trPr>
          <w:trHeight w:val="267"/>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40" w:type="dxa"/>
            <w:vAlign w:val="bottom"/>
            <w:gridSpan w:val="5"/>
          </w:tcPr>
          <w:p>
            <w:pPr>
              <w:ind w:left="9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1,543,609</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1,403,678</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139,931</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0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877,395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1,183,386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1,183,386</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50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equivalents and short-term investments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2,726,995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1,403,678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1,323,317</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Designated derivative instruments: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assets-current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 assets-noncurrent </w:t>
            </w:r>
            <w:r>
              <w:rPr>
                <w:rFonts w:ascii="Times New Roman" w:cs="Times New Roman" w:eastAsia="Times New Roman" w:hAnsi="Times New Roman"/>
                <w:sz w:val="23"/>
                <w:szCs w:val="23"/>
                <w:color w:val="auto"/>
                <w:vertAlign w:val="superscript"/>
              </w:rPr>
              <w:t>(2)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liabilities-current </w:t>
            </w:r>
            <w:r>
              <w:rPr>
                <w:rFonts w:ascii="Times New Roman" w:cs="Times New Roman" w:eastAsia="Times New Roman" w:hAnsi="Times New Roman"/>
                <w:sz w:val="23"/>
                <w:szCs w:val="23"/>
                <w:color w:val="auto"/>
                <w:vertAlign w:val="superscript"/>
              </w:rPr>
              <w:t>(3)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liabilities-noncurrent </w:t>
            </w:r>
            <w:r>
              <w:rPr>
                <w:rFonts w:ascii="Times New Roman" w:cs="Times New Roman" w:eastAsia="Times New Roman" w:hAnsi="Times New Roman"/>
                <w:sz w:val="23"/>
                <w:szCs w:val="23"/>
                <w:color w:val="auto"/>
                <w:vertAlign w:val="superscript"/>
              </w:rPr>
              <w:t>(4)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50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Non-designated derivative instruments:</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 xml:space="preserve">Foreign currency contracts assets-current </w:t>
            </w:r>
            <w:r>
              <w:rPr>
                <w:rFonts w:ascii="Times New Roman" w:cs="Times New Roman" w:eastAsia="Times New Roman" w:hAnsi="Times New Roman"/>
                <w:sz w:val="23"/>
                <w:szCs w:val="23"/>
                <w:color w:val="auto"/>
                <w:vertAlign w:val="superscript"/>
              </w:rPr>
              <w:t>(1)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2"/>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xml:space="preserve">Foreign currency contracts liabilities-current </w:t>
            </w:r>
            <w:r>
              <w:rPr>
                <w:rFonts w:ascii="Times New Roman" w:cs="Times New Roman" w:eastAsia="Times New Roman" w:hAnsi="Times New Roman"/>
                <w:sz w:val="23"/>
                <w:szCs w:val="23"/>
                <w:color w:val="auto"/>
                <w:vertAlign w:val="superscript"/>
              </w:rPr>
              <w:t>(3)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500" w:hanging="168"/>
        <w:spacing w:after="0"/>
        <w:tabs>
          <w:tab w:leader="none" w:pos="5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prepaid expenses and other current assets in the consolidated balance sheets.</w:t>
      </w:r>
    </w:p>
    <w:p>
      <w:pPr>
        <w:spacing w:after="0" w:line="42" w:lineRule="exact"/>
        <w:rPr>
          <w:rFonts w:ascii="Times New Roman" w:cs="Times New Roman" w:eastAsia="Times New Roman" w:hAnsi="Times New Roman"/>
          <w:sz w:val="21"/>
          <w:szCs w:val="21"/>
          <w:color w:val="auto"/>
          <w:vertAlign w:val="superscript"/>
        </w:rPr>
      </w:pPr>
    </w:p>
    <w:p>
      <w:pPr>
        <w:ind w:left="500" w:hanging="168"/>
        <w:spacing w:after="0" w:line="213" w:lineRule="auto"/>
        <w:tabs>
          <w:tab w:leader="none" w:pos="5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other noncurrent assets in the consolidated balance sheets.</w:t>
      </w:r>
    </w:p>
    <w:p>
      <w:pPr>
        <w:spacing w:after="0" w:line="42" w:lineRule="exact"/>
        <w:rPr>
          <w:rFonts w:ascii="Times New Roman" w:cs="Times New Roman" w:eastAsia="Times New Roman" w:hAnsi="Times New Roman"/>
          <w:sz w:val="21"/>
          <w:szCs w:val="21"/>
          <w:color w:val="auto"/>
          <w:vertAlign w:val="superscript"/>
        </w:rPr>
      </w:pPr>
    </w:p>
    <w:p>
      <w:pPr>
        <w:ind w:left="500" w:hanging="168"/>
        <w:spacing w:after="0" w:line="213" w:lineRule="auto"/>
        <w:tabs>
          <w:tab w:leader="none" w:pos="5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accrued expenses and other current liabilities in the consolidated balance sheets.</w:t>
      </w:r>
    </w:p>
    <w:p>
      <w:pPr>
        <w:spacing w:after="0" w:line="42" w:lineRule="exact"/>
        <w:rPr>
          <w:rFonts w:ascii="Times New Roman" w:cs="Times New Roman" w:eastAsia="Times New Roman" w:hAnsi="Times New Roman"/>
          <w:sz w:val="21"/>
          <w:szCs w:val="21"/>
          <w:color w:val="auto"/>
          <w:vertAlign w:val="superscript"/>
        </w:rPr>
      </w:pPr>
    </w:p>
    <w:p>
      <w:pPr>
        <w:ind w:left="500" w:hanging="168"/>
        <w:spacing w:after="0" w:line="213" w:lineRule="auto"/>
        <w:tabs>
          <w:tab w:leader="none" w:pos="500" w:val="left"/>
        </w:tabs>
        <w:numPr>
          <w:ilvl w:val="0"/>
          <w:numId w:val="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Included within other noncurrent liabilities in the consolidated balance sheets.</w:t>
      </w:r>
    </w:p>
    <w:p>
      <w:pPr>
        <w:spacing w:after="0" w:line="3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did not have transfers between levels of the fair value hierarchy of assets measured at fair value during the periods presented.</w:t>
      </w:r>
    </w:p>
    <w:p>
      <w:pPr>
        <w:spacing w:after="0" w:line="266" w:lineRule="exact"/>
        <w:rPr>
          <w:sz w:val="20"/>
          <w:szCs w:val="20"/>
          <w:color w:val="auto"/>
        </w:rPr>
      </w:pPr>
    </w:p>
    <w:p>
      <w:pPr>
        <w:ind w:firstLine="450"/>
        <w:spacing w:after="0" w:line="329" w:lineRule="auto"/>
        <w:rPr>
          <w:sz w:val="20"/>
          <w:szCs w:val="20"/>
          <w:color w:val="auto"/>
        </w:rPr>
      </w:pPr>
      <w:r>
        <w:rPr>
          <w:rFonts w:ascii="Times New Roman" w:cs="Times New Roman" w:eastAsia="Times New Roman" w:hAnsi="Times New Roman"/>
          <w:sz w:val="18"/>
          <w:szCs w:val="18"/>
          <w:color w:val="auto"/>
        </w:rPr>
        <w:t>Refer to Note 10, Convertible Senior Notes, for the carrying amount and estimated fair value of our convertible senior notes as of April 30, 2026 and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9" w:name="page20"/>
    <w:bookmarkEnd w:id="1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Balance Sheet Components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36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7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6"/>
        </w:trPr>
        <w:tc>
          <w:tcPr>
            <w:tcW w:w="7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20" w:type="dxa"/>
            <w:vAlign w:val="bottom"/>
            <w:gridSpan w:val="4"/>
          </w:tcPr>
          <w:p>
            <w:pPr>
              <w:jc w:val="right"/>
              <w:ind w:right="121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7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30"/>
        </w:trPr>
        <w:tc>
          <w:tcPr>
            <w:tcW w:w="778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Hosting equipment </w:t>
            </w:r>
            <w:r>
              <w:rPr>
                <w:rFonts w:ascii="Times New Roman" w:cs="Times New Roman" w:eastAsia="Times New Roman" w:hAnsi="Times New Roman"/>
                <w:sz w:val="23"/>
                <w:szCs w:val="23"/>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571,312</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406,618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322,265</w:t>
            </w:r>
          </w:p>
        </w:tc>
      </w:tr>
      <w:tr>
        <w:trPr>
          <w:trHeight w:val="230"/>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9,138</w:t>
            </w:r>
          </w:p>
        </w:tc>
      </w:tr>
      <w:tr>
        <w:trPr>
          <w:trHeight w:val="229"/>
        </w:trPr>
        <w:tc>
          <w:tcPr>
            <w:tcW w:w="7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Purchased software</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29"/>
        </w:trPr>
        <w:tc>
          <w:tcPr>
            <w:tcW w:w="7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1,195</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10,141</w:t>
            </w:r>
          </w:p>
        </w:tc>
      </w:tr>
      <w:tr>
        <w:trPr>
          <w:trHeight w:val="223"/>
        </w:trPr>
        <w:tc>
          <w:tcPr>
            <w:tcW w:w="77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gross</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1,070,641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915,153</w:t>
            </w:r>
          </w:p>
        </w:tc>
      </w:tr>
      <w:tr>
        <w:trPr>
          <w:trHeight w:val="230"/>
        </w:trPr>
        <w:tc>
          <w:tcPr>
            <w:tcW w:w="7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(495,904)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(371,776)</w:t>
            </w:r>
          </w:p>
        </w:tc>
      </w:tr>
      <w:tr>
        <w:trPr>
          <w:trHeight w:val="248"/>
        </w:trPr>
        <w:tc>
          <w:tcPr>
            <w:tcW w:w="77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543,377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firstLine="458"/>
        <w:spacing w:after="0" w:line="243" w:lineRule="auto"/>
        <w:tabs>
          <w:tab w:leader="none" w:pos="629" w:val="left"/>
        </w:tabs>
        <w:numPr>
          <w:ilvl w:val="0"/>
          <w:numId w:val="6"/>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Includes purchased equipment that had not been placed in service, totaling $105.4 million and $163.5 million as of April 30, 2026 and July 31, 2025, respectively.</w:t>
      </w:r>
    </w:p>
    <w:p>
      <w:pPr>
        <w:spacing w:after="0" w:line="200" w:lineRule="exact"/>
        <w:rPr>
          <w:sz w:val="20"/>
          <w:szCs w:val="20"/>
          <w:color w:val="auto"/>
        </w:rPr>
      </w:pPr>
    </w:p>
    <w:p>
      <w:pPr>
        <w:spacing w:after="0" w:line="393"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We recognized depreciation and amortization expense on property and equipment of $37.5 million and $27.7 million for the three months ended April 30, 2026 and 2025, respectively, and $103.9 million and $72.8 million for the nine months ended April 30, 2026 and 2025, respectively. Additionally, we recognized stock-based compensation expense on the amortization of capitalized stock-based compensation associated with capitalized internal-use software of $8.1 million and $5.9 million for the three months ended April 30, 2026 and 2025, respectively, and $22.5 million and $15.1 million for the nine months ended April 30, 2026 and 2025, respectively.</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Purchased Intangible Assets</w:t>
      </w:r>
    </w:p>
    <w:p>
      <w:pPr>
        <w:spacing w:after="0" w:line="364"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Purchased intangible assets are amortized on a straight-line basis over an estimated useful life of 10 years. These assets are included within other noncurrent assets in the condensed consolidated balance sheets.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Purchased intangible assets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6"/>
        </w:trPr>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4"/>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Internet protocol addresses and source codes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22,692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20,264</w:t>
            </w:r>
          </w:p>
        </w:tc>
      </w:tr>
      <w:tr>
        <w:trPr>
          <w:trHeight w:val="230"/>
        </w:trPr>
        <w:tc>
          <w:tcPr>
            <w:tcW w:w="8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(6,335)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(4,641)</w:t>
            </w:r>
          </w:p>
        </w:tc>
      </w:tr>
      <w:tr>
        <w:trPr>
          <w:trHeight w:val="248"/>
        </w:trPr>
        <w:tc>
          <w:tcPr>
            <w:tcW w:w="80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purchased intangible assets,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16,357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15,623</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0" w:name="page21"/>
    <w:bookmarkEnd w:id="2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We recognized amortization expense on purchased intangible assets of $0.6 million and $0.5 million for the three months ended April 30, 2026 and 2025, respectively, and $1.7 million and $1.3 million for the nine months ended April 30, 2026 and 2025, respectively.</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Accrued Compensation</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Accrued compensation consisted of the following:</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July 31, 2025</w:t>
            </w:r>
          </w:p>
        </w:tc>
      </w:tr>
      <w:tr>
        <w:trPr>
          <w:trHeight w:val="216"/>
        </w:trPr>
        <w:tc>
          <w:tcPr>
            <w:tcW w:w="8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4"/>
          </w:tcPr>
          <w:p>
            <w:pPr>
              <w:jc w:val="right"/>
              <w:ind w:right="10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
        </w:trPr>
        <w:tc>
          <w:tcPr>
            <w:tcW w:w="8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commissions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47,624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59,429</w:t>
            </w:r>
          </w:p>
        </w:tc>
      </w:tr>
      <w:tr>
        <w:trPr>
          <w:trHeight w:val="229"/>
        </w:trPr>
        <w:tc>
          <w:tcPr>
            <w:tcW w:w="8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Accrued bonuses</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51,598</w:t>
            </w:r>
          </w:p>
        </w:tc>
      </w:tr>
      <w:tr>
        <w:trPr>
          <w:trHeight w:val="229"/>
        </w:trPr>
        <w:tc>
          <w:tcPr>
            <w:tcW w:w="8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Accrued payroll and related expenses</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61,370</w:t>
            </w:r>
          </w:p>
        </w:tc>
      </w:tr>
      <w:tr>
        <w:trPr>
          <w:trHeight w:val="230"/>
        </w:trPr>
        <w:tc>
          <w:tcPr>
            <w:tcW w:w="808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39,346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9,410</w:t>
            </w:r>
          </w:p>
        </w:tc>
      </w:tr>
      <w:tr>
        <w:trPr>
          <w:trHeight w:val="248"/>
        </w:trPr>
        <w:tc>
          <w:tcPr>
            <w:tcW w:w="8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compensation</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181,807</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Business Combinations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SquareX, Inc.</w:t>
      </w:r>
    </w:p>
    <w:p>
      <w:pPr>
        <w:spacing w:after="0" w:line="229" w:lineRule="exact"/>
        <w:rPr>
          <w:sz w:val="20"/>
          <w:szCs w:val="20"/>
          <w:color w:val="auto"/>
        </w:rPr>
      </w:pPr>
    </w:p>
    <w:p>
      <w:pPr>
        <w:jc w:val="both"/>
        <w:ind w:right="20" w:firstLine="450"/>
        <w:spacing w:after="0" w:line="329" w:lineRule="auto"/>
        <w:rPr>
          <w:sz w:val="20"/>
          <w:szCs w:val="20"/>
          <w:color w:val="auto"/>
        </w:rPr>
      </w:pPr>
      <w:r>
        <w:rPr>
          <w:rFonts w:ascii="Times New Roman" w:cs="Times New Roman" w:eastAsia="Times New Roman" w:hAnsi="Times New Roman"/>
          <w:sz w:val="18"/>
          <w:szCs w:val="18"/>
          <w:color w:val="auto"/>
        </w:rPr>
        <w:t>On February 5, 2026, we acquired all of the outstanding equity of SquareX, Inc. (“SquareX”), a browser security technology company, for total cash consideration of $112.8 million. The acquisition is expected to extend our browser capabilities, including on unmanaged devices.</w:t>
      </w:r>
    </w:p>
    <w:p>
      <w:pPr>
        <w:spacing w:after="0" w:line="108"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Pursuant to the purchase agreement, we issued restricted common stock awards with a grant date fair value of $37.4 million, which are subject to future employment service conditions and will be recognized as stock-based compensation expense over the post-combination service period.</w:t>
      </w:r>
    </w:p>
    <w:p>
      <w:pPr>
        <w:spacing w:after="0" w:line="108" w:lineRule="exact"/>
        <w:rPr>
          <w:sz w:val="20"/>
          <w:szCs w:val="20"/>
          <w:color w:val="auto"/>
        </w:rPr>
      </w:pPr>
    </w:p>
    <w:p>
      <w:pPr>
        <w:jc w:val="both"/>
        <w:ind w:firstLine="450"/>
        <w:spacing w:after="0" w:line="344" w:lineRule="auto"/>
        <w:rPr>
          <w:sz w:val="20"/>
          <w:szCs w:val="20"/>
          <w:color w:val="auto"/>
        </w:rPr>
      </w:pPr>
      <w:r>
        <w:rPr>
          <w:rFonts w:ascii="Times New Roman" w:cs="Times New Roman" w:eastAsia="Times New Roman" w:hAnsi="Times New Roman"/>
          <w:sz w:val="18"/>
          <w:szCs w:val="18"/>
          <w:color w:val="auto"/>
        </w:rPr>
        <w:t>The preliminary purchase price was allocated to $9.8 million of developed technology, valued using the replacement cost approach with an estimated useful life of five years.</w:t>
      </w:r>
    </w:p>
    <w:p>
      <w:pPr>
        <w:spacing w:after="0" w:line="95"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The resulting goodwill of $93.0 million is primarily attributable to the assembled workforce and anticipated operational synergies and is not expected to be deductible for income tax purposes.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price allocation is preliminary and subject to adjustment during a measurement period of up to one year from the acquisition date.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SPLXAI Inc.</w:t>
      </w:r>
    </w:p>
    <w:p>
      <w:pPr>
        <w:spacing w:after="0" w:line="216" w:lineRule="exact"/>
        <w:rPr>
          <w:sz w:val="20"/>
          <w:szCs w:val="20"/>
          <w:color w:val="auto"/>
        </w:rPr>
      </w:pPr>
    </w:p>
    <w:p>
      <w:pPr>
        <w:jc w:val="both"/>
        <w:ind w:right="20" w:firstLine="450"/>
        <w:spacing w:after="0" w:line="344" w:lineRule="auto"/>
        <w:rPr>
          <w:sz w:val="20"/>
          <w:szCs w:val="20"/>
          <w:color w:val="auto"/>
        </w:rPr>
      </w:pPr>
      <w:r>
        <w:rPr>
          <w:rFonts w:ascii="Times New Roman" w:cs="Times New Roman" w:eastAsia="Times New Roman" w:hAnsi="Times New Roman"/>
          <w:sz w:val="18"/>
          <w:szCs w:val="18"/>
          <w:color w:val="auto"/>
        </w:rPr>
        <w:t>On October 31, 2025, we acquired all of the outstanding equity of SPLXAI Inc. ("SPLX"), an early-stage artificial intelligence technology company, for total cash consideration of $40.6 million. The acquisition is expected to extend our AI Security capabilities.</w:t>
      </w:r>
    </w:p>
    <w:p>
      <w:pPr>
        <w:spacing w:after="0" w:line="95"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Pursuant to the purchase agreement, we issued restricted common stock awards with a grant date fair value of $16.6 million, which are subject to future employment service conditions and will be recognized as stock-based compensation expense over the post-combination service period.</w:t>
      </w:r>
    </w:p>
    <w:p>
      <w:pPr>
        <w:spacing w:after="0" w:line="108" w:lineRule="exact"/>
        <w:rPr>
          <w:sz w:val="20"/>
          <w:szCs w:val="20"/>
          <w:color w:val="auto"/>
        </w:rPr>
      </w:pPr>
    </w:p>
    <w:p>
      <w:pPr>
        <w:jc w:val="both"/>
        <w:ind w:firstLine="450"/>
        <w:spacing w:after="0" w:line="321" w:lineRule="auto"/>
        <w:rPr>
          <w:sz w:val="20"/>
          <w:szCs w:val="20"/>
          <w:color w:val="auto"/>
        </w:rPr>
      </w:pPr>
      <w:r>
        <w:rPr>
          <w:rFonts w:ascii="Times New Roman" w:cs="Times New Roman" w:eastAsia="Times New Roman" w:hAnsi="Times New Roman"/>
          <w:sz w:val="18"/>
          <w:szCs w:val="18"/>
          <w:color w:val="auto"/>
        </w:rPr>
        <w:t>During the three months ended January 31, 2026, and within the measurement period, we revised the preliminary valuation of acquired intangible assets from $14.1 million to $3.3 million, allocated to developed technology with a useful life of four years. This change resulted from transitioning from a benchmarking valuation approach to a replacement cost approach, which we believe provides a more appropriate measure of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1" w:name="page22"/>
    <w:bookmarkEnd w:id="2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450"/>
        <w:spacing w:after="0" w:line="329" w:lineRule="auto"/>
        <w:rPr>
          <w:sz w:val="20"/>
          <w:szCs w:val="20"/>
          <w:color w:val="auto"/>
        </w:rPr>
      </w:pPr>
      <w:r>
        <w:rPr>
          <w:rFonts w:ascii="Times New Roman" w:cs="Times New Roman" w:eastAsia="Times New Roman" w:hAnsi="Times New Roman"/>
          <w:sz w:val="18"/>
          <w:szCs w:val="18"/>
          <w:color w:val="auto"/>
        </w:rPr>
        <w:t>As a result of this adjustment and the related tax impact, goodwill increased from $32.2 million to $39.2 million and is primarily attributable to the assembled workforce and anticipated operational synergies and is not expected to be deductible for income tax purposes.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price allocation is preliminary and subject to adjustment during the measurement period of up to one year from the acquisition date.</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Red Canary Inc.</w:t>
      </w:r>
    </w:p>
    <w:p>
      <w:pPr>
        <w:spacing w:after="0" w:line="162" w:lineRule="exact"/>
        <w:rPr>
          <w:sz w:val="20"/>
          <w:szCs w:val="20"/>
          <w:color w:val="auto"/>
        </w:rPr>
      </w:pPr>
    </w:p>
    <w:p>
      <w:pPr>
        <w:ind w:firstLine="450"/>
        <w:spacing w:after="0" w:line="329" w:lineRule="auto"/>
        <w:rPr>
          <w:sz w:val="20"/>
          <w:szCs w:val="20"/>
          <w:color w:val="auto"/>
        </w:rPr>
      </w:pPr>
      <w:r>
        <w:rPr>
          <w:rFonts w:ascii="Times New Roman" w:cs="Times New Roman" w:eastAsia="Times New Roman" w:hAnsi="Times New Roman"/>
          <w:sz w:val="18"/>
          <w:szCs w:val="18"/>
          <w:color w:val="auto"/>
        </w:rPr>
        <w:t>On August 1, 2025, we acquired all of the outstanding equity of Red Canary Inc. ("Red Canary"), a managed detection and response technology company, for total cash consideration of $651.4 million. The acquisition is expected to accelerate innovation in Agentic AI-driven security operations.</w:t>
      </w:r>
    </w:p>
    <w:p>
      <w:pPr>
        <w:spacing w:after="0" w:line="108" w:lineRule="exact"/>
        <w:rPr>
          <w:sz w:val="20"/>
          <w:szCs w:val="20"/>
          <w:color w:val="auto"/>
        </w:rPr>
      </w:pPr>
    </w:p>
    <w:p>
      <w:pPr>
        <w:ind w:firstLine="450"/>
        <w:spacing w:after="0" w:line="329" w:lineRule="auto"/>
        <w:rPr>
          <w:sz w:val="20"/>
          <w:szCs w:val="20"/>
          <w:color w:val="auto"/>
        </w:rPr>
      </w:pPr>
      <w:r>
        <w:rPr>
          <w:rFonts w:ascii="Times New Roman" w:cs="Times New Roman" w:eastAsia="Times New Roman" w:hAnsi="Times New Roman"/>
          <w:sz w:val="18"/>
          <w:szCs w:val="18"/>
          <w:color w:val="auto"/>
        </w:rPr>
        <w:t>Pursuant to the purchase agreement, we issued restricted common stock awards with a grant date fair value of $20.2 million, which are subject to future employment service conditions and will be recognized as stock-based compensation expense over the post-combination service period.</w:t>
      </w:r>
    </w:p>
    <w:p>
      <w:pPr>
        <w:spacing w:after="0" w:line="121" w:lineRule="exact"/>
        <w:rPr>
          <w:sz w:val="20"/>
          <w:szCs w:val="20"/>
          <w:color w:val="auto"/>
        </w:rPr>
      </w:pPr>
    </w:p>
    <w:p>
      <w:pPr>
        <w:ind w:right="20" w:firstLine="450"/>
        <w:spacing w:after="0" w:line="329" w:lineRule="auto"/>
        <w:rPr>
          <w:sz w:val="20"/>
          <w:szCs w:val="20"/>
          <w:color w:val="auto"/>
        </w:rPr>
      </w:pPr>
      <w:r>
        <w:rPr>
          <w:rFonts w:ascii="Times New Roman" w:cs="Times New Roman" w:eastAsia="Times New Roman" w:hAnsi="Times New Roman"/>
          <w:sz w:val="18"/>
          <w:szCs w:val="18"/>
          <w:color w:val="auto"/>
        </w:rPr>
        <w:t>We estimated the fair value of the acquired intangible assets using the income approach. The resulting goodwill of $544.5 million is primarily attributable to the assembled workforce and anticipated operational synergies and is not expected to be deductible for income tax purposes.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purchase price allocation is preliminary and subject to adjustment during the measurement period of up to one year from the acquisition date.</w:t>
      </w:r>
    </w:p>
    <w:p>
      <w:pPr>
        <w:spacing w:after="0" w:line="21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preliminary allocation of the purchase price consideration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4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 Useful Life</w:t>
            </w:r>
          </w:p>
        </w:tc>
      </w:tr>
      <w:tr>
        <w:trPr>
          <w:trHeight w:val="216"/>
        </w:trPr>
        <w:tc>
          <w:tcPr>
            <w:tcW w:w="7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6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53"/>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Assets acquired:</w:t>
            </w:r>
          </w:p>
        </w:tc>
        <w:tc>
          <w:tcPr>
            <w:tcW w:w="30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cash equivalents and other assets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41,584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Acquired intangible assets:</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4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Customer relationships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7 years</w:t>
            </w:r>
          </w:p>
        </w:tc>
      </w:tr>
      <w:tr>
        <w:trPr>
          <w:trHeight w:val="230"/>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61,100</w:t>
            </w:r>
          </w:p>
        </w:tc>
        <w:tc>
          <w:tcPr>
            <w:tcW w:w="10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30"/>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Trademarks</w:t>
            </w:r>
          </w:p>
        </w:tc>
        <w:tc>
          <w:tcPr>
            <w:tcW w:w="3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29"/>
        </w:trPr>
        <w:tc>
          <w:tcPr>
            <w:tcW w:w="7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544,512</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r>
      <w:tr>
        <w:trPr>
          <w:trHeight w:val="223"/>
        </w:trPr>
        <w:tc>
          <w:tcPr>
            <w:tcW w:w="7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748,596</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9"/>
        </w:trPr>
        <w:tc>
          <w:tcPr>
            <w:tcW w:w="7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 assumed:</w:t>
            </w:r>
          </w:p>
        </w:tc>
        <w:tc>
          <w:tcPr>
            <w:tcW w:w="3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22,754</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30"/>
        </w:trPr>
        <w:tc>
          <w:tcPr>
            <w:tcW w:w="74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3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72,714</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0"/>
        </w:trPr>
        <w:tc>
          <w:tcPr>
            <w:tcW w:w="7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7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97,150</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16"/>
        </w:trPr>
        <w:tc>
          <w:tcPr>
            <w:tcW w:w="74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r>
      <w:tr>
        <w:trPr>
          <w:trHeight w:val="223"/>
        </w:trPr>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purchase price consideration</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651,446</w:t>
            </w:r>
          </w:p>
        </w:tc>
        <w:tc>
          <w:tcPr>
            <w:tcW w:w="1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2" w:name="page23"/>
    <w:bookmarkEnd w:id="2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 Forma Financial Information</w:t>
      </w:r>
    </w:p>
    <w:p>
      <w:pPr>
        <w:spacing w:after="0" w:line="216" w:lineRule="exact"/>
        <w:rPr>
          <w:sz w:val="20"/>
          <w:szCs w:val="20"/>
          <w:color w:val="auto"/>
        </w:rPr>
      </w:pPr>
    </w:p>
    <w:p>
      <w:pPr>
        <w:jc w:val="both"/>
        <w:ind w:firstLine="450"/>
        <w:spacing w:after="0" w:line="321" w:lineRule="auto"/>
        <w:rPr>
          <w:sz w:val="20"/>
          <w:szCs w:val="20"/>
          <w:color w:val="auto"/>
        </w:rPr>
      </w:pPr>
      <w:r>
        <w:rPr>
          <w:rFonts w:ascii="Times New Roman" w:cs="Times New Roman" w:eastAsia="Times New Roman" w:hAnsi="Times New Roman"/>
          <w:sz w:val="18"/>
          <w:szCs w:val="18"/>
          <w:color w:val="auto"/>
        </w:rPr>
        <w:t>The pro forma financial information from the above business acquisitions, assuming the acquisition had occurred as of the beginning of the fiscal year prior to the fiscal year of the acquisition, as well as revenue and earnings generated during the period after the acquisition date, were not material for disclosure purposes.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Goodwill and Acquired Intangible Assets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35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the carrying amount of goodwill for the nine months ended April 30, 2026 consisted of the following:</w:t>
      </w:r>
    </w:p>
    <w:p>
      <w:pPr>
        <w:spacing w:after="0" w:line="200" w:lineRule="exact"/>
        <w:rPr>
          <w:sz w:val="20"/>
          <w:szCs w:val="20"/>
          <w:color w:val="auto"/>
        </w:rPr>
      </w:pP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9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60"/>
        </w:trPr>
        <w:tc>
          <w:tcPr>
            <w:tcW w:w="964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190"/>
        </w:trPr>
        <w:tc>
          <w:tcPr>
            <w:tcW w:w="9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417,730</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676,704</w:t>
            </w:r>
          </w:p>
        </w:tc>
      </w:tr>
      <w:tr>
        <w:trPr>
          <w:trHeight w:val="248"/>
        </w:trPr>
        <w:tc>
          <w:tcPr>
            <w:tcW w:w="9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Balance as of April 30, 2026</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1,094,434</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Acquired Intangible Assets</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Acquired intangible assets consist of developed technology, customer relationships and trademarks acquired through our business acquisitions.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Acquired intangible assets are amortized using the straight-line method over their estimated useful lives.</w:t>
      </w:r>
    </w:p>
    <w:p>
      <w:pPr>
        <w:spacing w:after="0" w:line="212"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During three and nine months ended April 30, 2026, in connection with the acquisition of SquareX, SPLX and Red Canary, we acquired certain intangible assets, as further described in Note 6, Business Combinations.</w:t>
      </w:r>
    </w:p>
    <w:p>
      <w:pPr>
        <w:spacing w:after="0" w:line="12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Changes in acquired intangible assets for the nine months ended April 30, 2026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60" w:type="dxa"/>
            <w:vAlign w:val="bottom"/>
            <w:gridSpan w:val="8"/>
            <w:vMerge w:val="restart"/>
          </w:tcPr>
          <w:p>
            <w:pPr>
              <w:ind w:left="480"/>
              <w:spacing w:after="0"/>
              <w:rPr>
                <w:sz w:val="20"/>
                <w:szCs w:val="20"/>
                <w:color w:val="auto"/>
              </w:rPr>
            </w:pPr>
            <w:r>
              <w:rPr>
                <w:rFonts w:ascii="Times New Roman" w:cs="Times New Roman" w:eastAsia="Times New Roman" w:hAnsi="Times New Roman"/>
                <w:sz w:val="16"/>
                <w:szCs w:val="16"/>
                <w:b w:val="1"/>
                <w:bCs w:val="1"/>
                <w:color w:val="auto"/>
              </w:rPr>
              <w:t>Gross Carrying Amount</w:t>
            </w:r>
          </w:p>
        </w:tc>
        <w:tc>
          <w:tcPr>
            <w:tcW w:w="200" w:type="dxa"/>
            <w:vAlign w:val="bottom"/>
          </w:tcPr>
          <w:p>
            <w:pPr>
              <w:spacing w:after="0"/>
              <w:rPr>
                <w:sz w:val="14"/>
                <w:szCs w:val="14"/>
                <w:color w:val="auto"/>
              </w:rPr>
            </w:pPr>
          </w:p>
        </w:tc>
        <w:tc>
          <w:tcPr>
            <w:tcW w:w="3260" w:type="dxa"/>
            <w:vAlign w:val="bottom"/>
            <w:gridSpan w:val="8"/>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Accumulated Amortization</w:t>
            </w:r>
          </w:p>
        </w:tc>
        <w:tc>
          <w:tcPr>
            <w:tcW w:w="140" w:type="dxa"/>
            <w:vAlign w:val="bottom"/>
          </w:tcPr>
          <w:p>
            <w:pPr>
              <w:spacing w:after="0"/>
              <w:rPr>
                <w:sz w:val="14"/>
                <w:szCs w:val="14"/>
                <w:color w:val="auto"/>
              </w:rPr>
            </w:pPr>
          </w:p>
        </w:tc>
        <w:tc>
          <w:tcPr>
            <w:tcW w:w="1900" w:type="dxa"/>
            <w:vAlign w:val="bottom"/>
            <w:gridSpan w:val="4"/>
            <w:vMerge w:val="restart"/>
          </w:tcPr>
          <w:p>
            <w:pPr>
              <w:jc w:val="right"/>
              <w:ind w:right="170"/>
              <w:spacing w:after="0"/>
              <w:rPr>
                <w:sz w:val="20"/>
                <w:szCs w:val="20"/>
                <w:color w:val="auto"/>
              </w:rPr>
            </w:pPr>
            <w:r>
              <w:rPr>
                <w:rFonts w:ascii="Times New Roman" w:cs="Times New Roman" w:eastAsia="Times New Roman" w:hAnsi="Times New Roman"/>
                <w:sz w:val="16"/>
                <w:szCs w:val="16"/>
                <w:b w:val="1"/>
                <w:bCs w:val="1"/>
                <w:color w:val="auto"/>
              </w:rPr>
              <w:t>Net Carrying Amount</w:t>
            </w:r>
          </w:p>
        </w:tc>
        <w:tc>
          <w:tcPr>
            <w:tcW w:w="80" w:type="dxa"/>
            <w:vAlign w:val="bottom"/>
          </w:tcPr>
          <w:p>
            <w:pPr>
              <w:spacing w:after="0"/>
              <w:rPr>
                <w:sz w:val="14"/>
                <w:szCs w:val="14"/>
                <w:color w:val="auto"/>
              </w:rPr>
            </w:pPr>
          </w:p>
        </w:tc>
        <w:tc>
          <w:tcPr>
            <w:tcW w:w="11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0" w:type="dxa"/>
            <w:vAlign w:val="bottom"/>
          </w:tcPr>
          <w:p>
            <w:pPr>
              <w:spacing w:after="0"/>
              <w:rPr>
                <w:sz w:val="1"/>
                <w:szCs w:val="1"/>
                <w:color w:val="auto"/>
              </w:rPr>
            </w:pPr>
          </w:p>
        </w:tc>
      </w:tr>
      <w:tr>
        <w:trPr>
          <w:trHeight w:val="214"/>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60" w:type="dxa"/>
            <w:vAlign w:val="bottom"/>
            <w:gridSpan w:val="8"/>
            <w:vMerge w:val="continue"/>
          </w:tcPr>
          <w:p>
            <w:pPr>
              <w:spacing w:after="0"/>
              <w:rPr>
                <w:sz w:val="18"/>
                <w:szCs w:val="18"/>
                <w:color w:val="auto"/>
              </w:rPr>
            </w:pPr>
          </w:p>
        </w:tc>
        <w:tc>
          <w:tcPr>
            <w:tcW w:w="200" w:type="dxa"/>
            <w:vAlign w:val="bottom"/>
          </w:tcPr>
          <w:p>
            <w:pPr>
              <w:spacing w:after="0"/>
              <w:rPr>
                <w:sz w:val="18"/>
                <w:szCs w:val="18"/>
                <w:color w:val="auto"/>
              </w:rPr>
            </w:pPr>
          </w:p>
        </w:tc>
        <w:tc>
          <w:tcPr>
            <w:tcW w:w="3260" w:type="dxa"/>
            <w:vAlign w:val="bottom"/>
            <w:gridSpan w:val="8"/>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0" w:type="dxa"/>
            <w:vAlign w:val="bottom"/>
          </w:tcPr>
          <w:p>
            <w:pPr>
              <w:spacing w:after="0"/>
              <w:rPr>
                <w:sz w:val="1"/>
                <w:szCs w:val="1"/>
                <w:color w:val="auto"/>
              </w:rPr>
            </w:pPr>
          </w:p>
        </w:tc>
      </w:tr>
      <w:tr>
        <w:trPr>
          <w:trHeight w:val="157"/>
        </w:trPr>
        <w:tc>
          <w:tcPr>
            <w:tcW w:w="1360" w:type="dxa"/>
            <w:vAlign w:val="bottom"/>
          </w:tcPr>
          <w:p>
            <w:pPr>
              <w:spacing w:after="0"/>
              <w:rPr>
                <w:sz w:val="13"/>
                <w:szCs w:val="13"/>
                <w:color w:val="auto"/>
              </w:rPr>
            </w:pPr>
          </w:p>
        </w:tc>
        <w:tc>
          <w:tcPr>
            <w:tcW w:w="96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00" w:type="dxa"/>
            <w:vAlign w:val="bottom"/>
            <w:tcBorders>
              <w:top w:val="single" w:sz="8" w:color="auto"/>
            </w:tcBorders>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6"/>
                <w:szCs w:val="16"/>
                <w:b w:val="1"/>
                <w:bCs w:val="1"/>
                <w:color w:val="auto"/>
                <w:w w:val="98"/>
              </w:rPr>
              <w:t>Additions</w:t>
            </w:r>
          </w:p>
        </w:tc>
        <w:tc>
          <w:tcPr>
            <w:tcW w:w="100" w:type="dxa"/>
            <w:vAlign w:val="bottom"/>
            <w:tcBorders>
              <w:top w:val="single" w:sz="8" w:color="auto"/>
            </w:tcBorders>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April 30,</w:t>
            </w:r>
          </w:p>
        </w:tc>
        <w:tc>
          <w:tcPr>
            <w:tcW w:w="120" w:type="dxa"/>
            <w:vAlign w:val="bottom"/>
          </w:tcPr>
          <w:p>
            <w:pPr>
              <w:spacing w:after="0"/>
              <w:rPr>
                <w:sz w:val="13"/>
                <w:szCs w:val="13"/>
                <w:color w:val="auto"/>
              </w:rPr>
            </w:pPr>
          </w:p>
        </w:tc>
        <w:tc>
          <w:tcPr>
            <w:tcW w:w="94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July 31, 2025</w:t>
            </w:r>
          </w:p>
        </w:tc>
        <w:tc>
          <w:tcPr>
            <w:tcW w:w="100" w:type="dxa"/>
            <w:vAlign w:val="bottom"/>
            <w:tcBorders>
              <w:top w:val="single" w:sz="8" w:color="auto"/>
            </w:tcBorders>
            <w:vMerge w:val="restart"/>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center"/>
              <w:ind w:right="240"/>
              <w:spacing w:after="0" w:line="158" w:lineRule="exact"/>
              <w:rPr>
                <w:sz w:val="20"/>
                <w:szCs w:val="20"/>
                <w:color w:val="auto"/>
              </w:rPr>
            </w:pPr>
            <w:r>
              <w:rPr>
                <w:rFonts w:ascii="Times New Roman" w:cs="Times New Roman" w:eastAsia="Times New Roman" w:hAnsi="Times New Roman"/>
                <w:sz w:val="16"/>
                <w:szCs w:val="16"/>
                <w:b w:val="1"/>
                <w:bCs w:val="1"/>
                <w:color w:val="auto"/>
              </w:rPr>
              <w:t>Amortization</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73"/>
              <w:spacing w:after="0" w:line="158" w:lineRule="exact"/>
              <w:rPr>
                <w:sz w:val="20"/>
                <w:szCs w:val="20"/>
                <w:color w:val="auto"/>
              </w:rPr>
            </w:pPr>
            <w:r>
              <w:rPr>
                <w:rFonts w:ascii="Times New Roman" w:cs="Times New Roman" w:eastAsia="Times New Roman" w:hAnsi="Times New Roman"/>
                <w:sz w:val="16"/>
                <w:szCs w:val="16"/>
                <w:b w:val="1"/>
                <w:bCs w:val="1"/>
                <w:color w:val="auto"/>
              </w:rPr>
              <w:t>April 30,</w:t>
            </w: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July 31,</w:t>
            </w:r>
          </w:p>
        </w:tc>
        <w:tc>
          <w:tcPr>
            <w:tcW w:w="10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80" w:type="dxa"/>
            <w:vAlign w:val="bottom"/>
          </w:tcPr>
          <w:p>
            <w:pPr>
              <w:spacing w:after="0"/>
              <w:rPr>
                <w:sz w:val="13"/>
                <w:szCs w:val="13"/>
                <w:color w:val="auto"/>
              </w:rPr>
            </w:pPr>
          </w:p>
        </w:tc>
        <w:tc>
          <w:tcPr>
            <w:tcW w:w="11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April 30, 2026</w:t>
            </w:r>
          </w:p>
        </w:tc>
        <w:tc>
          <w:tcPr>
            <w:tcW w:w="0" w:type="dxa"/>
            <w:vAlign w:val="bottom"/>
          </w:tcPr>
          <w:p>
            <w:pPr>
              <w:spacing w:after="0"/>
              <w:rPr>
                <w:sz w:val="1"/>
                <w:szCs w:val="1"/>
                <w:color w:val="auto"/>
              </w:rPr>
            </w:pPr>
          </w:p>
        </w:tc>
      </w:tr>
      <w:tr>
        <w:trPr>
          <w:trHeight w:val="214"/>
        </w:trPr>
        <w:tc>
          <w:tcPr>
            <w:tcW w:w="1360" w:type="dxa"/>
            <w:vAlign w:val="bottom"/>
          </w:tcPr>
          <w:p>
            <w:pPr>
              <w:spacing w:after="0"/>
              <w:rPr>
                <w:sz w:val="18"/>
                <w:szCs w:val="18"/>
                <w:color w:val="auto"/>
              </w:rPr>
            </w:pPr>
          </w:p>
        </w:tc>
        <w:tc>
          <w:tcPr>
            <w:tcW w:w="96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940" w:type="dxa"/>
            <w:vAlign w:val="bottom"/>
            <w:tcBorders>
              <w:bottom w:val="single" w:sz="8" w:color="auto"/>
            </w:tcBorders>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6"/>
                <w:szCs w:val="16"/>
                <w:b w:val="1"/>
                <w:bCs w:val="1"/>
                <w:color w:val="auto"/>
              </w:rPr>
              <w:t>Expense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0" w:type="dxa"/>
            <w:vAlign w:val="bottom"/>
          </w:tcPr>
          <w:p>
            <w:pPr>
              <w:spacing w:after="0"/>
              <w:rPr>
                <w:sz w:val="1"/>
                <w:szCs w:val="1"/>
                <w:color w:val="auto"/>
              </w:rPr>
            </w:pPr>
          </w:p>
        </w:tc>
      </w:tr>
      <w:tr>
        <w:trPr>
          <w:trHeight w:val="23"/>
        </w:trPr>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13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Developed</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174,164</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(77,624)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42,192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96,540</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0" w:type="dxa"/>
            <w:vAlign w:val="bottom"/>
          </w:tcPr>
          <w:p>
            <w:pPr>
              <w:spacing w:after="0"/>
              <w:rPr>
                <w:sz w:val="1"/>
                <w:szCs w:val="1"/>
                <w:color w:val="auto"/>
              </w:rPr>
            </w:pPr>
          </w:p>
        </w:tc>
      </w:tr>
      <w:tr>
        <w:trPr>
          <w:trHeight w:val="175"/>
        </w:trPr>
        <w:tc>
          <w:tcPr>
            <w:tcW w:w="13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Customer</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relationships</w:t>
            </w: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86,008</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w:t>
            </w:r>
          </w:p>
        </w:tc>
        <w:tc>
          <w:tcPr>
            <w:tcW w:w="12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0" w:type="dxa"/>
            <w:vAlign w:val="bottom"/>
          </w:tcPr>
          <w:p>
            <w:pPr>
              <w:spacing w:after="0"/>
              <w:rPr>
                <w:sz w:val="1"/>
                <w:szCs w:val="1"/>
                <w:color w:val="auto"/>
              </w:rPr>
            </w:pPr>
          </w:p>
        </w:tc>
      </w:tr>
      <w:tr>
        <w:trPr>
          <w:trHeight w:val="223"/>
        </w:trPr>
        <w:tc>
          <w:tcPr>
            <w:tcW w:w="1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109,924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175,600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285,524</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(62,601)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(93,789)</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47,323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191,735</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4.9</w:t>
            </w:r>
          </w:p>
        </w:tc>
        <w:tc>
          <w:tcPr>
            <w:tcW w:w="0" w:type="dxa"/>
            <w:vAlign w:val="bottom"/>
          </w:tcPr>
          <w:p>
            <w:pPr>
              <w:spacing w:after="0"/>
              <w:rPr>
                <w:sz w:val="1"/>
                <w:szCs w:val="1"/>
                <w:color w:val="auto"/>
              </w:rPr>
            </w:pPr>
          </w:p>
        </w:tc>
      </w:tr>
      <w:tr>
        <w:trPr>
          <w:trHeight w:val="21"/>
        </w:trPr>
        <w:tc>
          <w:tcPr>
            <w:tcW w:w="1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Amortization expense of acquired intangible assets for the three and nine months ended April 30, 2026 was $11.4 million and $31.2 million, respectively, and for the three and nine months ended April 30, 2025 was $4.3 million and $12.7 million, respectively. Amortization expense of developed technology is included primarily within cost of revenue and amortization expense of customer relationships and trademarks is included primarily within sales and marketing expenses, in the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3" w:name="page24"/>
    <w:bookmarkEnd w:id="2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Future amortization expense of acquired intangible assets as of April 30, 2026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50"/>
        </w:trPr>
        <w:tc>
          <w:tcPr>
            <w:tcW w:w="9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 ending July 31,</w:t>
            </w:r>
          </w:p>
        </w:tc>
        <w:tc>
          <w:tcPr>
            <w:tcW w:w="240" w:type="dxa"/>
            <w:vAlign w:val="bottom"/>
          </w:tcPr>
          <w:p>
            <w:pPr>
              <w:spacing w:after="0"/>
              <w:rPr>
                <w:sz w:val="21"/>
                <w:szCs w:val="21"/>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3"/>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11,116</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43,106</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41,273</w:t>
            </w:r>
          </w:p>
        </w:tc>
      </w:tr>
      <w:tr>
        <w:trPr>
          <w:trHeight w:val="230"/>
        </w:trPr>
        <w:tc>
          <w:tcPr>
            <w:tcW w:w="9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37,375</w:t>
            </w:r>
          </w:p>
        </w:tc>
      </w:tr>
      <w:tr>
        <w:trPr>
          <w:trHeight w:val="229"/>
        </w:trPr>
        <w:tc>
          <w:tcPr>
            <w:tcW w:w="9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29,503</w:t>
            </w:r>
          </w:p>
        </w:tc>
      </w:tr>
      <w:tr>
        <w:trPr>
          <w:trHeight w:val="229"/>
        </w:trPr>
        <w:tc>
          <w:tcPr>
            <w:tcW w:w="9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29,362</w:t>
            </w:r>
          </w:p>
        </w:tc>
      </w:tr>
      <w:tr>
        <w:trPr>
          <w:trHeight w:val="248"/>
        </w:trPr>
        <w:tc>
          <w:tcPr>
            <w:tcW w:w="9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191,735</w:t>
            </w:r>
          </w:p>
        </w:tc>
      </w:tr>
      <w:tr>
        <w:trPr>
          <w:trHeight w:val="20"/>
        </w:trPr>
        <w:tc>
          <w:tcPr>
            <w:tcW w:w="9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Derivative Instruments</w:t>
      </w:r>
    </w:p>
    <w:p>
      <w:pPr>
        <w:spacing w:after="0" w:line="1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Contracts</w:t>
      </w:r>
    </w:p>
    <w:p>
      <w:pPr>
        <w:spacing w:after="0" w:line="216"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We use foreign currency forward contracts to manage risks related to fluctuations in exchange rates. We designate certain of these instruments as cash flow hedges to mitigate the impact of currency fluctuations on forecasted operating expenses, typically with maturities of up to 21 months.</w:t>
      </w:r>
    </w:p>
    <w:p>
      <w:pPr>
        <w:spacing w:after="0" w:line="67"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We also utilize non-designated forward contracts to manage exposure from the remeasurement of monetary assets and liabilities, typically with maturities of one to four months. Changes in the fair value of these non-designated derivatives are recorded in other income (expense), net and were not material for the periods presented.</w:t>
      </w:r>
    </w:p>
    <w:p>
      <w:pPr>
        <w:spacing w:after="0" w:line="122"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As of April 30, 2026 and July 31, 2025, the total notional amount of our outstanding designated foreign currency forward contracts was $793.0 million and $693.1 million, respectively, and for our outstanding non-designated foreign currency forward contracts was $494.3 million and $549.5 million, respectively. As of April 30, 2026, the unrealized loss related to our cash flow hedges expected to be released into earnings over the next 12 months is not expected to be material. Refer to Note 4, Fair Value Measurements, for the fair value of our derivative instruments as reported on the condensed consolidated balance sheet as of April 30, 2026 and July 31, 2025.</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changes in accumulated other comprehensive income (losses) ("AOCI(L)") related to our cash flow hedges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2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6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4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of AOCI(L) as of the beginning of the period</w:t>
            </w:r>
          </w:p>
        </w:tc>
        <w:tc>
          <w:tcPr>
            <w:tcW w:w="110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(22,783)</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center"/>
              <w:ind w:left="555"/>
              <w:spacing w:after="0"/>
              <w:rPr>
                <w:sz w:val="20"/>
                <w:szCs w:val="20"/>
                <w:color w:val="auto"/>
              </w:rPr>
            </w:pPr>
            <w:r>
              <w:rPr>
                <w:rFonts w:ascii="Times New Roman" w:cs="Times New Roman" w:eastAsia="Times New Roman" w:hAnsi="Times New Roman"/>
                <w:sz w:val="18"/>
                <w:szCs w:val="18"/>
                <w:color w:val="auto"/>
              </w:rPr>
              <w:t>7,338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w:t>
            </w:r>
          </w:p>
        </w:tc>
        <w:tc>
          <w:tcPr>
            <w:tcW w:w="0" w:type="dxa"/>
            <w:vAlign w:val="bottom"/>
          </w:tcPr>
          <w:p>
            <w:pPr>
              <w:spacing w:after="0"/>
              <w:rPr>
                <w:sz w:val="1"/>
                <w:szCs w:val="1"/>
                <w:color w:val="auto"/>
              </w:rPr>
            </w:pPr>
          </w:p>
        </w:tc>
      </w:tr>
      <w:tr>
        <w:trPr>
          <w:trHeight w:val="184"/>
        </w:trPr>
        <w:tc>
          <w:tcPr>
            <w:tcW w:w="43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Net unrealized gains (losses) recognized in accumulated</w:t>
            </w:r>
          </w:p>
        </w:tc>
        <w:tc>
          <w:tcPr>
            <w:tcW w:w="1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(11,596)</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80" w:type="dxa"/>
            <w:vAlign w:val="bottom"/>
          </w:tcPr>
          <w:p>
            <w:pPr>
              <w:jc w:val="center"/>
              <w:ind w:left="535"/>
              <w:spacing w:after="0"/>
              <w:rPr>
                <w:sz w:val="20"/>
                <w:szCs w:val="20"/>
                <w:color w:val="auto"/>
              </w:rPr>
            </w:pPr>
            <w:r>
              <w:rPr>
                <w:rFonts w:ascii="Times New Roman" w:cs="Times New Roman" w:eastAsia="Times New Roman" w:hAnsi="Times New Roman"/>
                <w:sz w:val="18"/>
                <w:szCs w:val="18"/>
                <w:color w:val="auto"/>
                <w:w w:val="98"/>
              </w:rPr>
              <w:t>(4,807)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losses reclassified from AOCI(L) into the</w:t>
            </w:r>
          </w:p>
        </w:tc>
        <w:tc>
          <w:tcPr>
            <w:tcW w:w="110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color w:val="auto"/>
                <w:w w:val="98"/>
              </w:rPr>
              <w:t>(4,649)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c>
          <w:tcPr>
            <w:tcW w:w="0" w:type="dxa"/>
            <w:vAlign w:val="bottom"/>
          </w:tcPr>
          <w:p>
            <w:pPr>
              <w:spacing w:after="0"/>
              <w:rPr>
                <w:sz w:val="1"/>
                <w:szCs w:val="1"/>
                <w:color w:val="auto"/>
              </w:rPr>
            </w:pPr>
          </w:p>
        </w:tc>
      </w:tr>
      <w:tr>
        <w:trPr>
          <w:trHeight w:val="230"/>
        </w:trPr>
        <w:tc>
          <w:tcPr>
            <w:tcW w:w="43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condensed consolidated statement of operations </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of AOCI(L) as of the end of the period</w:t>
            </w:r>
          </w:p>
        </w:tc>
        <w:tc>
          <w:tcPr>
            <w:tcW w:w="1100" w:type="dxa"/>
            <w:vAlign w:val="bottom"/>
            <w:tcBorders>
              <w:bottom w:val="single" w:sz="8" w:color="auto"/>
            </w:tcBorders>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(2,118)</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w w:val="98"/>
              </w:rPr>
              <w:t>(2,118)</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13,292</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ind w:right="20" w:firstLine="458"/>
        <w:spacing w:after="0"/>
        <w:tabs>
          <w:tab w:leader="none" w:pos="615"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(Gains) losses related to our cash flow hedges reclassified from AOCI(L) into the condensed consolidated statement of operations consisted of the following</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1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280" w:type="dxa"/>
            <w:vAlign w:val="bottom"/>
          </w:tcPr>
          <w:p>
            <w:pPr>
              <w:spacing w:after="0"/>
              <w:rPr>
                <w:sz w:val="18"/>
                <w:szCs w:val="18"/>
                <w:color w:val="auto"/>
              </w:rPr>
            </w:pPr>
          </w:p>
        </w:tc>
        <w:tc>
          <w:tcPr>
            <w:tcW w:w="2960" w:type="dxa"/>
            <w:vAlign w:val="bottom"/>
            <w:tcBorders>
              <w:bottom w:val="single" w:sz="8" w:color="auto"/>
            </w:tcBorders>
            <w:gridSpan w:val="4"/>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6"/>
        </w:trPr>
        <w:tc>
          <w:tcPr>
            <w:tcW w:w="4280" w:type="dxa"/>
            <w:vAlign w:val="bottom"/>
          </w:tcPr>
          <w:p>
            <w:pPr>
              <w:spacing w:after="0"/>
              <w:rPr>
                <w:sz w:val="18"/>
                <w:szCs w:val="18"/>
                <w:color w:val="auto"/>
              </w:rPr>
            </w:pP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8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2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90"/>
        </w:trPr>
        <w:tc>
          <w:tcPr>
            <w:tcW w:w="4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6"/>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0" w:type="dxa"/>
            <w:vAlign w:val="bottom"/>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3,426</w:t>
            </w:r>
          </w:p>
        </w:tc>
      </w:tr>
      <w:tr>
        <w:trPr>
          <w:trHeight w:val="229"/>
        </w:trPr>
        <w:tc>
          <w:tcPr>
            <w:tcW w:w="4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30"/>
        </w:trPr>
        <w:tc>
          <w:tcPr>
            <w:tcW w:w="4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48"/>
        </w:trPr>
        <w:tc>
          <w:tcPr>
            <w:tcW w:w="42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auto"/>
            </w:tcBorders>
            <w:shd w:val="clear" w:color="auto" w:fill="CCEEFF"/>
          </w:tcPr>
          <w:p>
            <w:pPr>
              <w:jc w:val="right"/>
              <w:ind w:right="1017"/>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derivative contracts expose us to credit risk to the extent that the counterparties may be unable to meet the terms of the underlying contracts. We mitigate this credit risk by transacting with major financial institutions with high credit ratings and standards. We periodically assess the creditworthiness of our counterparties to ensure they continue to meet our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5" w:name="page26"/>
    <w:bookmarkEnd w:id="2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right="20"/>
        <w:spacing w:after="0" w:line="313" w:lineRule="auto"/>
        <w:rPr>
          <w:sz w:val="20"/>
          <w:szCs w:val="20"/>
          <w:color w:val="auto"/>
        </w:rPr>
      </w:pPr>
      <w:r>
        <w:rPr>
          <w:rFonts w:ascii="Times New Roman" w:cs="Times New Roman" w:eastAsia="Times New Roman" w:hAnsi="Times New Roman"/>
          <w:sz w:val="18"/>
          <w:szCs w:val="18"/>
          <w:color w:val="auto"/>
        </w:rPr>
        <w:t>quality requirements. We also enter into master netting arrangements, which permit net settlement of transactions with the same counterparty. The potential impact of these rights of set-off associated with our derivative instruments was not material as of April 30, 2026 and July 31, 2025. We are not required to pledge, and are not entitled to receive, cash collateral related to these derivative instruments. We do not enter into derivative contracts for trading or speculative purposes.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 Contracts</w:t>
      </w:r>
    </w:p>
    <w:p>
      <w:pPr>
        <w:spacing w:after="0" w:line="216"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During the three months ended October 31, 2025, we entered into interest rate swap contracts covering the interest rate applicable to a portion of the outstanding 2028 Notes (as defined below), maturing on July 15, 2028, and designated as fair value hedges. The interest rate swap contracts are intended to hedge a portion of our fair value risk exposure related to changing interest rates by effectively converting the fixed interest rate of a portion of our 2028</w:t>
      </w:r>
    </w:p>
    <w:p>
      <w:pPr>
        <w:spacing w:after="0" w:line="14"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Notes to a floating interest rate. The interest rate swap contracts related to the 2025 Notes (as defined below) matured on July 1, 2025. As of April 30, 2026, the carrying amount of the hedged 2028 Notes was $746.9 million and the total notional amount of outstanding interest rate swaps was $750.0 million.</w:t>
      </w:r>
    </w:p>
    <w:p>
      <w:pPr>
        <w:spacing w:after="0" w:line="114"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The gains and losses related to changes in the fair value of the interest rate swap contracts are included within interest expense in the condensed consolidated statement of operations. As of April 30, 2026, the cumulative amount of fair value hedge accounting adjustments included in the carrying amount of the convertible senior notes was $7.2 million.</w:t>
      </w:r>
    </w:p>
    <w:p>
      <w:pPr>
        <w:spacing w:after="0" w:line="122" w:lineRule="exact"/>
        <w:rPr>
          <w:sz w:val="20"/>
          <w:szCs w:val="20"/>
          <w:color w:val="auto"/>
        </w:rPr>
      </w:pPr>
    </w:p>
    <w:p>
      <w:pPr>
        <w:ind w:right="160" w:firstLine="450"/>
        <w:spacing w:after="0" w:line="344" w:lineRule="auto"/>
        <w:rPr>
          <w:sz w:val="20"/>
          <w:szCs w:val="20"/>
          <w:color w:val="auto"/>
        </w:rPr>
      </w:pPr>
      <w:r>
        <w:rPr>
          <w:rFonts w:ascii="Times New Roman" w:cs="Times New Roman" w:eastAsia="Times New Roman" w:hAnsi="Times New Roman"/>
          <w:sz w:val="18"/>
          <w:szCs w:val="18"/>
          <w:color w:val="auto"/>
        </w:rPr>
        <w:t>The gains and losses effect of derivative instruments designated as fair value hedges included within interest expense in the condensed statement of operations consisted of the following:</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80" w:type="dxa"/>
            <w:vAlign w:val="bottom"/>
          </w:tcPr>
          <w:p>
            <w:pPr>
              <w:spacing w:after="0"/>
              <w:rPr>
                <w:sz w:val="18"/>
                <w:szCs w:val="18"/>
                <w:color w:val="auto"/>
              </w:rPr>
            </w:pPr>
          </w:p>
        </w:tc>
        <w:tc>
          <w:tcPr>
            <w:tcW w:w="3020" w:type="dxa"/>
            <w:vAlign w:val="bottom"/>
            <w:tcBorders>
              <w:bottom w:val="single" w:sz="8" w:color="auto"/>
            </w:tcBorders>
            <w:gridSpan w:val="4"/>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6"/>
        </w:trPr>
        <w:tc>
          <w:tcPr>
            <w:tcW w:w="4080" w:type="dxa"/>
            <w:vAlign w:val="bottom"/>
          </w:tcPr>
          <w:p>
            <w:pPr>
              <w:spacing w:after="0"/>
              <w:rPr>
                <w:sz w:val="18"/>
                <w:szCs w:val="18"/>
                <w:color w:val="auto"/>
              </w:rPr>
            </w:pPr>
          </w:p>
        </w:tc>
        <w:tc>
          <w:tcPr>
            <w:tcW w:w="1140" w:type="dxa"/>
            <w:vAlign w:val="bottom"/>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0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4"/>
        </w:trPr>
        <w:tc>
          <w:tcPr>
            <w:tcW w:w="40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242"/>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 on interest rate swaps:</w:t>
            </w:r>
          </w:p>
        </w:tc>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0"/>
        </w:trPr>
        <w:tc>
          <w:tcPr>
            <w:tcW w:w="4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Hedge accounting fair value adjustments</w:t>
            </w:r>
          </w:p>
        </w:tc>
        <w:tc>
          <w:tcPr>
            <w:tcW w:w="1140" w:type="dxa"/>
            <w:vAlign w:val="bottom"/>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w:t>
            </w:r>
          </w:p>
        </w:tc>
      </w:tr>
      <w:tr>
        <w:trPr>
          <w:trHeight w:val="230"/>
        </w:trPr>
        <w:tc>
          <w:tcPr>
            <w:tcW w:w="40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3,462</w:t>
            </w:r>
          </w:p>
        </w:tc>
      </w:tr>
      <w:tr>
        <w:trPr>
          <w:trHeight w:val="248"/>
        </w:trPr>
        <w:tc>
          <w:tcPr>
            <w:tcW w:w="40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bottom w:val="single" w:sz="8" w:color="auto"/>
            </w:tcBorders>
            <w:shd w:val="clear" w:color="auto" w:fill="CCEEFF"/>
          </w:tcPr>
          <w:p>
            <w:pPr>
              <w:jc w:val="right"/>
              <w:ind w:right="93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Restructuring and Other Charges</w:t>
      </w:r>
    </w:p>
    <w:p>
      <w:pPr>
        <w:spacing w:after="0" w:line="20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During the three months ended October 31, 2025, we carried out and completed a restructuring plan as a part of our planned efforts to streamline operations and to align people, roles and projects to our strategic priorities. As a result, we recognized $4.7 million of restructuring charges consisting of employee severance and benefit payments.</w:t>
      </w:r>
    </w:p>
    <w:p>
      <w:pPr>
        <w:spacing w:after="0" w:line="122"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The components of restructuring charges recognized in the condensed consolidated statement of operations for the nine months ended April 30, 2026 consisted of the following:</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4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11"/>
        </w:trPr>
        <w:tc>
          <w:tcPr>
            <w:tcW w:w="9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(in thousands)</w:t>
            </w:r>
          </w:p>
        </w:tc>
      </w:tr>
      <w:tr>
        <w:trPr>
          <w:trHeight w:val="231"/>
        </w:trPr>
        <w:tc>
          <w:tcPr>
            <w:tcW w:w="9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94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Sales and marketing</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r>
      <w:tr>
        <w:trPr>
          <w:trHeight w:val="230"/>
        </w:trPr>
        <w:tc>
          <w:tcPr>
            <w:tcW w:w="94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r>
      <w:tr>
        <w:trPr>
          <w:trHeight w:val="223"/>
        </w:trPr>
        <w:tc>
          <w:tcPr>
            <w:tcW w:w="9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r>
      <w:tr>
        <w:trPr>
          <w:trHeight w:val="21"/>
        </w:trPr>
        <w:tc>
          <w:tcPr>
            <w:tcW w:w="9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6" w:name="page27"/>
    <w:bookmarkEnd w:id="2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Convertible Senior Notes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2028 Convertible Senior Notes</w:t>
      </w:r>
    </w:p>
    <w:p>
      <w:pPr>
        <w:spacing w:after="0" w:line="216"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On July 3, 2025, we issued $1,725.0 million in aggregate principal amount of 0.0% convertible senior notes due 2028 (the "2028 Notes"), including the exercise in full by the initial purchasers of their option to purchase an additional $225.0 million principal amount of the 2028 Notes. The 2028 Notes are unsecured obligations and do not bear regular cash interest and the principal amount of the 2028 Notes will not accrete. The 2028 Notes mature on July 15, 2028, unless earlier converted or repurchased. The total net proceeds from the offering, after deducting initial purchase discounts and other debt issuance costs, was $1,700.0 million. Refer to Note 10, Convertible Senior Notes, to the audited consolidated financial statements included in our Fiscal 2025 Form 10-K for further information on the 2028 Notes.</w:t>
      </w:r>
    </w:p>
    <w:p>
      <w:pPr>
        <w:spacing w:after="0" w:line="131" w:lineRule="exact"/>
        <w:rPr>
          <w:sz w:val="20"/>
          <w:szCs w:val="20"/>
          <w:color w:val="auto"/>
        </w:rPr>
      </w:pPr>
    </w:p>
    <w:p>
      <w:pPr>
        <w:jc w:val="both"/>
        <w:ind w:firstLine="450"/>
        <w:spacing w:after="0" w:line="321" w:lineRule="auto"/>
        <w:rPr>
          <w:sz w:val="20"/>
          <w:szCs w:val="20"/>
          <w:color w:val="auto"/>
        </w:rPr>
      </w:pPr>
      <w:r>
        <w:rPr>
          <w:rFonts w:ascii="Times New Roman" w:cs="Times New Roman" w:eastAsia="Times New Roman" w:hAnsi="Times New Roman"/>
          <w:sz w:val="18"/>
          <w:szCs w:val="18"/>
          <w:color w:val="auto"/>
        </w:rPr>
        <w:t>During the three months ended April 30, 2026, the conditions allowing holders of the 2028 Notes to convert were not met. Since we have the election of repaying the 2028 Notes in cash, shares of our common stock, or a combination of both, we have classified the 2028 Notes as a noncurrent liability in the condensed consolidated balance sheet as of April 30, 2026.</w:t>
      </w:r>
    </w:p>
    <w:p>
      <w:pPr>
        <w:spacing w:after="0" w:line="114" w:lineRule="exact"/>
        <w:rPr>
          <w:sz w:val="20"/>
          <w:szCs w:val="20"/>
          <w:color w:val="auto"/>
        </w:rPr>
      </w:pPr>
    </w:p>
    <w:p>
      <w:pPr>
        <w:jc w:val="both"/>
        <w:ind w:right="20" w:firstLine="450"/>
        <w:spacing w:after="0" w:line="329" w:lineRule="auto"/>
        <w:rPr>
          <w:sz w:val="20"/>
          <w:szCs w:val="20"/>
          <w:color w:val="auto"/>
        </w:rPr>
      </w:pPr>
      <w:r>
        <w:rPr>
          <w:rFonts w:ascii="Times New Roman" w:cs="Times New Roman" w:eastAsia="Times New Roman" w:hAnsi="Times New Roman"/>
          <w:sz w:val="18"/>
          <w:szCs w:val="18"/>
          <w:color w:val="auto"/>
        </w:rPr>
        <w:t>During the three months ended October 31, 2025, we entered into interest rate swap contracts designated as fair value hedges covering a portion of the outstanding 2028 Notes. For further information refer to Note 8, Derivative Instruments.</w:t>
      </w:r>
    </w:p>
    <w:p>
      <w:pPr>
        <w:spacing w:after="0" w:line="10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net carrying amount of the 2028 Notes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April 30,</w:t>
            </w:r>
          </w:p>
        </w:tc>
        <w:tc>
          <w:tcPr>
            <w:tcW w:w="480" w:type="dxa"/>
            <w:vAlign w:val="bottom"/>
          </w:tcPr>
          <w:p>
            <w:pPr>
              <w:spacing w:after="0"/>
              <w:rPr>
                <w:sz w:val="18"/>
                <w:szCs w:val="18"/>
                <w:color w:val="auto"/>
              </w:rPr>
            </w:pPr>
          </w:p>
        </w:tc>
        <w:tc>
          <w:tcPr>
            <w:tcW w:w="1200" w:type="dxa"/>
            <w:vAlign w:val="bottom"/>
          </w:tcPr>
          <w:p>
            <w:pPr>
              <w:jc w:val="right"/>
              <w:ind w:right="473"/>
              <w:spacing w:after="0"/>
              <w:rPr>
                <w:sz w:val="20"/>
                <w:szCs w:val="20"/>
                <w:color w:val="auto"/>
              </w:rPr>
            </w:pPr>
            <w:r>
              <w:rPr>
                <w:rFonts w:ascii="Times New Roman" w:cs="Times New Roman" w:eastAsia="Times New Roman" w:hAnsi="Times New Roman"/>
                <w:sz w:val="16"/>
                <w:szCs w:val="16"/>
                <w:b w:val="1"/>
                <w:bCs w:val="1"/>
                <w:color w:val="auto"/>
              </w:rPr>
              <w:t>July 31,</w:t>
            </w:r>
          </w:p>
        </w:tc>
      </w:tr>
      <w:tr>
        <w:trPr>
          <w:trHeight w:val="219"/>
        </w:trPr>
        <w:tc>
          <w:tcPr>
            <w:tcW w:w="78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6"/>
        </w:trPr>
        <w:tc>
          <w:tcPr>
            <w:tcW w:w="7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8"/>
                <w:szCs w:val="18"/>
                <w:color w:val="auto"/>
              </w:rPr>
            </w:pPr>
          </w:p>
        </w:tc>
      </w:tr>
      <w:tr>
        <w:trPr>
          <w:trHeight w:val="23"/>
        </w:trPr>
        <w:tc>
          <w:tcPr>
            <w:tcW w:w="78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amount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1,725,000</w:t>
            </w:r>
          </w:p>
        </w:tc>
      </w:tr>
      <w:tr>
        <w:trPr>
          <w:trHeight w:val="22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8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18,152</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24,273</w:t>
            </w:r>
          </w:p>
        </w:tc>
      </w:tr>
      <w:tr>
        <w:trPr>
          <w:trHeight w:val="230"/>
        </w:trPr>
        <w:tc>
          <w:tcPr>
            <w:tcW w:w="78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Hedge accounting fair value adjustments</w:t>
            </w: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7,212</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1,699,636</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1,700,727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The total fair value of the 2028 Notes was $1,569.4 million and $1,686.5 million as of April 30, 2026 and July 31, 2025. The fair value was determined based on the closing trading price per $1,000 of the 2028 Notes as of the last day of trading for the reporting period. We considered the fair value of the 2028 Notes as of April 30, 2026 to be a Level II measurement as they are not actively traded.</w:t>
      </w:r>
    </w:p>
    <w:p>
      <w:pPr>
        <w:spacing w:after="0" w:line="135"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The interest expense of the 2028 Notes for the three and nine months ended April 30, 2026 was $2.0 million and $6.1 million, which consisted of the amortization of debt issuance costs.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7" w:name="page28"/>
    <w:bookmarkEnd w:id="2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2028 Capped Call Transactions</w:t>
      </w:r>
    </w:p>
    <w:p>
      <w:pPr>
        <w:spacing w:after="0" w:line="216"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In connection with the pricing of the 2028 Notes, we entered into capped call transactions (the "2028 Capped Calls") with certain financial institutions (the "Option Counterparties"). The 2028 Capped Calls have an initial strike price of $439.52 per share of our common stock, subject to certain adjustments, which corresponds to the initial conversion price of the 2028 Notes. The 2028 Capped Calls have an initial cap price of $784.85 per share of our common stock, subject to certain adjustments. The 2028 Capped Calls cover, subject to anti-dilution adjustments substantially similar to those applicable to the 2028 Notes, the number of shares of our common stock underlying the 2028 Notes. The 2028 Capped Calls are generally expected to reduce potential dilution to our common stock upon any conversion of the 2028 Notes and/or offset any cash payments we are required to make in excess of the principal amount of the converted 2028 Notes, as the case may be, with such reduction and/or offset subject to a cap. As of April 30, 2026, the terms of the 2028 Capped Calls have not been adjusted. Refer to Note 10, Convertible Senior Notes, to the audited consolidated financial statements included in our Fiscal 2025 Form 10-K for further information on the 2028 Capped Calls.</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 and 2025 Capped Call Transactions</w:t>
      </w:r>
    </w:p>
    <w:p>
      <w:pPr>
        <w:spacing w:after="0" w:line="216"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On June 25, 2020, we issued $1,150.0 million in aggregate principal amount of 0.125% convertible senior notes due 2025 (the "2025 Notes"). The 2025 Notes were unsecured obligations and bore a contractual interest rate of 0.125% per year with interest payable semiannually in arrears on January 1 and July 1 of each year. The 2025 Notes matured on July 1, 2025. We repaid the 2025 Notes in full by paying the principal amount of $1,150.0 million in cash and settling the premium amount by issuing 3.8 million new shares of our common stock. Additionally, we received 2.4 million shares of our common stock from the capped call transactions related to the 2025 Notes.</w:t>
      </w:r>
    </w:p>
    <w:p>
      <w:pPr>
        <w:spacing w:after="0" w:line="12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interest expense of the 2025 Notes consisted of the following:</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April</w:t>
            </w:r>
          </w:p>
        </w:tc>
      </w:tr>
      <w:tr>
        <w:trPr>
          <w:trHeight w:val="195"/>
        </w:trPr>
        <w:tc>
          <w:tcPr>
            <w:tcW w:w="7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April 30, 2025</w:t>
            </w:r>
          </w:p>
        </w:tc>
        <w:tc>
          <w:tcPr>
            <w:tcW w:w="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30, 2025</w:t>
            </w:r>
          </w:p>
        </w:tc>
      </w:tr>
      <w:tr>
        <w:trPr>
          <w:trHeight w:val="218"/>
        </w:trPr>
        <w:tc>
          <w:tcPr>
            <w:tcW w:w="7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3"/>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8"/>
                <w:szCs w:val="18"/>
                <w:color w:val="auto"/>
              </w:rPr>
            </w:pPr>
          </w:p>
        </w:tc>
      </w:tr>
      <w:tr>
        <w:trPr>
          <w:trHeight w:val="23"/>
        </w:trPr>
        <w:tc>
          <w:tcPr>
            <w:tcW w:w="7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w:t>
            </w:r>
          </w:p>
        </w:tc>
      </w:tr>
      <w:tr>
        <w:trPr>
          <w:trHeight w:val="230"/>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48"/>
        </w:trPr>
        <w:tc>
          <w:tcPr>
            <w:tcW w:w="78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w:t>
      </w:r>
    </w:p>
    <w:p>
      <w:pPr>
        <w:spacing w:after="0" w:line="202"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In December 2025, we took possession of our new headquarters located in Santa Clara, California. This lease, which was executed in fiscal 2025, consists of approximately 301,000 square feet of rentable space with a rent commencement date of August 15, 2026 and an expiration date of April 30, 2032. In accordance with ASU No. 842, Leases, we recognized in the condensed consolidated balance sheet a right-of-use asset of $14.8 million and a corresponding operating lease liability of $29.4 million upon possession.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Non-cancelable Purchase Obligations</w:t>
      </w:r>
    </w:p>
    <w:p>
      <w:pPr>
        <w:spacing w:after="0" w:line="216"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In the normal course of business, we enter into non-cancelable purchase commitments with various third parties to purchase products and services such as cloud infrastructure capacity, subscription-based cloud service arrangements, technology equipment, corporate and marketing events and consulting services. As of April 30, 2026, there have been no material changes outside the ordinary course of our business to our non-cancelable purchase obligations from those disclosed in the Fiscal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8" w:name="page29"/>
    <w:bookmarkEnd w:id="2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16"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We are a party to various litigation matters from time to time and subject to claims that arise in the ordinary course of business, including patent, commercial, product liability, employment, class action, whistleblower and other litigation and claims, as well as governmental and other regulatory investigations and proceedings. In addition, third parties may from time to time assert claims against us in the form of letters and other communications. There is no pending or threatened legal proceeding to which we are a party that, in our opinion, is likely to have a material adverse effect on our future financial results or operations; however, the results of litigation and claims are inherently unpredictable. Regardless of the outcome, litigation can have an adverse impact on us because of defense and settlement costs, diversion of management resources and other factors. The expense of litigation and the timing of this expense from period to period are difficult to estimate, subject to change and could adversely affect our results of operations.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Stock-Based Compensation</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w:t>
      </w:r>
    </w:p>
    <w:p>
      <w:pPr>
        <w:spacing w:after="0" w:line="216"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Equity incentive awards which may be granted to eligible participants under our Amended and Restated FY 2018 Equity Incentive Plan include restricted stock units, restricted stock, stock options, nonstatutory stock options, stock appreciation rights, performance units and performance shares.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1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activity of stock options for the nine months ended April 30, 2026 consisted of the following: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20" w:type="dxa"/>
            <w:vAlign w:val="bottom"/>
          </w:tcPr>
          <w:p>
            <w:pPr>
              <w:spacing w:after="0"/>
              <w:rPr>
                <w:sz w:val="16"/>
                <w:szCs w:val="16"/>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6"/>
                <w:szCs w:val="16"/>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Weighted-Average</w:t>
            </w:r>
          </w:p>
        </w:tc>
        <w:tc>
          <w:tcPr>
            <w:tcW w:w="200" w:type="dxa"/>
            <w:vAlign w:val="bottom"/>
          </w:tcPr>
          <w:p>
            <w:pPr>
              <w:spacing w:after="0"/>
              <w:rPr>
                <w:sz w:val="16"/>
                <w:szCs w:val="16"/>
                <w:color w:val="auto"/>
              </w:rPr>
            </w:pPr>
          </w:p>
        </w:tc>
        <w:tc>
          <w:tcPr>
            <w:tcW w:w="1140" w:type="dxa"/>
            <w:vAlign w:val="bottom"/>
            <w:vMerge w:val="restart"/>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vMerge w:val="continue"/>
          </w:tcPr>
          <w:p>
            <w:pPr>
              <w:spacing w:after="0"/>
              <w:rPr>
                <w:sz w:val="14"/>
                <w:szCs w:val="14"/>
                <w:color w:val="auto"/>
              </w:rPr>
            </w:pPr>
          </w:p>
        </w:tc>
        <w:tc>
          <w:tcPr>
            <w:tcW w:w="14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rPr>
              <w:t>Remaining</w:t>
            </w: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gridSpan w:val="2"/>
          </w:tcPr>
          <w:p>
            <w:pPr>
              <w:ind w:left="120"/>
              <w:spacing w:after="0" w:line="162"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42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6"/>
                <w:szCs w:val="16"/>
                <w:b w:val="1"/>
                <w:bCs w:val="1"/>
                <w:color w:val="auto"/>
                <w:w w:val="99"/>
              </w:rPr>
              <w:t>Contractual Term</w:t>
            </w:r>
          </w:p>
        </w:tc>
        <w:tc>
          <w:tcPr>
            <w:tcW w:w="200" w:type="dxa"/>
            <w:vAlign w:val="bottom"/>
          </w:tcPr>
          <w:p>
            <w:pPr>
              <w:spacing w:after="0"/>
              <w:rPr>
                <w:sz w:val="14"/>
                <w:szCs w:val="14"/>
                <w:color w:val="auto"/>
              </w:rPr>
            </w:pPr>
          </w:p>
        </w:tc>
        <w:tc>
          <w:tcPr>
            <w:tcW w:w="1140" w:type="dxa"/>
            <w:vAlign w:val="bottom"/>
          </w:tcPr>
          <w:p>
            <w:pPr>
              <w:jc w:val="center"/>
              <w:ind w:right="153"/>
              <w:spacing w:after="0" w:line="162"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14"/>
        </w:trPr>
        <w:tc>
          <w:tcPr>
            <w:tcW w:w="562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Options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(in years)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215"/>
        </w:trPr>
        <w:tc>
          <w:tcPr>
            <w:tcW w:w="5620" w:type="dxa"/>
            <w:vAlign w:val="bottom"/>
          </w:tcPr>
          <w:p>
            <w:pPr>
              <w:spacing w:after="0"/>
              <w:rPr>
                <w:sz w:val="18"/>
                <w:szCs w:val="18"/>
                <w:color w:val="auto"/>
              </w:rPr>
            </w:pPr>
          </w:p>
        </w:tc>
        <w:tc>
          <w:tcPr>
            <w:tcW w:w="4480" w:type="dxa"/>
            <w:vAlign w:val="bottom"/>
            <w:gridSpan w:val="8"/>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 and years)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2025</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220.95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11,854</w:t>
            </w:r>
          </w:p>
        </w:tc>
        <w:tc>
          <w:tcPr>
            <w:tcW w:w="0" w:type="dxa"/>
            <w:vAlign w:val="bottom"/>
          </w:tcPr>
          <w:p>
            <w:pPr>
              <w:spacing w:after="0"/>
              <w:rPr>
                <w:sz w:val="1"/>
                <w:szCs w:val="1"/>
                <w:color w:val="auto"/>
              </w:rPr>
            </w:pP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3,679</w:t>
            </w:r>
          </w:p>
        </w:tc>
        <w:tc>
          <w:tcPr>
            <w:tcW w:w="0" w:type="dxa"/>
            <w:vAlign w:val="bottom"/>
          </w:tcPr>
          <w:p>
            <w:pPr>
              <w:spacing w:after="0"/>
              <w:rPr>
                <w:sz w:val="1"/>
                <w:szCs w:val="1"/>
                <w:color w:val="auto"/>
              </w:rPr>
            </w:pP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 forfeited or expired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1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232.74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and expected to vest as of July 31, 2025</w:t>
            </w: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vMerge w:val="continue"/>
          </w:tcPr>
          <w:p>
            <w:pPr>
              <w:spacing w:after="0"/>
              <w:rPr>
                <w:sz w:val="17"/>
                <w:szCs w:val="17"/>
                <w:color w:val="auto"/>
              </w:rPr>
            </w:pP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w:t>
            </w:r>
          </w:p>
        </w:tc>
        <w:tc>
          <w:tcPr>
            <w:tcW w:w="340" w:type="dxa"/>
            <w:vAlign w:val="bottom"/>
            <w:gridSpan w:val="2"/>
          </w:tcPr>
          <w:p>
            <w:pPr>
              <w:ind w:left="1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172.65</w:t>
            </w:r>
          </w:p>
        </w:tc>
        <w:tc>
          <w:tcPr>
            <w:tcW w:w="100" w:type="dxa"/>
            <w:vAlign w:val="bottom"/>
          </w:tcPr>
          <w:p>
            <w:pPr>
              <w:spacing w:after="0"/>
              <w:rPr>
                <w:sz w:val="17"/>
                <w:szCs w:val="17"/>
                <w:color w:val="auto"/>
              </w:rPr>
            </w:pPr>
          </w:p>
        </w:tc>
        <w:tc>
          <w:tcPr>
            <w:tcW w:w="1320" w:type="dxa"/>
            <w:vAlign w:val="bottom"/>
          </w:tcPr>
          <w:p>
            <w:pPr>
              <w:jc w:val="center"/>
              <w:spacing w:after="0" w:line="203" w:lineRule="exact"/>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7"/>
                <w:szCs w:val="17"/>
                <w:color w:val="auto"/>
              </w:rPr>
            </w:pPr>
          </w:p>
        </w:tc>
        <w:tc>
          <w:tcPr>
            <w:tcW w:w="2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5,304</w:t>
            </w:r>
          </w:p>
        </w:tc>
        <w:tc>
          <w:tcPr>
            <w:tcW w:w="0" w:type="dxa"/>
            <w:vAlign w:val="bottom"/>
          </w:tcPr>
          <w:p>
            <w:pPr>
              <w:spacing w:after="0"/>
              <w:rPr>
                <w:sz w:val="1"/>
                <w:szCs w:val="1"/>
                <w:color w:val="auto"/>
              </w:rPr>
            </w:pPr>
          </w:p>
        </w:tc>
      </w:tr>
      <w:tr>
        <w:trPr>
          <w:trHeight w:val="20"/>
        </w:trPr>
        <w:tc>
          <w:tcPr>
            <w:tcW w:w="56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Exercisable and expected to vest as of April 30,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total intrinsic value of options exercised for the nine months ended April 30, 2026 and 2025 was $3.7 million and $59.3 million,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grant date fair value per share of stock options granted in the nine months ended April 30, 2025 was $118.81.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29" w:name="page30"/>
    <w:bookmarkEnd w:id="2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estimate the fair value of stock options using the Black-Scholes option pricing model with the following assumptions: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380" w:type="dxa"/>
            <w:vAlign w:val="bottom"/>
          </w:tcPr>
          <w:p>
            <w:pPr>
              <w:spacing w:after="0"/>
              <w:rPr>
                <w:sz w:val="16"/>
                <w:szCs w:val="16"/>
                <w:color w:val="auto"/>
              </w:rPr>
            </w:pPr>
          </w:p>
        </w:tc>
        <w:tc>
          <w:tcPr>
            <w:tcW w:w="18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April</w:t>
            </w:r>
          </w:p>
        </w:tc>
      </w:tr>
      <w:tr>
        <w:trPr>
          <w:trHeight w:val="214"/>
        </w:trPr>
        <w:tc>
          <w:tcPr>
            <w:tcW w:w="9380" w:type="dxa"/>
            <w:vAlign w:val="bottom"/>
          </w:tcPr>
          <w:p>
            <w:pPr>
              <w:spacing w:after="0"/>
              <w:rPr>
                <w:sz w:val="18"/>
                <w:szCs w:val="18"/>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30, 2025</w:t>
            </w:r>
          </w:p>
        </w:tc>
      </w:tr>
      <w:tr>
        <w:trPr>
          <w:trHeight w:val="36"/>
        </w:trPr>
        <w:tc>
          <w:tcPr>
            <w:tcW w:w="9380" w:type="dxa"/>
            <w:vAlign w:val="bottom"/>
          </w:tcPr>
          <w:p>
            <w:pPr>
              <w:spacing w:after="0"/>
              <w:rPr>
                <w:sz w:val="3"/>
                <w:szCs w:val="3"/>
                <w:color w:val="auto"/>
              </w:rPr>
            </w:pPr>
          </w:p>
        </w:tc>
        <w:tc>
          <w:tcPr>
            <w:tcW w:w="1860" w:type="dxa"/>
            <w:vAlign w:val="bottom"/>
          </w:tcPr>
          <w:p>
            <w:pPr>
              <w:spacing w:after="0"/>
              <w:rPr>
                <w:sz w:val="3"/>
                <w:szCs w:val="3"/>
                <w:color w:val="auto"/>
              </w:rPr>
            </w:pPr>
          </w:p>
        </w:tc>
      </w:tr>
      <w:tr>
        <w:trPr>
          <w:trHeight w:val="229"/>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6.0</w:t>
            </w:r>
          </w:p>
        </w:tc>
      </w:tr>
      <w:tr>
        <w:trPr>
          <w:trHeight w:val="229"/>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57.7%</w:t>
            </w:r>
          </w:p>
        </w:tc>
      </w:tr>
      <w:tr>
        <w:trPr>
          <w:trHeight w:val="23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w:t>
            </w:r>
          </w:p>
        </w:tc>
      </w:tr>
      <w:tr>
        <w:trPr>
          <w:trHeight w:val="234"/>
        </w:trPr>
        <w:tc>
          <w:tcPr>
            <w:tcW w:w="9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r>
    </w:tbl>
    <w:p>
      <w:pPr>
        <w:spacing w:after="0" w:line="34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There were no stock options granted during nine months ended April 30, 2026.</w:t>
      </w:r>
    </w:p>
    <w:p>
      <w:pPr>
        <w:spacing w:after="0" w:line="3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and Performance Stock Awards</w:t>
      </w:r>
    </w:p>
    <w:p>
      <w:pPr>
        <w:spacing w:after="0" w:line="216"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The activity of restricted stock units ("RSUs") and performance stock awards ("PSAs") consisted of the following for the nine months ended April 30, 2026:</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Weighted-Average</w:t>
            </w:r>
          </w:p>
        </w:tc>
        <w:tc>
          <w:tcPr>
            <w:tcW w:w="140" w:type="dxa"/>
            <w:vAlign w:val="bottom"/>
          </w:tcPr>
          <w:p>
            <w:pPr>
              <w:spacing w:after="0"/>
              <w:rPr>
                <w:sz w:val="16"/>
                <w:szCs w:val="16"/>
                <w:color w:val="auto"/>
              </w:rPr>
            </w:pPr>
          </w:p>
        </w:tc>
        <w:tc>
          <w:tcPr>
            <w:tcW w:w="1200" w:type="dxa"/>
            <w:vAlign w:val="bottom"/>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7040" w:type="dxa"/>
            <w:vAlign w:val="bottom"/>
          </w:tcPr>
          <w:p>
            <w:pPr>
              <w:spacing w:after="0"/>
              <w:rPr>
                <w:sz w:val="14"/>
                <w:szCs w:val="14"/>
                <w:color w:val="auto"/>
              </w:rPr>
            </w:pPr>
          </w:p>
        </w:tc>
        <w:tc>
          <w:tcPr>
            <w:tcW w:w="1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Underlying Shares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Grant Date Fair</w:t>
            </w:r>
          </w:p>
        </w:tc>
        <w:tc>
          <w:tcPr>
            <w:tcW w:w="14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04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9"/>
              </w:rPr>
              <w:t>Intrinsic Value</w:t>
            </w:r>
          </w:p>
        </w:tc>
        <w:tc>
          <w:tcPr>
            <w:tcW w:w="0" w:type="dxa"/>
            <w:vAlign w:val="bottom"/>
          </w:tcPr>
          <w:p>
            <w:pPr>
              <w:spacing w:after="0"/>
              <w:rPr>
                <w:sz w:val="1"/>
                <w:szCs w:val="1"/>
                <w:color w:val="auto"/>
              </w:rPr>
            </w:pPr>
          </w:p>
        </w:tc>
      </w:tr>
      <w:tr>
        <w:trPr>
          <w:trHeight w:val="215"/>
        </w:trPr>
        <w:tc>
          <w:tcPr>
            <w:tcW w:w="7040" w:type="dxa"/>
            <w:vAlign w:val="bottom"/>
          </w:tcPr>
          <w:p>
            <w:pPr>
              <w:spacing w:after="0"/>
              <w:rPr>
                <w:sz w:val="18"/>
                <w:szCs w:val="18"/>
                <w:color w:val="auto"/>
              </w:rPr>
            </w:pPr>
          </w:p>
        </w:tc>
        <w:tc>
          <w:tcPr>
            <w:tcW w:w="420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
        </w:trPr>
        <w:tc>
          <w:tcPr>
            <w:tcW w:w="70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July 31, 2025</w:t>
            </w:r>
          </w:p>
        </w:tc>
        <w:tc>
          <w:tcPr>
            <w:tcW w:w="1340" w:type="dxa"/>
            <w:vAlign w:val="bottom"/>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8"/>
              </w:rPr>
              <w:t>9,444</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2,697,026</w:t>
            </w:r>
          </w:p>
        </w:tc>
        <w:tc>
          <w:tcPr>
            <w:tcW w:w="0" w:type="dxa"/>
            <w:vAlign w:val="bottom"/>
          </w:tcPr>
          <w:p>
            <w:pPr>
              <w:spacing w:after="0"/>
              <w:rPr>
                <w:sz w:val="1"/>
                <w:szCs w:val="1"/>
                <w:color w:val="auto"/>
              </w:rPr>
            </w:pP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tcPr>
          <w:p>
            <w:pPr>
              <w:jc w:val="center"/>
              <w:ind w:left="694"/>
              <w:spacing w:after="0"/>
              <w:rPr>
                <w:sz w:val="20"/>
                <w:szCs w:val="20"/>
                <w:color w:val="auto"/>
              </w:rPr>
            </w:pPr>
            <w:r>
              <w:rPr>
                <w:rFonts w:ascii="Times New Roman" w:cs="Times New Roman" w:eastAsia="Times New Roman" w:hAnsi="Times New Roman"/>
                <w:sz w:val="18"/>
                <w:szCs w:val="18"/>
                <w:color w:val="auto"/>
                <w:w w:val="98"/>
              </w:rPr>
              <w:t>4,381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shd w:val="clear" w:color="auto" w:fill="CCEEFF"/>
          </w:tcPr>
          <w:p>
            <w:pPr>
              <w:jc w:val="center"/>
              <w:ind w:left="674"/>
              <w:spacing w:after="0"/>
              <w:rPr>
                <w:sz w:val="20"/>
                <w:szCs w:val="20"/>
                <w:color w:val="auto"/>
              </w:rPr>
            </w:pPr>
            <w:r>
              <w:rPr>
                <w:rFonts w:ascii="Times New Roman" w:cs="Times New Roman" w:eastAsia="Times New Roman" w:hAnsi="Times New Roman"/>
                <w:sz w:val="18"/>
                <w:szCs w:val="18"/>
                <w:color w:val="auto"/>
              </w:rPr>
              <w:t>(2,917)</w:t>
            </w:r>
          </w:p>
        </w:tc>
        <w:tc>
          <w:tcPr>
            <w:tcW w:w="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657,872</w:t>
            </w:r>
          </w:p>
        </w:tc>
        <w:tc>
          <w:tcPr>
            <w:tcW w:w="0" w:type="dxa"/>
            <w:vAlign w:val="bottom"/>
          </w:tcPr>
          <w:p>
            <w:pPr>
              <w:spacing w:after="0"/>
              <w:rPr>
                <w:sz w:val="1"/>
                <w:szCs w:val="1"/>
                <w:color w:val="auto"/>
              </w:rPr>
            </w:pPr>
          </w:p>
        </w:tc>
      </w:tr>
      <w:tr>
        <w:trPr>
          <w:trHeight w:val="230"/>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Canceled or forfeited</w:t>
            </w:r>
          </w:p>
        </w:tc>
        <w:tc>
          <w:tcPr>
            <w:tcW w:w="1340" w:type="dxa"/>
            <w:vAlign w:val="bottom"/>
            <w:tcBorders>
              <w:bottom w:val="single" w:sz="8" w:color="auto"/>
            </w:tcBorders>
          </w:tcPr>
          <w:p>
            <w:pPr>
              <w:jc w:val="center"/>
              <w:ind w:left="674"/>
              <w:spacing w:after="0"/>
              <w:rPr>
                <w:sz w:val="20"/>
                <w:szCs w:val="20"/>
                <w:color w:val="auto"/>
              </w:rPr>
            </w:pPr>
            <w:r>
              <w:rPr>
                <w:rFonts w:ascii="Times New Roman" w:cs="Times New Roman" w:eastAsia="Times New Roman" w:hAnsi="Times New Roman"/>
                <w:sz w:val="18"/>
                <w:szCs w:val="18"/>
                <w:color w:val="auto"/>
              </w:rPr>
              <w:t>(1,313)</w:t>
            </w:r>
          </w:p>
        </w:tc>
        <w:tc>
          <w:tcPr>
            <w:tcW w:w="2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175.67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2026</w:t>
            </w:r>
          </w:p>
        </w:tc>
        <w:tc>
          <w:tcPr>
            <w:tcW w:w="1340" w:type="dxa"/>
            <w:vAlign w:val="bottom"/>
            <w:tcBorders>
              <w:bottom w:val="single" w:sz="8" w:color="auto"/>
            </w:tcBorders>
            <w:shd w:val="clear" w:color="auto" w:fill="CCEEFF"/>
          </w:tcPr>
          <w:p>
            <w:pPr>
              <w:jc w:val="center"/>
              <w:ind w:left="694"/>
              <w:spacing w:after="0"/>
              <w:rPr>
                <w:sz w:val="20"/>
                <w:szCs w:val="20"/>
                <w:color w:val="auto"/>
              </w:rPr>
            </w:pPr>
            <w:r>
              <w:rPr>
                <w:rFonts w:ascii="Times New Roman" w:cs="Times New Roman" w:eastAsia="Times New Roman" w:hAnsi="Times New Roman"/>
                <w:sz w:val="18"/>
                <w:szCs w:val="18"/>
                <w:color w:val="auto"/>
                <w:w w:val="98"/>
              </w:rPr>
              <w:t>9,595</w:t>
            </w:r>
          </w:p>
        </w:tc>
        <w:tc>
          <w:tcPr>
            <w:tcW w:w="2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1,253,894</w:t>
            </w:r>
          </w:p>
        </w:tc>
        <w:tc>
          <w:tcPr>
            <w:tcW w:w="0" w:type="dxa"/>
            <w:vAlign w:val="bottom"/>
          </w:tcPr>
          <w:p>
            <w:pPr>
              <w:spacing w:after="0"/>
              <w:rPr>
                <w:sz w:val="1"/>
                <w:szCs w:val="1"/>
                <w:color w:val="auto"/>
              </w:rPr>
            </w:pP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16"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In fiscal 2018, we adopted the FY 2018 Employee Stock Purchase Plan (the "ESPP"). During the nine months ended April 30, 2026, employees purchased 0.1 million shares of our common stock under the ESPP at an average purchase price of $175.05 per share, resulting in cash proceeds of $21.5 million. ESPP employee payroll contributions accrued as of April 30, 2026 and July 31, 2025, were $39.3 million and $9.4 million, respectively, and are included within accrued compensation in the condensed consolidated balance sheets. Payroll contributions accrued as of April 30, 2026 will be used to purchase shares at the end of the current ESPP purchase period ending on June 15, 2026. Payroll contributions ultimately used to purchase shares are reclassified to stockholders’ equity on the purchase date.</w:t>
      </w:r>
    </w:p>
    <w:p>
      <w:pPr>
        <w:spacing w:after="0" w:line="145"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The fair value of the purchase right for the ESPP was estimated on the grant date using the Black-Scholes option-pricing model with the following assumptions:</w:t>
      </w:r>
    </w:p>
    <w:p>
      <w:pPr>
        <w:spacing w:after="0" w:line="12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600" w:type="dxa"/>
            <w:vAlign w:val="bottom"/>
          </w:tcPr>
          <w:p>
            <w:pPr>
              <w:spacing w:after="0"/>
              <w:rPr>
                <w:sz w:val="18"/>
                <w:szCs w:val="18"/>
                <w:color w:val="auto"/>
              </w:rPr>
            </w:pPr>
          </w:p>
        </w:tc>
        <w:tc>
          <w:tcPr>
            <w:tcW w:w="3460" w:type="dxa"/>
            <w:vAlign w:val="bottom"/>
            <w:tcBorders>
              <w:bottom w:val="single" w:sz="8" w:color="auto"/>
            </w:tcBorders>
            <w:gridSpan w:val="5"/>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760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1680" w:type="dxa"/>
            <w:vAlign w:val="bottom"/>
            <w:tcBorders>
              <w:bottom w:val="single" w:sz="8" w:color="auto"/>
            </w:tcBorders>
            <w:gridSpan w:val="2"/>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36"/>
        </w:trPr>
        <w:tc>
          <w:tcPr>
            <w:tcW w:w="7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- 2.0</w:t>
            </w: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- 42.7%</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- 47.6%</w:t>
            </w: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- 3.6%</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- 4.3%</w:t>
            </w:r>
          </w:p>
        </w:tc>
      </w:tr>
      <w:tr>
        <w:trPr>
          <w:trHeight w:val="234"/>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78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0" w:name="page31"/>
    <w:bookmarkEnd w:id="3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components of stock-based compensation expense recognized in the condensed consolidated statements of operations consisted of the following:</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60" w:type="dxa"/>
            <w:vAlign w:val="bottom"/>
          </w:tcPr>
          <w:p>
            <w:pPr>
              <w:spacing w:after="0"/>
              <w:rPr>
                <w:sz w:val="18"/>
                <w:szCs w:val="18"/>
                <w:color w:val="auto"/>
              </w:rPr>
            </w:pPr>
          </w:p>
        </w:tc>
        <w:tc>
          <w:tcPr>
            <w:tcW w:w="29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0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7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4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
        </w:trPr>
        <w:tc>
          <w:tcPr>
            <w:tcW w:w="4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80" w:type="dxa"/>
            <w:vAlign w:val="bottom"/>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63,898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49,963</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0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69,293</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191,553</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85,951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60,615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243,083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183,185</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28,719</w:t>
            </w: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20,824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85,854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63,995</w:t>
            </w:r>
          </w:p>
        </w:tc>
      </w:tr>
      <w:tr>
        <w:trPr>
          <w:trHeight w:val="248"/>
        </w:trPr>
        <w:tc>
          <w:tcPr>
            <w:tcW w:w="40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95"/>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205,186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3"/>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488,696</w:t>
            </w: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During the three months ended April 30, 2026 and 2025, we capitalized stock-based compensation primarily associated with the development of software for internal-use of $10.4 million and $9.7 million, respectively. During the nine months ended April 30, 2026 and 2025, the amount capitalized was $29.8 million and $34.4 million,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20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tax provision for interim periods is determined using an estimate of our annual effective tax rate, adjusted for discrete items, if any, that arise during the period. Each quarter, we update our estimate of the annual effective tax rate, and if the estimated annual effective tax rate changes, we make a cumulative adjustment in such period.</w:t>
      </w:r>
    </w:p>
    <w:p>
      <w:pPr>
        <w:spacing w:after="0" w:line="12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quarterly tax provision for, and estimate of, our annual effective tax rate, is subject to variation due to several factors, including variability in pre-tax income (or loss), the mix of jurisdictions to which such income relates, changes in our business operations and changes in tax laws. Our estimated annual effective tax rate for the year differs from the U.S. statutory rate of 21% as a result of our U.S. losses for which no tax benefit will be realized, as well as our foreign operations which are subject to tax rates that differ from those in the United States.</w:t>
      </w:r>
    </w:p>
    <w:p>
      <w:pPr>
        <w:spacing w:after="0" w:line="122"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For the three months ended April 30, 2026 and 2025, we recorded provision for income taxes of $11.5 million and $8.7 million, respectively. We recorded provision for income taxes of $27.8 million and $7.5 million for the nine months ended April 30, 2026 and 2025, respectively. The increase for the three months ended April 30, 2026 was primarily driven by the increase in our pre-tax income in non-U.S. jurisdictions in which we conduct business. The increase for the nine months ended April 30, 2026 was primarily driven by a non-recurring release of valuation allowance on our United Kingdom deferred tax assets in the prior year. We are subject to income tax in the U.S. as well as other tax jurisdictions in which we conduct business. Earnings from our non-U.S. operations are subject to income taxes in the countries in which we operate.</w:t>
      </w:r>
    </w:p>
    <w:p>
      <w:pPr>
        <w:spacing w:after="0" w:line="131"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The realization of deferred tax assets is dependent upon the generation of sufficient taxable income of the appropriate character in future periods. We assess our ability to realize the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Due to the weight of objectively verifiable negative evidence, including our history of losses in certain jurisdictions, we believe that it is more likely than not that our U.S. federal, state and certain foreign jurisdictions deferred tax assets will not be realized. Accordingly, we have maintained a valuation allowance on our U.S. federal, state and certain foreign jurisdiction deferred tax assets.</w:t>
      </w:r>
    </w:p>
    <w:p>
      <w:pPr>
        <w:spacing w:after="0" w:line="130" w:lineRule="exact"/>
        <w:rPr>
          <w:sz w:val="20"/>
          <w:szCs w:val="20"/>
          <w:color w:val="auto"/>
        </w:rPr>
      </w:pPr>
    </w:p>
    <w:p>
      <w:pPr>
        <w:jc w:val="both"/>
        <w:ind w:firstLine="450"/>
        <w:spacing w:after="0" w:line="344"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the One Big Beautiful Bill Act. Included in this legislation are provisions that allow for the immediate expensing of domestic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1" w:name="page32"/>
    <w:bookmarkEnd w:id="3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immediate expensing of certain capital expenditures, and other changes to the U.S. taxation of profits derived from foreign operations. We began accounting for the provisions in the legislation in fiscal 2026, which resulted in an immaterial favorable effect on the income tax provision, mainly due to the Company's valuation allowance.</w:t>
      </w:r>
    </w:p>
    <w:p>
      <w:pPr>
        <w:spacing w:after="0" w:line="135"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The Organization for Economic Cooperation and Development’s (OECD) January 2026 guidance introduced a "Side-by-Side Safe Harbor" that may exempt our U.S. operations from certain global minimum tax rules effective for fiscal years beginning on or after January 1, 2026. However, this relief does not extend to foreign jurisdictions where local minimum tax requirements remain applicable. We continue to monitor these developments and are assessing the potential impact on the income tax provision beginning in fiscal 2027.</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Net Loss Per Share</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computation of basic and diluted net loss per share consisted of the following:</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4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00" w:type="dxa"/>
            <w:vAlign w:val="bottom"/>
          </w:tcPr>
          <w:p>
            <w:pPr>
              <w:spacing w:after="0"/>
              <w:rPr>
                <w:sz w:val="18"/>
                <w:szCs w:val="18"/>
                <w:color w:val="auto"/>
              </w:rPr>
            </w:pPr>
          </w:p>
        </w:tc>
        <w:tc>
          <w:tcPr>
            <w:tcW w:w="2720" w:type="dxa"/>
            <w:vAlign w:val="bottom"/>
            <w:gridSpan w:val="4"/>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8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4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4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
        </w:trPr>
        <w:tc>
          <w:tcPr>
            <w:tcW w:w="4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175"/>
        </w:trPr>
        <w:tc>
          <w:tcPr>
            <w:tcW w:w="48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shares used in computing net loss per share,</w:t>
            </w:r>
          </w:p>
        </w:tc>
        <w:tc>
          <w:tcPr>
            <w:tcW w:w="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43"/>
        </w:trPr>
        <w:tc>
          <w:tcPr>
            <w:tcW w:w="4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160,741</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154,909</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159,662</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153,699</w:t>
            </w: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Since we have reported net losses for all periods presented, we have excluded all potentially dilutive securities from the calculation of the diluted net loss per share as their effect is antidilutive and accordingly, the basic and diluted net loss per share is the same for all periods presented.</w:t>
      </w:r>
    </w:p>
    <w:p>
      <w:pPr>
        <w:spacing w:after="0" w:line="175"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We calculate the potential dilutive effect of the convertible senior notes under the if-converted method. Under this method, diluted earnings per share are determined by assuming that outstanding convertible senior notes were converted into shares of our common stock at the beginning of the reporting period. In connection with the issuance of the convertible senior notes, we entered into the capped call transactions, which were not included for purposes of calculating the number of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2" w:name="page33"/>
    <w:bookmarkEnd w:id="3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shares outstanding, as their effect would have been anti-dilutive. The capped call transactions are expected to partially offset the potential dilution to our common stock upon any conversion of the convertible senior notes.</w:t>
      </w:r>
    </w:p>
    <w:p>
      <w:pPr>
        <w:spacing w:after="0" w:line="108" w:lineRule="exact"/>
        <w:rPr>
          <w:sz w:val="20"/>
          <w:szCs w:val="20"/>
          <w:color w:val="auto"/>
        </w:rPr>
      </w:pPr>
    </w:p>
    <w:p>
      <w:pPr>
        <w:ind w:firstLine="450"/>
        <w:spacing w:after="0" w:line="344" w:lineRule="auto"/>
        <w:rPr>
          <w:sz w:val="20"/>
          <w:szCs w:val="20"/>
          <w:color w:val="auto"/>
        </w:rPr>
      </w:pPr>
      <w:r>
        <w:rPr>
          <w:rFonts w:ascii="Times New Roman" w:cs="Times New Roman" w:eastAsia="Times New Roman" w:hAnsi="Times New Roman"/>
          <w:sz w:val="18"/>
          <w:szCs w:val="18"/>
          <w:color w:val="auto"/>
        </w:rPr>
        <w:t>The following table summarizes the outstanding potentially dilutive securities that were excluded from the computation of diluted net loss per share as their effect would be antidilutive:</w:t>
      </w:r>
    </w:p>
    <w:p>
      <w:pPr>
        <w:spacing w:after="0" w:line="111"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6"/>
          <w:szCs w:val="16"/>
          <w:b w:val="1"/>
          <w:bCs w:val="1"/>
          <w:color w:val="auto"/>
        </w:rPr>
        <w:t>April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22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8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160" w:type="dxa"/>
            <w:vAlign w:val="bottom"/>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r>
      <w:tr>
        <w:trPr>
          <w:trHeight w:val="23"/>
        </w:trPr>
        <w:tc>
          <w:tcPr>
            <w:tcW w:w="8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30"/>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RSUs and shares of common stock</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9,498</w:t>
            </w:r>
          </w:p>
        </w:tc>
      </w:tr>
      <w:tr>
        <w:trPr>
          <w:trHeight w:val="229"/>
        </w:trPr>
        <w:tc>
          <w:tcPr>
            <w:tcW w:w="9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Unvested PSAs </w:t>
            </w:r>
            <w:r>
              <w:rPr>
                <w:rFonts w:ascii="Times New Roman" w:cs="Times New Roman" w:eastAsia="Times New Roman" w:hAnsi="Times New Roman"/>
                <w:sz w:val="23"/>
                <w:szCs w:val="23"/>
                <w:color w:val="auto"/>
                <w:vertAlign w:val="superscript"/>
              </w:rPr>
              <w:t>(1)</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r>
      <w:tr>
        <w:trPr>
          <w:trHeight w:val="230"/>
        </w:trPr>
        <w:tc>
          <w:tcPr>
            <w:tcW w:w="9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purchase rights under the ESPP</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w:t>
            </w:r>
          </w:p>
        </w:tc>
      </w:tr>
      <w:tr>
        <w:trPr>
          <w:trHeight w:val="229"/>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910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2028 Notes </w:t>
            </w:r>
            <w:r>
              <w:rPr>
                <w:rFonts w:ascii="Times New Roman" w:cs="Times New Roman" w:eastAsia="Times New Roman" w:hAnsi="Times New Roman"/>
                <w:sz w:val="23"/>
                <w:szCs w:val="23"/>
                <w:color w:val="auto"/>
                <w:vertAlign w:val="superscript"/>
              </w:rPr>
              <w:t>(2)</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10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2025 Notes </w:t>
            </w:r>
            <w:r>
              <w:rPr>
                <w:rFonts w:ascii="Times New Roman" w:cs="Times New Roman" w:eastAsia="Times New Roman" w:hAnsi="Times New Roman"/>
                <w:sz w:val="23"/>
                <w:szCs w:val="23"/>
                <w:color w:val="auto"/>
                <w:vertAlign w:val="superscript"/>
              </w:rPr>
              <w:t>(2)</w:t>
            </w:r>
          </w:p>
        </w:tc>
        <w:tc>
          <w:tcPr>
            <w:tcW w:w="11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7,626</w:t>
            </w:r>
          </w:p>
        </w:tc>
      </w:tr>
      <w:tr>
        <w:trPr>
          <w:trHeight w:val="248"/>
        </w:trPr>
        <w:tc>
          <w:tcPr>
            <w:tcW w:w="82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auto"/>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19,293</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332"/>
        <w:spacing w:after="0" w:line="288" w:lineRule="auto"/>
        <w:tabs>
          <w:tab w:leader="none" w:pos="52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number of unvested PSAs is estimated at 100% of the target number of shares granted and excludes unvested PSAs for which performance conditions have not been established as of April 30, 2026 and 2025, as they are not considered outstanding for accounting purposes. For further information refer to Note 13, Stock-Based Compensation.</w:t>
      </w:r>
    </w:p>
    <w:p>
      <w:pPr>
        <w:spacing w:after="0" w:line="144" w:lineRule="exact"/>
        <w:rPr>
          <w:rFonts w:ascii="Times New Roman" w:cs="Times New Roman" w:eastAsia="Times New Roman" w:hAnsi="Times New Roman"/>
          <w:sz w:val="23"/>
          <w:szCs w:val="23"/>
          <w:color w:val="auto"/>
          <w:vertAlign w:val="superscript"/>
        </w:rPr>
      </w:pPr>
    </w:p>
    <w:p>
      <w:pPr>
        <w:ind w:right="20" w:firstLine="332"/>
        <w:spacing w:after="0" w:line="340" w:lineRule="auto"/>
        <w:tabs>
          <w:tab w:leader="none" w:pos="489" w:val="left"/>
        </w:tabs>
        <w:numPr>
          <w:ilvl w:val="0"/>
          <w:numId w:val="8"/>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Based on the initial conversion price, the entire outstanding principal amount of the 2028 Notes as of April 30, 2026 and the 2025 Notes as of April 30, 2025 would have been convertible into approximately 3.9 million shares and 7.6 million shares of our common stock, respectively.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Segment Information</w:t>
      </w:r>
    </w:p>
    <w:p>
      <w:pPr>
        <w:spacing w:after="0" w:line="256"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We operate globally as a single operating and reportable segment with one primary business activity. Using a SaaS business model, we primarily generate revenue from sales of subscriptions to grant customers access to our cloud platform along with related support services. Our chief operating decision maker ("CODM") is our chief executive officer. Consolidated financial information, including revenue and significant adjusted segment expenses, is regularly provided to the CODM for purposes of allocating resources and evaluating financial performance. This information is also used in our annual budgeting and forecasting processes to establish goals and compare actual results against both budgeted targets and historical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3" w:name="page34"/>
    <w:bookmarkEnd w:id="3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performance. Our CODM uses consolidated net loss as the measure of our segment profit or loss. The measure of our segment assets is reported as total assets on the consolidated balance sheets.</w:t>
      </w:r>
    </w:p>
    <w:p>
      <w:pPr>
        <w:spacing w:after="0" w:line="108" w:lineRule="exact"/>
        <w:rPr>
          <w:sz w:val="20"/>
          <w:szCs w:val="20"/>
          <w:color w:val="auto"/>
        </w:rPr>
      </w:pPr>
    </w:p>
    <w:p>
      <w:pPr>
        <w:ind w:firstLine="450"/>
        <w:spacing w:after="0" w:line="344" w:lineRule="auto"/>
        <w:rPr>
          <w:sz w:val="20"/>
          <w:szCs w:val="20"/>
          <w:color w:val="auto"/>
        </w:rPr>
      </w:pPr>
      <w:r>
        <w:rPr>
          <w:rFonts w:ascii="Times New Roman" w:cs="Times New Roman" w:eastAsia="Times New Roman" w:hAnsi="Times New Roman"/>
          <w:sz w:val="18"/>
          <w:szCs w:val="18"/>
          <w:color w:val="auto"/>
        </w:rPr>
        <w:t>The following table sets forth our segment revenue, significant adjusted segment expenses and other segment items to reconcile to condensed consolidated net loss: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560" w:type="dxa"/>
            <w:vAlign w:val="bottom"/>
          </w:tcPr>
          <w:p>
            <w:pPr>
              <w:spacing w:after="0"/>
              <w:rPr>
                <w:sz w:val="18"/>
                <w:szCs w:val="18"/>
                <w:color w:val="auto"/>
              </w:rPr>
            </w:pPr>
          </w:p>
        </w:tc>
        <w:tc>
          <w:tcPr>
            <w:tcW w:w="2660" w:type="dxa"/>
            <w:vAlign w:val="bottom"/>
            <w:gridSpan w:val="4"/>
          </w:tcPr>
          <w:p>
            <w:pPr>
              <w:jc w:val="center"/>
              <w:ind w:right="491"/>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9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w w:val="93"/>
              </w:rPr>
              <w:t>2026</w:t>
            </w: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49"/>
        </w:trPr>
        <w:tc>
          <w:tcPr>
            <w:tcW w:w="49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80" w:type="dxa"/>
            <w:vAlign w:val="bottom"/>
            <w:gridSpan w:val="3"/>
          </w:tcPr>
          <w:p>
            <w:pPr>
              <w:jc w:val="center"/>
              <w:ind w:left="671"/>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32"/>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850,475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678,034</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2,454,338</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1,953,889</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49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Adjusted cost of revenue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483,572</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382,944</w:t>
            </w:r>
          </w:p>
        </w:tc>
      </w:tr>
      <w:tr>
        <w:trPr>
          <w:trHeight w:val="229"/>
        </w:trPr>
        <w:tc>
          <w:tcPr>
            <w:tcW w:w="49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Adjusted sales and marketing expenses </w:t>
            </w:r>
            <w:r>
              <w:rPr>
                <w:rFonts w:ascii="Times New Roman" w:cs="Times New Roman" w:eastAsia="Times New Roman" w:hAnsi="Times New Roman"/>
                <w:sz w:val="23"/>
                <w:szCs w:val="23"/>
                <w:color w:val="auto"/>
                <w:vertAlign w:val="superscript"/>
              </w:rPr>
              <w:t>(1)</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295,537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250,243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874,883</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728,507</w:t>
            </w:r>
          </w:p>
        </w:tc>
      </w:tr>
      <w:tr>
        <w:trPr>
          <w:trHeight w:val="230"/>
        </w:trPr>
        <w:tc>
          <w:tcPr>
            <w:tcW w:w="490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Adjusted research and development expenses </w:t>
            </w:r>
            <w:r>
              <w:rPr>
                <w:rFonts w:ascii="Times New Roman" w:cs="Times New Roman" w:eastAsia="Times New Roman" w:hAnsi="Times New Roman"/>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412,030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306,220</w:t>
            </w:r>
          </w:p>
        </w:tc>
      </w:tr>
      <w:tr>
        <w:trPr>
          <w:trHeight w:val="229"/>
        </w:trPr>
        <w:tc>
          <w:tcPr>
            <w:tcW w:w="490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Adjusted general and administrative expenses </w:t>
            </w:r>
            <w:r>
              <w:rPr>
                <w:rFonts w:ascii="Times New Roman" w:cs="Times New Roman" w:eastAsia="Times New Roman" w:hAnsi="Times New Roman"/>
                <w:sz w:val="23"/>
                <w:szCs w:val="23"/>
                <w:color w:val="auto"/>
                <w:vertAlign w:val="superscript"/>
              </w:rPr>
              <w:t>(2)</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41,240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135,182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114,957</w:t>
            </w: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626,440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504,739</w:t>
            </w:r>
          </w:p>
        </w:tc>
      </w:tr>
      <w:tr>
        <w:trPr>
          <w:trHeight w:val="230"/>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r>
      <w:tr>
        <w:trPr>
          <w:trHeight w:val="229"/>
        </w:trPr>
        <w:tc>
          <w:tcPr>
            <w:tcW w:w="49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2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Add: Other segment items, net </w:t>
            </w:r>
            <w:r>
              <w:rPr>
                <w:rFonts w:ascii="Times New Roman" w:cs="Times New Roman" w:eastAsia="Times New Roman" w:hAnsi="Times New Roman"/>
                <w:sz w:val="23"/>
                <w:szCs w:val="23"/>
                <w:color w:val="auto"/>
                <w:vertAlign w:val="superscript"/>
              </w:rPr>
              <w:t>(3)</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21,286</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57,965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72,318</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21"/>
        </w:trPr>
        <w:tc>
          <w:tcPr>
            <w:tcW w:w="4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firstLine="458"/>
        <w:spacing w:after="0" w:line="278" w:lineRule="auto"/>
        <w:tabs>
          <w:tab w:leader="none" w:pos="642"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Cost of revenue, sales and marketing expense and research and development expense, adjusted to exclude stock-based compensation and related employer payroll taxes, amortization of acquired intangible assets and restructuring and other charges.</w:t>
      </w:r>
    </w:p>
    <w:p>
      <w:pPr>
        <w:spacing w:after="0" w:line="142" w:lineRule="exact"/>
        <w:rPr>
          <w:rFonts w:ascii="Times New Roman" w:cs="Times New Roman" w:eastAsia="Times New Roman" w:hAnsi="Times New Roman"/>
          <w:sz w:val="23"/>
          <w:szCs w:val="23"/>
          <w:color w:val="auto"/>
          <w:vertAlign w:val="superscript"/>
        </w:rPr>
      </w:pPr>
    </w:p>
    <w:p>
      <w:pPr>
        <w:ind w:firstLine="458"/>
        <w:spacing w:after="0" w:line="262" w:lineRule="auto"/>
        <w:tabs>
          <w:tab w:leader="none" w:pos="658"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General and administrative expense adjusted to exclude stock-based compensation and related employer payroll taxes and acquisition-related expenses.</w:t>
      </w:r>
    </w:p>
    <w:p>
      <w:pPr>
        <w:spacing w:after="0" w:line="130" w:lineRule="exact"/>
        <w:rPr>
          <w:rFonts w:ascii="Times New Roman" w:cs="Times New Roman" w:eastAsia="Times New Roman" w:hAnsi="Times New Roman"/>
          <w:sz w:val="23"/>
          <w:szCs w:val="23"/>
          <w:color w:val="auto"/>
          <w:vertAlign w:val="superscript"/>
        </w:rPr>
      </w:pPr>
    </w:p>
    <w:p>
      <w:pPr>
        <w:ind w:left="640" w:hanging="182"/>
        <w:spacing w:after="0"/>
        <w:tabs>
          <w:tab w:leader="none" w:pos="64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 segment items, net include interest income, interest expense, other expense, net and provision for income taxes.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Subsequent Event</w:t>
      </w:r>
    </w:p>
    <w:p>
      <w:pPr>
        <w:spacing w:after="0" w:line="202" w:lineRule="exact"/>
        <w:rPr>
          <w:sz w:val="20"/>
          <w:szCs w:val="20"/>
          <w:color w:val="auto"/>
        </w:rPr>
      </w:pPr>
    </w:p>
    <w:p>
      <w:pPr>
        <w:jc w:val="both"/>
        <w:ind w:firstLine="450"/>
        <w:spacing w:after="0" w:line="310" w:lineRule="auto"/>
        <w:rPr>
          <w:sz w:val="20"/>
          <w:szCs w:val="20"/>
          <w:color w:val="auto"/>
        </w:rPr>
      </w:pPr>
      <w:r>
        <w:rPr>
          <w:rFonts w:ascii="Times New Roman" w:cs="Times New Roman" w:eastAsia="Times New Roman" w:hAnsi="Times New Roman"/>
          <w:sz w:val="18"/>
          <w:szCs w:val="18"/>
          <w:color w:val="auto"/>
        </w:rPr>
        <w:t>On May 19, 2026, we entered into a definitive agreement to acquire Symmetry Systems, Inc. ("Symmetry"), a cybersecurity company specializing in data and identity mapping for AI security. Under the terms of the purchase agreement, we will acquire Symmetry for total consideration of $175.0 million, consisting of cash and restricted shares subject to future employment services. We expect this acquisition to enhance our AI security offerings and our Zero Trust Exchange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platform. The transaction is expected to close in the fourth quarter of fiscal 2026, subject to the satisfaction of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4" w:name="page35"/>
    <w:bookmarkEnd w:id="3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89"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unaudited condensed consolidated financial statements and related notes included elsewhere in this Quarterly Report on Form 10-Q and with our Management’s Discussion and Analysis of Financial Condition and Results of Operations included in our Annual Report on Form 10-K for the year ended July 31, 2025 (the "Fiscal 2025 Form 10-K"), filed with the SEC on September 11, 2025. As discussed in the section titled "Special Note Regarding Forward-Looking Statements," the following discussion contains forward-looking statements that involve risks and uncertainties. Our actual results could differ materially from those discussed below. Factors that could cause or contribute to such difference include, but are not limited to, those identified below and those discussed in the section titled "Risk Factors" and elsewhere in this Quarterly Report on Form 10-Q. Our fiscal year end is July 31, and our fiscal quarters end on October 31, January 31, April 30 and July 31. Our fiscal year ended July 31, 2025 is referred to as fiscal 2025 and our fiscal year ending July 31, 2026 is referred to as fiscal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ind w:firstLine="450"/>
        <w:spacing w:after="0" w:line="304" w:lineRule="auto"/>
        <w:rPr>
          <w:sz w:val="20"/>
          <w:szCs w:val="20"/>
          <w:color w:val="auto"/>
        </w:rPr>
      </w:pPr>
      <w:r>
        <w:rPr>
          <w:rFonts w:ascii="Times New Roman" w:cs="Times New Roman" w:eastAsia="Times New Roman" w:hAnsi="Times New Roman"/>
          <w:sz w:val="18"/>
          <w:szCs w:val="18"/>
          <w:color w:val="auto"/>
        </w:rPr>
        <w:t>Zscaler was incorporated in 2007, during the early stages of cloud adoption and mobility, based on a vision that the internet would become the new corporate network as the cloud becomes the new data center. We correctly predicted that with rapid cloud adoption and increasing workforce mobility, traditional perimeter security approaches would prove to be inadequate in protecting users and data, prohibitively expensive and result in poor user experience. Enterprises now rely on external SaaS applications for critical business functions and have or are moving their internally managed applications to the public cloud infrastructure. As a result, users now expect to be able to seamlessly access applications and data, wherever they are hosted, from any device, anywhere in the world. The emergence and rapid adoption of AI is revolutionizing the transformational impact of cloud adoption and mobility. AI is fundamentally changing how organizations operate, creating new cybersecurity threats and IT challenges, but also the opportunity to use AI to counter cybersecurity threats and improve IT operations.</w:t>
      </w:r>
    </w:p>
    <w:p>
      <w:pPr>
        <w:spacing w:after="0" w:line="130"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We generate revenue primarily from sales of subscriptions to access our cloud platform, together with related support services. We also generate an immaterial amount of revenue from professional and other services, which consist primarily of fees associated with mapping, implementation, network design and training. Our subscription pricing is calculated on a per-user and metered-usage basis. We recognize subscription and support revenue ratably over the life of customer contracts, which is generally one to three years. As of July 31, 2025, we had expanded our operations to over 9,400 customers across major industries, with users in over 185 countries. Government agencies and some of the largest enterprises in the world rely on us to support their secure digital transformation.</w:t>
      </w:r>
    </w:p>
    <w:p>
      <w:pPr>
        <w:spacing w:after="0" w:line="131"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We operate our business as one reportable segment. Our revenue has experienced significant growth in recent periods. For the nine months ended April 30, 2026 and 2025, our revenue was $2,454.3 million and $1,953.9 million, respectively. We have incurred net losses in all annual periods since our inception. For the nine months ended April 30, 2026 and 2025, our net loss was $59.8 million and $23.9 million, respectively. We expect we will continue to incur net losses for the foreseeable future, as we continue to invest in our sales and marketing organization to maximize our market opportunity, to invest in research and development efforts to enhance the functionality of our cloud platform and to address any legal matters and related accruals, as further described in Note 12, Commitments and Contingencies, of the unaudited condensed consolidated financial statements included elsewhere in this Quarterly Report on Form 10-Q.</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Macroeconomic Conditions</w:t>
      </w:r>
    </w:p>
    <w:p>
      <w:pPr>
        <w:spacing w:after="0" w:line="135"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Changes in macroeconomic and geopolitical conditions, including but not limited to global conflicts, inflation and responses to inflation, tariffs or retaliatory measures due to tariffs, supply chain disruptions, energy shortages and the emergence of AI, can cause uncertainty in our business. We continue to see customer scrutiny of and elongated approval processes for transactions, particularly larger deals, as customers continue to carefully consider purchasing decisions and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5" w:name="page36"/>
    <w:bookmarkEnd w:id="3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requiring multiple approvals for large expenditures in response to the uncertain economic environment. Macroeconomic conditions may impact the future demand for subscriptions of our cloud platform.</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Factors Affecting Our Performance</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Increased Internet Traffic and Adoption of Cloud-Based Software and Security</w:t>
      </w:r>
    </w:p>
    <w:p>
      <w:pPr>
        <w:spacing w:after="0" w:line="216" w:lineRule="exact"/>
        <w:rPr>
          <w:sz w:val="20"/>
          <w:szCs w:val="20"/>
          <w:color w:val="auto"/>
        </w:rPr>
      </w:pPr>
    </w:p>
    <w:p>
      <w:pPr>
        <w:jc w:val="both"/>
        <w:ind w:firstLine="450"/>
        <w:spacing w:after="0" w:line="304" w:lineRule="auto"/>
        <w:rPr>
          <w:sz w:val="20"/>
          <w:szCs w:val="20"/>
          <w:color w:val="auto"/>
        </w:rPr>
      </w:pPr>
      <w:r>
        <w:rPr>
          <w:rFonts w:ascii="Times New Roman" w:cs="Times New Roman" w:eastAsia="Times New Roman" w:hAnsi="Times New Roman"/>
          <w:sz w:val="18"/>
          <w:szCs w:val="18"/>
          <w:color w:val="auto"/>
        </w:rPr>
        <w:t>In a cloud, mobile-first and AI-enabled world where organizations depend on public and third-party infrastructure and technologies to access critical applications that power their businesses, enterprises that continue to rely on outdated network and security architecture built on firewalls and VPNs face serious challenges. The adoption of cloud applications and infrastructure, the explosion of internet traffic volumes, the shift to mobile-first computing generally and the pace at which enterprises adopt the internet as their corporate network in particular, impact our ability to drive market adoption of our cloud platform. In addition, the dependence on the internet, expanding digital transformation and growing AI usage have increased exposure to malicious or compromised websites, and sophisticated hackers are exploiting the gaps left by legacy network security appliances. To securely access the internet, transform their networks and expand their AI adoption, organizations must make fundamental changes in their network and security architectures. We believe that most organizations have yet to fully make these investments. Because our cloud platform enables organizations to securely embrace digital transformation, we believe that the imperative for organizations to securely move to the cloud and safely realize the benefits of AI will increase demand for our cloud platform and broaden our customer base.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Customer Acquisition</w:t>
      </w:r>
    </w:p>
    <w:p>
      <w:pPr>
        <w:spacing w:after="0" w:line="216" w:lineRule="exact"/>
        <w:rPr>
          <w:sz w:val="20"/>
          <w:szCs w:val="20"/>
          <w:color w:val="auto"/>
        </w:rPr>
      </w:pPr>
    </w:p>
    <w:p>
      <w:pPr>
        <w:jc w:val="both"/>
        <w:ind w:firstLine="450"/>
        <w:spacing w:after="0" w:line="304" w:lineRule="auto"/>
        <w:rPr>
          <w:sz w:val="20"/>
          <w:szCs w:val="20"/>
          <w:color w:val="auto"/>
        </w:rPr>
      </w:pPr>
      <w:r>
        <w:rPr>
          <w:rFonts w:ascii="Times New Roman" w:cs="Times New Roman" w:eastAsia="Times New Roman" w:hAnsi="Times New Roman"/>
          <w:sz w:val="18"/>
          <w:szCs w:val="18"/>
          <w:color w:val="auto"/>
        </w:rPr>
        <w:t>We believe that our ability to increase the number of customers, and more significantly large enterprises, on our cloud platform is an indicator of our market penetration and our future business opportunities. As of July 31, 2025 and 2024, we had over 9,400 and over 8,650 customers, respectively, across all major geographies. As of July 31, 2025, we had approximately 40% of the Forbes Global 2000 as customers. Our ability to continue to grow these numbers will increase our future opportunities for renewals and follow-on sales. We believe that we have significant room to capture additional market share and intend to continue to invest significantly in sales and marketing to engage our prospective customers, increase brand awareness, further leverage our channel partnerships and drive adoption of our solution. However, as a result of the challenging and uncertain economic environment, potential new customers are carefully considering purchasing decisions, particularly for large expenditures. We expect customer cautiousness to continue in the near term, elongating our sales cycles and the timing of large deals.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Follow-On Sales</w:t>
      </w:r>
    </w:p>
    <w:p>
      <w:pPr>
        <w:spacing w:after="0" w:line="229"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We typically expand our relationship with our customers over time. While most of our new customers route all of their internet-bound web traffic through our cloud platform, some of our customers initially use our services for a specific security functionality. We leverage our land-and-expand model with the goal of generating incremental revenue, often within the term of the initial subscription, by increasing sales to our existing customers in one of three ways:</w:t>
      </w:r>
    </w:p>
    <w:p>
      <w:pPr>
        <w:spacing w:after="0" w:line="10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deployment of our cloud platform to cover additional users and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upgrading to more advanced capabilities, including AI-enabled features;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 subscription to a new solution or product, for example selling data security or AI security services to an existing ZIA or ZPA customer.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Business Growth</w:t>
      </w:r>
    </w:p>
    <w:p>
      <w:pPr>
        <w:spacing w:after="0" w:line="202" w:lineRule="exact"/>
        <w:rPr>
          <w:sz w:val="20"/>
          <w:szCs w:val="20"/>
          <w:color w:val="auto"/>
        </w:rPr>
      </w:pPr>
    </w:p>
    <w:p>
      <w:pPr>
        <w:jc w:val="both"/>
        <w:ind w:right="20" w:firstLine="450"/>
        <w:spacing w:after="0" w:line="321" w:lineRule="auto"/>
        <w:rPr>
          <w:sz w:val="20"/>
          <w:szCs w:val="20"/>
          <w:color w:val="auto"/>
        </w:rPr>
      </w:pPr>
      <w:r>
        <w:rPr>
          <w:rFonts w:ascii="Times New Roman" w:cs="Times New Roman" w:eastAsia="Times New Roman" w:hAnsi="Times New Roman"/>
          <w:sz w:val="18"/>
          <w:szCs w:val="18"/>
          <w:color w:val="auto"/>
        </w:rPr>
        <w:t>Since our founding, we have invested significantly in growing our business. We intend to continue to invest significantly in sales and marketing to grow and train our sales force, broaden our brand awareness and expand and deepen our channel partner relationships. While these planned investments will increase our operating expenses in the short term,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6" w:name="page37"/>
    <w:bookmarkEnd w:id="3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believe that over the long term these investments will help us to expand our customer base and grow our business. We also are investing in programs to increase recognition of our brand and solutions, including joint marketing activities with our channel partners and strategic partners.</w:t>
      </w:r>
    </w:p>
    <w:p>
      <w:pPr>
        <w:spacing w:after="0" w:line="108" w:lineRule="exact"/>
        <w:rPr>
          <w:sz w:val="20"/>
          <w:szCs w:val="20"/>
          <w:color w:val="auto"/>
        </w:rPr>
      </w:pPr>
    </w:p>
    <w:p>
      <w:pPr>
        <w:jc w:val="both"/>
        <w:ind w:firstLine="450"/>
        <w:spacing w:after="0" w:line="344" w:lineRule="auto"/>
        <w:rPr>
          <w:sz w:val="20"/>
          <w:szCs w:val="20"/>
          <w:color w:val="auto"/>
        </w:rPr>
      </w:pPr>
      <w:r>
        <w:rPr>
          <w:rFonts w:ascii="Times New Roman" w:cs="Times New Roman" w:eastAsia="Times New Roman" w:hAnsi="Times New Roman"/>
          <w:sz w:val="18"/>
          <w:szCs w:val="18"/>
          <w:color w:val="auto"/>
        </w:rPr>
        <w:t>We also intend to continue (i) investing in our research and development organization and our development efforts to offer new solutions on our cloud platform and (ii) dedicating resources to update and upgrade our existing solutions, including upgrades to our cloud platform.</w:t>
      </w:r>
    </w:p>
    <w:p>
      <w:pPr>
        <w:spacing w:after="0" w:line="95"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In addition, we expect our general and administrative expenses to increase in absolute dollars in the foreseeable future, as we continue to operate as a public company, and address any legal matters and related accruals. This is further described in Note 12, Commitments and Contingencies, of the unaudited condensed consolidated financial statements included elsewhere in this Quarterly Report on Form 10-Q.</w:t>
      </w:r>
    </w:p>
    <w:p>
      <w:pPr>
        <w:spacing w:after="0" w:line="122" w:lineRule="exact"/>
        <w:rPr>
          <w:sz w:val="20"/>
          <w:szCs w:val="20"/>
          <w:color w:val="auto"/>
        </w:rPr>
      </w:pPr>
    </w:p>
    <w:p>
      <w:pPr>
        <w:jc w:val="both"/>
        <w:ind w:firstLine="450"/>
        <w:spacing w:after="0" w:line="321" w:lineRule="auto"/>
        <w:rPr>
          <w:sz w:val="20"/>
          <w:szCs w:val="20"/>
          <w:color w:val="auto"/>
        </w:rPr>
      </w:pPr>
      <w:r>
        <w:rPr>
          <w:rFonts w:ascii="Times New Roman" w:cs="Times New Roman" w:eastAsia="Times New Roman" w:hAnsi="Times New Roman"/>
          <w:sz w:val="18"/>
          <w:szCs w:val="18"/>
          <w:color w:val="auto"/>
        </w:rPr>
        <w:t>While we expect our operating expenses to increase in absolute dollars in the foreseeable future, as a result of these activities, we intend to balance these investments in future growth with a continued focus on managing our results of operations and investing judiciously. In the long term we anticipate that these investments will positively impact our business and results of operations.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 and Other Financial Measures</w:t>
      </w:r>
    </w:p>
    <w:p>
      <w:pPr>
        <w:spacing w:after="0" w:line="202"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We review a number of operating and financial metrics, including the following key metrics, to measure our performance, identify trends, formulate business plans and make strategic decisions.</w:t>
      </w:r>
    </w:p>
    <w:p>
      <w:pPr>
        <w:spacing w:after="0" w:line="10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16" w:lineRule="exact"/>
        <w:rPr>
          <w:sz w:val="20"/>
          <w:szCs w:val="20"/>
          <w:color w:val="auto"/>
        </w:rPr>
      </w:pPr>
    </w:p>
    <w:p>
      <w:pPr>
        <w:jc w:val="both"/>
        <w:ind w:firstLine="450"/>
        <w:spacing w:after="0" w:line="304" w:lineRule="auto"/>
        <w:rPr>
          <w:sz w:val="20"/>
          <w:szCs w:val="20"/>
          <w:color w:val="auto"/>
        </w:rPr>
      </w:pPr>
      <w:r>
        <w:rPr>
          <w:rFonts w:ascii="Times New Roman" w:cs="Times New Roman" w:eastAsia="Times New Roman" w:hAnsi="Times New Roman"/>
          <w:sz w:val="18"/>
          <w:szCs w:val="18"/>
          <w:color w:val="auto"/>
        </w:rPr>
        <w:t>In addition to our results determined in accordance with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provided by operating activities. Additionally, the utility of free cash flow as a measure of our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to rely on any single financial measure to evaluate our business.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Gross Profit and Non-GAAP Gross Margin</w:t>
      </w:r>
    </w:p>
    <w:p>
      <w:pPr>
        <w:spacing w:after="0" w:line="216"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We define non-GAAP gross profit as GAAP gross profit excluding stock-based compensation expense and related payroll taxes, amortization expense of acquired intangible assets and restructuring and other charges. We define non-GAAP gross margin as non-GAAP gross profit as a percentage of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7" w:name="page38"/>
    <w:bookmarkEnd w:id="3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80" w:type="dxa"/>
            <w:vAlign w:val="bottom"/>
          </w:tcPr>
          <w:p>
            <w:pPr>
              <w:spacing w:after="0"/>
              <w:rPr>
                <w:sz w:val="18"/>
                <w:szCs w:val="18"/>
                <w:color w:val="auto"/>
              </w:rPr>
            </w:pPr>
          </w:p>
        </w:tc>
        <w:tc>
          <w:tcPr>
            <w:tcW w:w="2720" w:type="dxa"/>
            <w:vAlign w:val="bottom"/>
            <w:gridSpan w:val="4"/>
          </w:tcPr>
          <w:p>
            <w:pPr>
              <w:jc w:val="right"/>
              <w:ind w:right="491"/>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7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4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8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657,823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522,056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1,885,673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1,507,951</w:t>
            </w: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21,629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18,262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64,491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51,674</w:t>
            </w:r>
          </w:p>
        </w:tc>
      </w:tr>
      <w:tr>
        <w:trPr>
          <w:trHeight w:val="229"/>
        </w:trPr>
        <w:tc>
          <w:tcPr>
            <w:tcW w:w="4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3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19,852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11,320</w:t>
            </w:r>
          </w:p>
        </w:tc>
      </w:tr>
      <w:tr>
        <w:trPr>
          <w:trHeight w:val="229"/>
        </w:trPr>
        <w:tc>
          <w:tcPr>
            <w:tcW w:w="4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686,695</w:t>
            </w:r>
          </w:p>
        </w:tc>
        <w:tc>
          <w:tcPr>
            <w:tcW w:w="10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544,148</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1,970,766</w:t>
            </w: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1,570,945</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margin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r>
      <w:tr>
        <w:trPr>
          <w:trHeight w:val="234"/>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r>
    </w:tbl>
    <w:p>
      <w:pPr>
        <w:spacing w:after="0" w:line="3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Non-GAAP Income from Operations and Non-GAAP Operating Margin</w:t>
      </w:r>
    </w:p>
    <w:p>
      <w:pPr>
        <w:spacing w:after="0" w:line="216"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We define non-GAAP income from operations as GAAP loss from operations, excluding stock-based compensation expense and related payroll taxes, amortization expense of acquired intangible assets, restructuring and other charges and acquisition-related expenses. We define non-GAAP operating margin as non-GAAP income from operations as a percentage of revenue.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20" w:type="dxa"/>
            <w:vAlign w:val="bottom"/>
          </w:tcPr>
          <w:p>
            <w:pPr>
              <w:spacing w:after="0"/>
              <w:rPr>
                <w:sz w:val="18"/>
                <w:szCs w:val="18"/>
                <w:color w:val="auto"/>
              </w:rPr>
            </w:pPr>
          </w:p>
        </w:tc>
        <w:tc>
          <w:tcPr>
            <w:tcW w:w="2680" w:type="dxa"/>
            <w:vAlign w:val="bottom"/>
            <w:gridSpan w:val="4"/>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0" w:type="dxa"/>
            <w:vAlign w:val="bottom"/>
          </w:tcPr>
          <w:p>
            <w:pPr>
              <w:spacing w:after="0"/>
              <w:rPr>
                <w:sz w:val="1"/>
                <w:szCs w:val="1"/>
                <w:color w:val="auto"/>
              </w:rPr>
            </w:pPr>
          </w:p>
        </w:tc>
      </w:tr>
      <w:tr>
        <w:trPr>
          <w:trHeight w:val="211"/>
        </w:trPr>
        <w:tc>
          <w:tcPr>
            <w:tcW w:w="482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5"/>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(29,640)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(25,411)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(117,775)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(96,218)</w:t>
            </w:r>
          </w:p>
        </w:tc>
        <w:tc>
          <w:tcPr>
            <w:tcW w:w="0" w:type="dxa"/>
            <w:vAlign w:val="bottom"/>
          </w:tcPr>
          <w:p>
            <w:pPr>
              <w:spacing w:after="0"/>
              <w:rPr>
                <w:sz w:val="1"/>
                <w:szCs w:val="1"/>
                <w:color w:val="auto"/>
              </w:rPr>
            </w:pPr>
          </w:p>
        </w:tc>
      </w:tr>
      <w:tr>
        <w:trPr>
          <w:trHeight w:val="230"/>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 and related payroll taxes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212,266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167,809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626,440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504,739</w:t>
            </w:r>
          </w:p>
        </w:tc>
        <w:tc>
          <w:tcPr>
            <w:tcW w:w="0" w:type="dxa"/>
            <w:vAlign w:val="bottom"/>
          </w:tcPr>
          <w:p>
            <w:pPr>
              <w:spacing w:after="0"/>
              <w:rPr>
                <w:sz w:val="1"/>
                <w:szCs w:val="1"/>
                <w:color w:val="auto"/>
              </w:rPr>
            </w:pPr>
          </w:p>
        </w:tc>
      </w:tr>
      <w:tr>
        <w:trPr>
          <w:trHeight w:val="229"/>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Amortization expense of acquired intangible assets</w:t>
            </w:r>
          </w:p>
        </w:tc>
        <w:tc>
          <w:tcPr>
            <w:tcW w:w="3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11,441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4,255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31,188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12,740</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Restructuring and other charges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320" w:type="dxa"/>
            <w:vAlign w:val="bottom"/>
          </w:tcPr>
          <w:p>
            <w:pPr>
              <w:spacing w:after="0"/>
              <w:rPr>
                <w:sz w:val="19"/>
                <w:szCs w:val="19"/>
                <w:color w:val="auto"/>
              </w:rPr>
            </w:pPr>
          </w:p>
        </w:tc>
        <w:tc>
          <w:tcPr>
            <w:tcW w:w="12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1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4,077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195,849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146,653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548,671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421,261</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operating margin</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Free Cash Flow and Free Cash Flow Margin</w:t>
      </w:r>
    </w:p>
    <w:p>
      <w:pPr>
        <w:spacing w:after="0" w:line="216"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Free cash flow is a non-GAAP financial measure that we calculate as net cash provided by operating activities less purchases of property, equipment and other assets and capitalized internal-use software. Free cash flow margin is calculated as free cash flow divided by revenue. We believe that free cash flow and free cash flow margin are useful indicators of liquidity that provide information to management and investors about the amount of cash generated from our operations. This amount, after investments in property, equipment and other assets and capitalized internal-use software, can be used for strategic initiatives, including investing in our business and strengthening our financial position.</w:t>
      </w:r>
    </w:p>
    <w:p>
      <w:pPr>
        <w:spacing w:after="0" w:line="126"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Free cash flow includes the cyclical impact of inflows and outflows resulting from contributions to our employee stock purchase plan for which the purchase period of approximately six months ends in each of our second and fourth fiscal quarters. Payroll contributions accrued as of April 30, 2026 will be used to purchase shares at the end of the current ESPP purchase period ending on June 15, 2026. Payroll contributions ultimately used to purchase shares are reclassified to stockholders' equity on the purchase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8" w:name="page39"/>
    <w:bookmarkEnd w:id="3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500" w:type="dxa"/>
            <w:vAlign w:val="bottom"/>
          </w:tcPr>
          <w:p>
            <w:pPr>
              <w:spacing w:after="0"/>
              <w:rPr>
                <w:sz w:val="18"/>
                <w:szCs w:val="18"/>
                <w:color w:val="auto"/>
              </w:rPr>
            </w:pPr>
          </w:p>
        </w:tc>
        <w:tc>
          <w:tcPr>
            <w:tcW w:w="276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6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4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46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198,016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211,081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850,369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721,849</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(42,401)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(72,163)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(77,467)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(104,206)</w:t>
            </w:r>
          </w:p>
        </w:tc>
      </w:tr>
      <w:tr>
        <w:trPr>
          <w:trHeight w:val="230"/>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(19,661)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(19,455)</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(54,523)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(62,871)</w:t>
            </w:r>
          </w:p>
        </w:tc>
      </w:tr>
      <w:tr>
        <w:trPr>
          <w:trHeight w:val="23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135,954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119,463</w:t>
            </w:r>
          </w:p>
        </w:tc>
        <w:tc>
          <w:tcPr>
            <w:tcW w:w="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718,379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554,772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a percentage of revenue:</w:t>
            </w:r>
          </w:p>
        </w:tc>
        <w:tc>
          <w:tcPr>
            <w:tcW w:w="15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29"/>
        </w:trPr>
        <w:tc>
          <w:tcPr>
            <w:tcW w:w="4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Purchases of property, equipment and other assets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4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Capitalized internal-use software</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 margin</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Annual Recurring Revenue ("ARR")</w:t>
      </w:r>
    </w:p>
    <w:p>
      <w:pPr>
        <w:spacing w:after="0" w:line="216"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ARR is a non-GAAP financial measure that we believe is a key metric to measure our periodic performance. ARR refers to the next 12 months of revenue from subscription contracts as of the measurement date. To establish ARR for a customer, we assume that any contract expiring during the next 12 months will be renewed under the existing terms, excluding Red Canary's subscription contracts expiring in fiscal year 2026. ARR as of April 30, 2026 and 2025 was $3,525 million and $2,817 million, respectively.</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6"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We generate revenue primarily from sales of subscriptions to access our cloud platform, together with related support services. Subscription and related support services accounted for approximately 98% of our revenue for each of the three and nine months ended April 30, 2026 and 2025, respectively. Our contracts with our customers do not at any time provide the customer with the right to take possession of the software that runs our cloud platform. Our customers may also purchase professional services, such as mapping, implementation, network design and training. Professional services account for an immaterial portion of our revenue.</w:t>
      </w:r>
    </w:p>
    <w:p>
      <w:pPr>
        <w:spacing w:after="0" w:line="126"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We generate revenue from contracts with typical durations ranging from one to three years. We typically invoice our customers annually in advance, and to a lesser extent quarterly in advance, monthly in advance or multi-year in advance. We recognize revenue ratably over the life of the contract. Amounts that have been invoiced are recorded in deferred revenue or in revenue, if the revenue recognition criteria have been met. Subscriptions that are invoiced annually in advance or multi-year in advance represent a significant portion of our short-term and long-term deferred revenue in comparison to invoices issued quarterly in advance or monthly in advance. We cannot predict the mix of invoicing schedules in any given period.</w:t>
      </w:r>
    </w:p>
    <w:p>
      <w:pPr>
        <w:spacing w:after="0" w:line="143"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We generally experience seasonality in terms of when we enter into agreements with our customers. We typically enter into a higher percentage of agreements with new customers, as well as renewal agreements with existing customers, in the second half of our fiscal year. However, because we recognize revenue ratably over the terms of our subscription contracts, a substantial portion of the revenue that we report in each period is attributable to the recognition of deferred revenue relating to agreements that we entered into during previous periods. Consequently, increases or decreases in new sales or renewals in any one period may not be immediately reflected as revenue for that period. Accordingly, the effect of downturns in sales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39" w:name="page40"/>
    <w:bookmarkEnd w:id="3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acceptance of our platform, and potential changes in our rate of renewals, may not be fully reflected in our results of operations until future periods.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16"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Cost of revenue includes expenses related to operating our cloud platform in data centers, including public cloud providers, depreciation of our data center equipment, amortization of our capitalized internal-use software, amortization of intangible assets acquired through our business acquisitions and allocated overhead expenses (i.e., facilities, IT, depreciation expense and amortization expense). Cost of revenue also includes employee-related expenses, including salaries, bonuses, stock-based compensation expense and employee benefit expenses associated with our customer support and cloud operations organizations.</w:t>
      </w:r>
    </w:p>
    <w:p>
      <w:pPr>
        <w:spacing w:after="0" w:line="126"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As our customers expand and increase the use of our cloud platform, driven by additional applications, workloads, AI agents, and connected devices, our cost of revenue will increase due to higher bandwidth and data center expenses. Our cost of revenue may also increase as a result of higher market prices for data center equipment supporting our cloud platform. However, we expect to continue to benefit from economies of scale as our customers increase the use of our cloud platform. We intend to continue to invest additional resources in our cloud platform and our customer support organizations as we grow our business. The level and timing of investment in these areas could affect our cost of revenue in the future.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16"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Gross profit, or revenue less cost of revenue, and gross margin, or gross profit as a percentage of revenue, have been and will continue to be affected by various factors. These include the timing of our acquisition of new customers and our renewals of and follow-on sales to existing customers, the average sales price of our services, the mix of services offered in our solutions, including new product introductions, the data center and bandwidth costs associated with operating our cloud platform to support additional applications, workloads, AI agents, and connected devices, the extent to which we expand our customer support and cloud operations organizations and the extent to which we can increase the efficiency of our technology, infrastructure and data centers through technological improvements. Although we expect our gross profit to increase in absolute dollars and our gross margin to remain relatively consistent, our gross profit and gross margin could fluctuate from period to period depending on the interplay of the above factors.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16"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operating expenses consist of sales and marketing expenses, research and development expenses and general and administrative expenses. Personnel expenses are the most significant component of operating expenses and consist of salaries, benefits, bonuses, stock-based compensation expense and, with respect to sales and marketing expenses, sales commissions that are recognized as expenses over the period of benefit. Operating expenses also include overhead expenses (i.e., facilities, IT, depreciation expense and amortization expense).</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16"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Sales and marketing expenses consist primarily of employee compensation and related expenses, including salaries, bonuses and benefits for our sales and marketing employees, sales commissions that are recognized as expenses over the period of benefit, stock-based compensation expense, marketing programs, travel and entertainment expenses, expenses for conferences and events, amortization of intangible assets acquired through our business acquisitions and allocated overhead expenses (i.e., facilities, IT, depreciation expense and amortization expense). We capitalize our sales commissions and associated payroll taxes that are incremental to the acquisition of customer contracts and recognize them as expenses over the estimated period of benefit. The amount recognized in our sales and marketing expenses reflects the amortization of expenses previously deferred as attributable to each period presented in this Quarterly Report on Form 10-Q, as described below under "Critical Accounting Policies and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0" w:name="page41"/>
    <w:bookmarkEnd w:id="4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We intend to continue to make significant investments in our sales and marketing organization to drive additional revenue, further penetrate the market and expand our global customer base. As a result, we expect our sales and marketing expenses to continue to increase in absolute dollars and to be our largest operating expense category for the foreseeable future. In particular, we will continue to invest in growing and training our sales force, broadening our brand awareness and expanding and deepening our channel partner relationships. However, we expect our sales and marketing expenses to decrease as a percentage of our revenue over the long term, although our sales and marketing expenses may fluctuate as a percentage of our revenue from period to period due to the timing and extent of these expenses.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16"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Our research and development expenses support our efforts to add new products, new features to our existing offerings and to ensure the reliability, availability and scalability of our solutions. Our cloud platform is software-driven, and our research and development teams employ software engineers in the design, and the related development, testing, certification and support, of these solutions. Accordingly, a majority of our research and development expenses result from employee-related expenses, including salaries, bonuses and benefits, stock-based compensation expense and expenses associated with technology tools used by our engineers. We expect our research and development expenses to continue to increase in absolute dollars for the foreseeable future, as we continue to invest in research and development efforts to enhance the functionality of our cloud platform, improve the reliability, availability and scalability of our platform and access new customer markets. However, we expect our research and development expenses to decrease as a percentage of our revenue over the long term, although our research and development expenses may fluctuate as a percentage of our revenue from period to period due to the timing and extent of these expenses.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16" w:lineRule="exact"/>
        <w:rPr>
          <w:sz w:val="20"/>
          <w:szCs w:val="20"/>
          <w:color w:val="auto"/>
        </w:rPr>
      </w:pPr>
    </w:p>
    <w:p>
      <w:pPr>
        <w:jc w:val="both"/>
        <w:ind w:firstLine="450"/>
        <w:spacing w:after="0" w:line="303" w:lineRule="auto"/>
        <w:rPr>
          <w:sz w:val="20"/>
          <w:szCs w:val="20"/>
          <w:color w:val="auto"/>
        </w:rPr>
      </w:pPr>
      <w:r>
        <w:rPr>
          <w:rFonts w:ascii="Times New Roman" w:cs="Times New Roman" w:eastAsia="Times New Roman" w:hAnsi="Times New Roman"/>
          <w:sz w:val="18"/>
          <w:szCs w:val="18"/>
          <w:color w:val="auto"/>
        </w:rPr>
        <w:t>General and administrative expenses consist primarily of employee-related expenses, including salaries and bonuses, stock-based compensation expense and employee benefit expenses for our finance, legal, human resources and administrative personnel, as well as professional fees for external legal services (including certain litigation-related expenses), accounting and other related consulting services. The litigation-related expenses include professional fees and related expenses incurred by us in defending or settling claims and, if applicable, accruals related to estimated losses in connection with these claims. We expect our general and administrative expenses to increase in absolute dollars for the foreseeable future as we increase the size of our general and administrative organizations, incur additional costs to support our business growth and due to any legal matters and related accruals, as further described in Note 12, Commitments and Contingencies, to the unaudited condensed consolidated financial statements included elsewhere in this Quarterly Report on Form 10-Q. However, we expect our general and administrative expenses to decrease as a percentage of our revenue over the long term, although our general and administrative expenses may fluctuate as a percentage of our revenue from period to period due to the timing and extent of these expenses. In particular, litigation-related expenses related to significant litigation claims may result in significant fluctuations from period to period as they are inherently subject to change and difficult to estimate.</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2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consists primarily of income earned on our cash equivalents and short-term investments.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16"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Interest expense consists primarily of amortization of debt issuance costs, recognition of contractual interest expense related to the convertible senior notes, and gains and losses related to changes in the fair value of interest rate swaps. For further information refer to Note 8, Derivative Instruments, and Note 10, Convertible Senior Notes, of our unaudited condensed consolidated financial statements included elsewhere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1" w:name="page42"/>
    <w:bookmarkEnd w:id="4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16"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Other income (expense), net consists primarily of foreign currency transaction gains and losses and changes in fair value of our non-designated derivative instruments.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16"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Provision for income taxes consists of state income taxes in the United States ("U.S."), foreign income taxes, and withholding taxes related to customer payments in certain foreign jurisdictions in which we conduct business. We weigh all available positive and negative evidence, including but not limited to our earnings history and results of recent operations, scheduled reversals of deferred tax liabilities, projected future taxable income and tax planning strategies and the nature of each deferred tax assets in assessing the extent to which a valuation allowance should be applied against our U.S. and foreign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2" w:name="page43"/>
    <w:bookmarkEnd w:id="4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in dollars and as a percentage of our revenue: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60" w:type="dxa"/>
            <w:vAlign w:val="bottom"/>
          </w:tcPr>
          <w:p>
            <w:pPr>
              <w:spacing w:after="0"/>
              <w:rPr>
                <w:sz w:val="18"/>
                <w:szCs w:val="18"/>
                <w:color w:val="auto"/>
              </w:rPr>
            </w:pPr>
          </w:p>
        </w:tc>
        <w:tc>
          <w:tcPr>
            <w:tcW w:w="3440" w:type="dxa"/>
            <w:vAlign w:val="bottom"/>
            <w:gridSpan w:val="6"/>
          </w:tcPr>
          <w:p>
            <w:pPr>
              <w:ind w:left="60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60" w:type="dxa"/>
            <w:vAlign w:val="bottom"/>
          </w:tcPr>
          <w:p>
            <w:pPr>
              <w:spacing w:after="0"/>
              <w:rPr>
                <w:sz w:val="18"/>
                <w:szCs w:val="18"/>
                <w:color w:val="auto"/>
              </w:rPr>
            </w:pPr>
          </w:p>
        </w:tc>
        <w:tc>
          <w:tcPr>
            <w:tcW w:w="2780" w:type="dxa"/>
            <w:vAlign w:val="bottom"/>
            <w:gridSpan w:val="4"/>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5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4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7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
        </w:trPr>
        <w:tc>
          <w:tcPr>
            <w:tcW w:w="45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850,475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1,953,889</w:t>
            </w:r>
          </w:p>
        </w:tc>
      </w:tr>
      <w:tr>
        <w:trPr>
          <w:trHeight w:val="229"/>
        </w:trPr>
        <w:tc>
          <w:tcPr>
            <w:tcW w:w="456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3"/>
                <w:szCs w:val="23"/>
                <w:color w:val="auto"/>
                <w:vertAlign w:val="superscript"/>
              </w:rPr>
              <w:t>(1) (2) (3)</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192,652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155,978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568,665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445,938</w:t>
            </w:r>
          </w:p>
        </w:tc>
      </w:tr>
      <w:tr>
        <w:trPr>
          <w:trHeight w:val="223"/>
        </w:trPr>
        <w:tc>
          <w:tcPr>
            <w:tcW w:w="4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657,823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522,056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1,885,673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1,507,951</w:t>
            </w:r>
          </w:p>
        </w:tc>
      </w:tr>
      <w:tr>
        <w:trPr>
          <w:trHeight w:val="20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29"/>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3"/>
                <w:szCs w:val="23"/>
                <w:color w:val="auto"/>
                <w:vertAlign w:val="superscript"/>
              </w:rPr>
              <w:t>(1) (2) (3)</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371,941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1,114,449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928,564</w:t>
            </w:r>
          </w:p>
        </w:tc>
      </w:tr>
      <w:tr>
        <w:trPr>
          <w:trHeight w:val="230"/>
        </w:trPr>
        <w:tc>
          <w:tcPr>
            <w:tcW w:w="4560" w:type="dxa"/>
            <w:vAlign w:val="bottom"/>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3"/>
                <w:szCs w:val="23"/>
                <w:color w:val="auto"/>
                <w:vertAlign w:val="superscript"/>
              </w:rPr>
              <w:t>(1) (2) (3)</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232,281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661,916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494,879</w:t>
            </w:r>
          </w:p>
        </w:tc>
      </w:tr>
      <w:tr>
        <w:trPr>
          <w:trHeight w:val="229"/>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3"/>
                <w:szCs w:val="23"/>
                <w:color w:val="auto"/>
                <w:vertAlign w:val="superscript"/>
              </w:rPr>
              <w:t>(1) (4)</w:t>
            </w:r>
          </w:p>
        </w:tc>
        <w:tc>
          <w:tcPr>
            <w:tcW w:w="10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180,726</w:t>
            </w:r>
          </w:p>
        </w:tc>
      </w:tr>
      <w:tr>
        <w:trPr>
          <w:trHeight w:val="223"/>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687,463</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547,467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2,003,448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1,604,169</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(117,775)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(96,218)</w:t>
            </w:r>
          </w:p>
        </w:tc>
      </w:tr>
      <w:tr>
        <w:trPr>
          <w:trHeight w:val="230"/>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0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92,189</w:t>
            </w:r>
          </w:p>
        </w:tc>
      </w:tr>
      <w:tr>
        <w:trPr>
          <w:trHeight w:val="229"/>
        </w:trPr>
        <w:tc>
          <w:tcPr>
            <w:tcW w:w="4560" w:type="dxa"/>
            <w:vAlign w:val="bottom"/>
            <w:shd w:val="clear" w:color="auto" w:fill="CCEEFF"/>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3"/>
                <w:szCs w:val="23"/>
                <w:color w:val="auto"/>
                <w:vertAlign w:val="superscript"/>
              </w:rPr>
              <w:t>(5)</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r>
      <w:tr>
        <w:trPr>
          <w:trHeight w:val="230"/>
        </w:trPr>
        <w:tc>
          <w:tcPr>
            <w:tcW w:w="45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(4,911)</w:t>
            </w:r>
          </w:p>
        </w:tc>
      </w:tr>
      <w:tr>
        <w:trPr>
          <w:trHeight w:val="223"/>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0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w:t>
            </w:r>
          </w:p>
        </w:tc>
      </w:tr>
      <w:tr>
        <w:trPr>
          <w:trHeight w:val="229"/>
        </w:trPr>
        <w:tc>
          <w:tcPr>
            <w:tcW w:w="4560" w:type="dxa"/>
            <w:vAlign w:val="bottom"/>
            <w:tcBorders>
              <w:bottom w:val="single" w:sz="8" w:color="CCEEFF"/>
            </w:tcBorders>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Provision for income taxes </w:t>
            </w:r>
            <w:r>
              <w:rPr>
                <w:rFonts w:ascii="Times New Roman" w:cs="Times New Roman" w:eastAsia="Times New Roman" w:hAnsi="Times New Roman"/>
                <w:sz w:val="23"/>
                <w:szCs w:val="23"/>
                <w:color w:val="auto"/>
                <w:vertAlign w:val="superscript"/>
              </w:rPr>
              <w:t>(6)</w:t>
            </w:r>
          </w:p>
        </w:tc>
        <w:tc>
          <w:tcPr>
            <w:tcW w:w="10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7,512</w:t>
            </w:r>
          </w:p>
        </w:tc>
      </w:tr>
      <w:tr>
        <w:trPr>
          <w:trHeight w:val="248"/>
        </w:trPr>
        <w:tc>
          <w:tcPr>
            <w:tcW w:w="4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0" w:type="dxa"/>
            <w:vAlign w:val="bottom"/>
            <w:tcBorders>
              <w:bottom w:val="single" w:sz="8" w:color="auto"/>
            </w:tcBorders>
            <w:shd w:val="clear" w:color="auto" w:fill="CCEEFF"/>
          </w:tcPr>
          <w:p>
            <w:pPr>
              <w:jc w:val="right"/>
              <w:ind w:right="815"/>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(23,900)</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00" w:hanging="174"/>
        <w:spacing w:after="0"/>
        <w:tabs>
          <w:tab w:leader="none" w:pos="20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and related payroll taxes: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21,629</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18,262</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64,491</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51,674</w:t>
            </w:r>
          </w:p>
        </w:tc>
      </w:tr>
      <w:tr>
        <w:trPr>
          <w:trHeight w:val="230"/>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72,206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63,937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225,421</w:t>
            </w: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198,782</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88,779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63,753</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248,704</w:t>
            </w:r>
          </w:p>
        </w:tc>
        <w:tc>
          <w:tcPr>
            <w:tcW w:w="8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188,514</w:t>
            </w:r>
          </w:p>
        </w:tc>
      </w:tr>
      <w:tr>
        <w:trPr>
          <w:trHeight w:val="229"/>
        </w:trPr>
        <w:tc>
          <w:tcPr>
            <w:tcW w:w="4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29,652</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21,857</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87,824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65,769</w:t>
            </w:r>
          </w:p>
        </w:tc>
      </w:tr>
      <w:tr>
        <w:trPr>
          <w:trHeight w:val="248"/>
        </w:trPr>
        <w:tc>
          <w:tcPr>
            <w:tcW w:w="4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167,809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626,440</w:t>
            </w:r>
          </w:p>
        </w:tc>
        <w:tc>
          <w:tcPr>
            <w:tcW w:w="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504,739</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left="200" w:hanging="174"/>
        <w:spacing w:after="0"/>
        <w:tabs>
          <w:tab w:leader="none" w:pos="20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amortization expense of acquired intangible assets: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19,852</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r>
      <w:tr>
        <w:trPr>
          <w:trHeight w:val="229"/>
        </w:trPr>
        <w:tc>
          <w:tcPr>
            <w:tcW w:w="4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6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11,336</w:t>
            </w: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r>
      <w:tr>
        <w:trPr>
          <w:trHeight w:val="230"/>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23"/>
        </w:trPr>
        <w:tc>
          <w:tcPr>
            <w:tcW w:w="4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10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4,255</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31,188</w:t>
            </w:r>
          </w:p>
        </w:tc>
        <w:tc>
          <w:tcPr>
            <w:tcW w:w="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12,740</w:t>
            </w:r>
          </w:p>
        </w:tc>
      </w:tr>
      <w:tr>
        <w:trPr>
          <w:trHeight w:val="20"/>
        </w:trPr>
        <w:tc>
          <w:tcPr>
            <w:tcW w:w="45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95" w:lineRule="exact"/>
        <w:rPr>
          <w:sz w:val="20"/>
          <w:szCs w:val="20"/>
          <w:color w:val="auto"/>
        </w:rPr>
      </w:pPr>
    </w:p>
    <w:p>
      <w:pPr>
        <w:ind w:left="200" w:hanging="174"/>
        <w:spacing w:after="0"/>
        <w:tabs>
          <w:tab w:leader="none" w:pos="200" w:val="left"/>
        </w:tabs>
        <w:numPr>
          <w:ilvl w:val="0"/>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restructuring and other charges: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5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640" w:type="dxa"/>
            <w:vAlign w:val="bottom"/>
          </w:tcPr>
          <w:p>
            <w:pPr>
              <w:spacing w:after="0"/>
              <w:rPr>
                <w:sz w:val="19"/>
                <w:szCs w:val="19"/>
                <w:color w:val="auto"/>
              </w:rPr>
            </w:pPr>
          </w:p>
        </w:tc>
        <w:tc>
          <w:tcPr>
            <w:tcW w:w="11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19"/>
                <w:szCs w:val="19"/>
                <w:color w:val="auto"/>
              </w:rPr>
            </w:pPr>
          </w:p>
        </w:tc>
        <w:tc>
          <w:tcPr>
            <w:tcW w:w="102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40" w:type="dxa"/>
            <w:vAlign w:val="bottom"/>
            <w:shd w:val="clear" w:color="auto" w:fill="CCEEFF"/>
          </w:tcPr>
          <w:p>
            <w:pPr>
              <w:spacing w:after="0"/>
              <w:rPr>
                <w:sz w:val="19"/>
                <w:szCs w:val="19"/>
                <w:color w:val="auto"/>
              </w:rPr>
            </w:pPr>
          </w:p>
        </w:tc>
        <w:tc>
          <w:tcPr>
            <w:tcW w:w="11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19"/>
                <w:szCs w:val="19"/>
                <w:color w:val="auto"/>
              </w:rPr>
            </w:pP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80" w:type="dxa"/>
            <w:vAlign w:val="bottom"/>
          </w:tcPr>
          <w:p>
            <w:pPr>
              <w:spacing w:after="0"/>
              <w:rPr>
                <w:sz w:val="19"/>
                <w:szCs w:val="19"/>
                <w:color w:val="auto"/>
              </w:rPr>
            </w:pPr>
          </w:p>
        </w:tc>
        <w:tc>
          <w:tcPr>
            <w:tcW w:w="4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77"/>
        </w:trPr>
        <w:tc>
          <w:tcPr>
            <w:tcW w:w="1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4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(4)</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expenses</w:t>
            </w:r>
          </w:p>
        </w:tc>
        <w:tc>
          <w:tcPr>
            <w:tcW w:w="640" w:type="dxa"/>
            <w:vAlign w:val="bottom"/>
            <w:shd w:val="clear" w:color="auto" w:fill="CCEEFF"/>
          </w:tcPr>
          <w:p>
            <w:pPr>
              <w:jc w:val="right"/>
              <w:ind w:right="451"/>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ind w:right="391"/>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4,077</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180" w:type="dxa"/>
            <w:vAlign w:val="bottom"/>
          </w:tcPr>
          <w:p>
            <w:pPr>
              <w:spacing w:after="0"/>
              <w:rPr>
                <w:sz w:val="21"/>
                <w:szCs w:val="21"/>
                <w:color w:val="auto"/>
              </w:rPr>
            </w:pPr>
          </w:p>
        </w:tc>
        <w:tc>
          <w:tcPr>
            <w:tcW w:w="4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49"/>
        </w:trPr>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(5)</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Includes amortization of debt issuance costs</w:t>
            </w:r>
          </w:p>
        </w:tc>
        <w:tc>
          <w:tcPr>
            <w:tcW w:w="64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411"/>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43" w:name="page44"/>
    <w:bookmarkEnd w:id="4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right="20" w:firstLine="8"/>
        <w:spacing w:after="0" w:line="340" w:lineRule="auto"/>
        <w:tabs>
          <w:tab w:leader="none" w:pos="168" w:val="left"/>
        </w:tabs>
        <w:numPr>
          <w:ilvl w:val="0"/>
          <w:numId w:val="1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During the three and nine months ended April 30, 2025, we recognized a tax benefit of $0.2 million and $17.4 million, respectively attributable to the release of the valuation allowance on United Kingdom (U.K.) deferred tax assets.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80" w:type="dxa"/>
            <w:vAlign w:val="bottom"/>
          </w:tcPr>
          <w:p>
            <w:pPr>
              <w:spacing w:after="0"/>
              <w:rPr>
                <w:sz w:val="18"/>
                <w:szCs w:val="18"/>
                <w:color w:val="auto"/>
              </w:rPr>
            </w:pPr>
          </w:p>
        </w:tc>
        <w:tc>
          <w:tcPr>
            <w:tcW w:w="346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3100" w:type="dxa"/>
            <w:vAlign w:val="bottom"/>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468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120" w:type="dxa"/>
            <w:vAlign w:val="bottom"/>
            <w:tcBorders>
              <w:top w:val="single" w:sz="8" w:color="auto"/>
              <w:bottom w:val="single" w:sz="8" w:color="CCEEFF"/>
            </w:tcBorders>
          </w:tcPr>
          <w:p>
            <w:pPr>
              <w:spacing w:after="0"/>
              <w:rPr>
                <w:sz w:val="18"/>
                <w:szCs w:val="18"/>
                <w:color w:val="auto"/>
              </w:rPr>
            </w:pP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0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2026</w:t>
            </w:r>
          </w:p>
        </w:tc>
        <w:tc>
          <w:tcPr>
            <w:tcW w:w="8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2025</w:t>
            </w:r>
          </w:p>
        </w:tc>
      </w:tr>
      <w:tr>
        <w:trPr>
          <w:trHeight w:val="225"/>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30"/>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23"/>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margin</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77</w:t>
            </w: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29"/>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and marketing</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r>
      <w:tr>
        <w:trPr>
          <w:trHeight w:val="230"/>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r>
      <w:tr>
        <w:trPr>
          <w:trHeight w:val="229"/>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2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10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23"/>
        </w:trPr>
        <w:tc>
          <w:tcPr>
            <w:tcW w:w="4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80</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r>
      <w:tr>
        <w:trPr>
          <w:trHeight w:val="22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(4)</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(5)</w:t>
            </w:r>
          </w:p>
        </w:tc>
      </w:tr>
      <w:tr>
        <w:trPr>
          <w:trHeight w:val="229"/>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19"/>
                <w:szCs w:val="19"/>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100" w:type="dxa"/>
            <w:vAlign w:val="bottom"/>
          </w:tcPr>
          <w:p>
            <w:pPr>
              <w:spacing w:after="0"/>
              <w:rPr>
                <w:sz w:val="19"/>
                <w:szCs w:val="19"/>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30"/>
        </w:trPr>
        <w:tc>
          <w:tcPr>
            <w:tcW w:w="4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7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29"/>
        </w:trPr>
        <w:tc>
          <w:tcPr>
            <w:tcW w:w="4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t>
            </w:r>
          </w:p>
        </w:tc>
        <w:tc>
          <w:tcPr>
            <w:tcW w:w="15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23"/>
        </w:trPr>
        <w:tc>
          <w:tcPr>
            <w:tcW w:w="4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00" w:type="dxa"/>
            <w:vAlign w:val="bottom"/>
            <w:tcBorders>
              <w:top w:val="single" w:sz="8" w:color="CCEEFF"/>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r>
      <w:tr>
        <w:trPr>
          <w:trHeight w:val="229"/>
        </w:trPr>
        <w:tc>
          <w:tcPr>
            <w:tcW w:w="4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April 30, 2026 and 2025</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850,475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678,034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172,441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Revenue increased by $172.4 million, or 25%, for the three months ended April 30, 2026, compared to the three months ended April 30, 2025. The change in revenue was driven primarily by sales of additional subscriptions to existing customers, which contributed $102.7 million in additional revenue. The remainder of the increase was primarily attributable to the addition of new customers, as we increased our customer base by 17% from April 30, 2025 to April 30, 2026.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20" w:type="dxa"/>
            <w:vAlign w:val="bottom"/>
            <w:gridSpan w:val="5"/>
          </w:tcPr>
          <w:p>
            <w:pPr>
              <w:ind w:left="34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00" w:type="dxa"/>
            <w:vAlign w:val="bottom"/>
          </w:tcPr>
          <w:p>
            <w:pPr>
              <w:spacing w:after="0"/>
              <w:rPr>
                <w:sz w:val="18"/>
                <w:szCs w:val="18"/>
                <w:color w:val="auto"/>
              </w:rPr>
            </w:pPr>
          </w:p>
        </w:tc>
        <w:tc>
          <w:tcPr>
            <w:tcW w:w="1600" w:type="dxa"/>
            <w:vAlign w:val="bottom"/>
            <w:gridSpan w:val="3"/>
          </w:tcPr>
          <w:p>
            <w:pPr>
              <w:ind w:left="8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44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
        </w:trPr>
        <w:tc>
          <w:tcPr>
            <w:tcW w:w="44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192,652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155,978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36,674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47"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Cost of revenue increased by $36.7 million, or 24%, for the three months ended April 30, 2026, compared to the three months ended April 30, 2025. The overall increase in cost of revenue was driven primarily by the expanded use of our cloud platform by existing and new customers, which led to an increase of $26.4 million for data center and equipment-related costs for hosting and operating our cloud platform. The remainder of the increase was primarily attributable to employee-related expenses of $6.9 million, inclusive of an increase of $3.7 million in stock-based compensation expense, and higher amortization of acquired intangible assets of $3.4 million.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margin remained flat at 77% for the three months ended April 30, 2026, compared to the three months ended April 30, 2025.</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314,605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57,336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20" w:lineRule="auto"/>
        <w:rPr>
          <w:sz w:val="20"/>
          <w:szCs w:val="20"/>
          <w:color w:val="auto"/>
        </w:rPr>
      </w:pPr>
      <w:r>
        <w:rPr>
          <w:rFonts w:ascii="Times New Roman" w:cs="Times New Roman" w:eastAsia="Times New Roman" w:hAnsi="Times New Roman"/>
          <w:sz w:val="18"/>
          <w:szCs w:val="18"/>
          <w:color w:val="auto"/>
        </w:rPr>
        <w:t>Sales and marketing expenses increased by $57.3 million, or 18%, for the three months ended April 30, 2026, compared to the three months ended April 30, 2025. The change was driven primarily by an increase of $46.2 million in employee-related expenses, inclusive of an increase of $11.1 million in sales commissions expense and $8.9 million in stock-based compensation expense, primarily due to an increase in headcount. The remainder of the increase was primarily attributable to $6.2 million in facility, software and equipment-related expenses and $3.8 million in amortization of acquired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5" w:name="page46"/>
    <w:bookmarkEnd w:id="4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62,516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Research and development expenses increased by $62.5 million, or 37%, for the three months ended April 30, 2026, compared to the three months ended April 30, 2025, as we continue to develop and enhance the functionality of our cloud platform and integrate acquired technologies. The change was driven primarily by an increase of $46.8 million in employee-related expenses, inclusive of an increase of $25.3 million in stock-based compensation expense, primarily due to an increase in headcount. The remainder of the increase was primarily attributable to increased expenses of $16.2 million in facility, cloud hosting, software and equipment-related expenses to support our growth.</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General and administrative expenses increased by $20.1 million, or 32%, for the three months ended April 30, 2026, compared to the three months ended April 30, 2025. The change was driven primarily by an increase of $13.4 million in employee-related expenses, inclusive of an increase of $7.9 million in stock-based compensation expense, primarily due to an increase in headcount. The remainder of the increase was primarily attributable to increased expenses of $1.8 million in acquisition-related expenses and the rise of miscellaneous expenses to support the growth of our business.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bl>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increased by $2.8 million, or 9%, for the three months ended April 30, 2026, compared to the three months ended April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was driven primarily by our increased balance of cash equivalents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6" w:name="page47"/>
    <w:bookmarkEnd w:id="4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14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6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r>
    </w:tbl>
    <w:p>
      <w:pPr>
        <w:spacing w:after="0" w:line="200" w:lineRule="exact"/>
        <w:rPr>
          <w:sz w:val="20"/>
          <w:szCs w:val="20"/>
          <w:color w:val="auto"/>
        </w:rPr>
      </w:pPr>
    </w:p>
    <w:p>
      <w:pPr>
        <w:spacing w:after="0" w:line="227" w:lineRule="exact"/>
        <w:rPr>
          <w:sz w:val="20"/>
          <w:szCs w:val="20"/>
          <w:color w:val="auto"/>
        </w:rPr>
      </w:pPr>
    </w:p>
    <w:p>
      <w:pPr>
        <w:jc w:val="both"/>
        <w:ind w:right="20" w:firstLine="450"/>
        <w:spacing w:after="0" w:line="329" w:lineRule="auto"/>
        <w:rPr>
          <w:sz w:val="20"/>
          <w:szCs w:val="20"/>
          <w:color w:val="auto"/>
        </w:rPr>
      </w:pPr>
      <w:r>
        <w:rPr>
          <w:rFonts w:ascii="Times New Roman" w:cs="Times New Roman" w:eastAsia="Times New Roman" w:hAnsi="Times New Roman"/>
          <w:sz w:val="18"/>
          <w:szCs w:val="18"/>
          <w:color w:val="auto"/>
        </w:rPr>
        <w:t>Interest expense increased by $0.7 million for the three months ended April 30, 2026, compared to the three months ended April 30, 2025. The change was driven primarily by higher amortization of debt issuance costs.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Borders>
              <w:bottom w:val="single" w:sz="8" w:color="auto"/>
            </w:tcBorders>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(4,074)</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r>
    </w:tbl>
    <w:p>
      <w:pPr>
        <w:spacing w:after="0" w:line="200" w:lineRule="exact"/>
        <w:rPr>
          <w:sz w:val="20"/>
          <w:szCs w:val="20"/>
          <w:color w:val="auto"/>
        </w:rPr>
      </w:pPr>
    </w:p>
    <w:p>
      <w:pPr>
        <w:spacing w:after="0" w:line="227" w:lineRule="exact"/>
        <w:rPr>
          <w:sz w:val="20"/>
          <w:szCs w:val="20"/>
          <w:color w:val="auto"/>
        </w:rPr>
      </w:pPr>
    </w:p>
    <w:p>
      <w:pPr>
        <w:ind w:right="20" w:firstLine="450"/>
        <w:spacing w:after="0" w:line="329" w:lineRule="auto"/>
        <w:rPr>
          <w:sz w:val="20"/>
          <w:szCs w:val="20"/>
          <w:color w:val="auto"/>
        </w:rPr>
      </w:pPr>
      <w:r>
        <w:rPr>
          <w:rFonts w:ascii="Times New Roman" w:cs="Times New Roman" w:eastAsia="Times New Roman" w:hAnsi="Times New Roman"/>
          <w:sz w:val="18"/>
          <w:szCs w:val="18"/>
          <w:color w:val="auto"/>
        </w:rPr>
        <w:t>Other income (expense), net increased by $4.8 million for the three months ended April 30, 2026 compared to the three months ended April 30, 2025. The change was driven primarily by fluctuations in foreign currency transactions gains and losses.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bl>
    <w:p>
      <w:pPr>
        <w:spacing w:after="0" w:line="200" w:lineRule="exact"/>
        <w:rPr>
          <w:sz w:val="20"/>
          <w:szCs w:val="20"/>
          <w:color w:val="auto"/>
        </w:rPr>
      </w:pPr>
    </w:p>
    <w:p>
      <w:pPr>
        <w:spacing w:after="0" w:line="214" w:lineRule="exact"/>
        <w:rPr>
          <w:sz w:val="20"/>
          <w:szCs w:val="20"/>
          <w:color w:val="auto"/>
        </w:rPr>
      </w:pPr>
    </w:p>
    <w:p>
      <w:pPr>
        <w:ind w:right="20" w:firstLine="450"/>
        <w:spacing w:after="0" w:line="329" w:lineRule="auto"/>
        <w:rPr>
          <w:sz w:val="20"/>
          <w:szCs w:val="20"/>
          <w:color w:val="auto"/>
        </w:rPr>
      </w:pPr>
      <w:r>
        <w:rPr>
          <w:rFonts w:ascii="Times New Roman" w:cs="Times New Roman" w:eastAsia="Times New Roman" w:hAnsi="Times New Roman"/>
          <w:sz w:val="18"/>
          <w:szCs w:val="18"/>
          <w:color w:val="auto"/>
        </w:rPr>
        <w:t>Our provision for income taxes increased by $2.8 million for the three months ended April 30, 2026, compared to the three months ended April 30, 2025. The change is primarily driven by the increase in our pre-tax income in non-U.S. jurisdictions in which we conduct business.</w:t>
      </w:r>
    </w:p>
    <w:p>
      <w:pPr>
        <w:spacing w:after="0" w:line="121"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provision for income taxes for interim periods is determined using an estimate of our annual effective tax rate, adjusted for discrete items, if any, that arise during the period. Each fiscal quarter, we update our estimate of the annual effective tax rate, and if the estimated annual effective tax rate changes, we make a cumulative adjustment in such period.</w:t>
      </w:r>
    </w:p>
    <w:p>
      <w:pPr>
        <w:spacing w:after="0" w:line="12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quarterly tax provision for, and estimate of, our annual effective tax rate, is subject to variation due to several factors, including variability in pre-tax income (or loss), the mix of jurisdictions to which such income relates, changes in our business operations and changes in tax laws. Our estimated annual effective tax rate for the year differs from the U.S. statutory rate of 21% as a result of our U.S. losses for which no tax benefit will be realized, as well as our foreign operations which are subject to tax rates that differ from those in the United States.</w:t>
      </w:r>
    </w:p>
    <w:p>
      <w:pPr>
        <w:spacing w:after="0" w:line="122"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The realization of deferred tax assets is dependent upon the generation of sufficient taxable income of the appropriate character in future periods. We assess our ability to realize the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Due to the weight of objectively verifiable negative evidence, including our history of losses in certain jurisdictions, we believe that it is more likely than not that our U.S. federal, state and certain foreign jurisdictions deferred tax assets will not be realized. Accordingly, we have maintained a valuation allowance on our U.S. federal, state and certain foreign jurisdiction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450"/>
        <w:spacing w:after="0" w:line="316" w:lineRule="auto"/>
        <w:rPr>
          <w:sz w:val="20"/>
          <w:szCs w:val="20"/>
          <w:color w:val="auto"/>
        </w:rPr>
      </w:pPr>
      <w:r>
        <w:rPr>
          <w:rFonts w:ascii="Times New Roman" w:cs="Times New Roman" w:eastAsia="Times New Roman" w:hAnsi="Times New Roman"/>
          <w:sz w:val="18"/>
          <w:szCs w:val="18"/>
          <w:color w:val="auto"/>
        </w:rPr>
        <w:t>Many non-U.S. countries are beginning to implement legislation and other guidance to align their international tax rules with the Organization for Economic Cooperation and Development’s (“OECD”) Base Erosion and Profit Shifting recommendations, an action plan that aims to standardize and modernize global corporate tax policy, including changes to cross-border tax, transfer pricing documentation rules and nexus-based tax incentive practices. The OECD is also continuing discussions surrounding fundamental changes in allocation of profits among tax jurisdictions in which companies do business, as well as the implementation of “Pillar Two”, a global minimum tax. We have analyzed the impact of the enacted tax laws regarding Pillar Two and have determined there is an immaterial impact on the income tax provision for the three months ended April 30, 2026.</w:t>
      </w:r>
    </w:p>
    <w:p>
      <w:pPr>
        <w:spacing w:after="0" w:line="214"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the One Big Beautiful Bill Act. Included in this legislation are provisions that allow for the immediate expensing of domestic research and development expenses, immediate expensing of certain capital expenditures, and other changes to the U.S. taxation of profits derived from foreign operations. We began accounting for the provisions in the legislation in fiscal 2026, which resulted in an immaterial favorable effect on the income tax provision, mainly due to the Company's valuation allowance.</w:t>
      </w:r>
    </w:p>
    <w:p>
      <w:pPr>
        <w:spacing w:after="0" w:line="203"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The OECD's January 2026 guidance introduced a "Side-by-Side Safe Harbor" that may exempt our U.S. operations from certain global minimum tax rules effective for fiscal years beginning on or after January 1, 2026. However, this relief does not extend to foreign jurisdictions where local minimum tax requirements remain applicable. We continue to monitor these developments and are assessing the potential impact on the income tax provision beginning in fiscal 2027.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8" w:name="page49"/>
    <w:bookmarkEnd w:id="4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Nine Months Ended April 30, 2026 and 2025</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2,454,338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1,953,889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500,449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Revenue increased by $500.4 million, or 26%, for the nine months ended April 30, 2026, compared to the nine months ended April 30, 2025. The change in revenue was driven primarily by sales of additional subscriptions to existing customers, which contributed $321.2 million in additional revenue. The remainder of the increase was primarily attributable to the addition of new customers, as we increased our customer base by 17% from April 30, 2025 to April 30, 2026.</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340" w:type="dxa"/>
            <w:vAlign w:val="bottom"/>
            <w:gridSpan w:val="5"/>
          </w:tcPr>
          <w:p>
            <w:pPr>
              <w:ind w:left="4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380" w:type="dxa"/>
            <w:vAlign w:val="bottom"/>
          </w:tcPr>
          <w:p>
            <w:pPr>
              <w:spacing w:after="0"/>
              <w:rPr>
                <w:sz w:val="18"/>
                <w:szCs w:val="18"/>
                <w:color w:val="auto"/>
              </w:rPr>
            </w:pPr>
          </w:p>
        </w:tc>
        <w:tc>
          <w:tcPr>
            <w:tcW w:w="1620" w:type="dxa"/>
            <w:vAlign w:val="bottom"/>
            <w:gridSpan w:val="3"/>
          </w:tcPr>
          <w:p>
            <w:pPr>
              <w:ind w:left="88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60" w:type="dxa"/>
            <w:vAlign w:val="bottom"/>
          </w:tcPr>
          <w:p>
            <w:pPr>
              <w:spacing w:after="0"/>
              <w:rPr>
                <w:sz w:val="18"/>
                <w:szCs w:val="18"/>
                <w:color w:val="auto"/>
              </w:rPr>
            </w:pPr>
          </w:p>
        </w:tc>
      </w:tr>
      <w:tr>
        <w:trPr>
          <w:trHeight w:val="211"/>
        </w:trPr>
        <w:tc>
          <w:tcPr>
            <w:tcW w:w="4440" w:type="dxa"/>
            <w:vAlign w:val="bottom"/>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7"/>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40" w:type="dxa"/>
            <w:vAlign w:val="bottom"/>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568,665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8"/>
                <w:szCs w:val="18"/>
                <w:color w:val="auto"/>
              </w:rPr>
              <w:t>445,938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122,727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4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r>
    </w:tbl>
    <w:p>
      <w:pPr>
        <w:spacing w:after="0" w:line="247"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Cost of revenue increased by $122.7 million, or 28%, for the nine months ended April 30, 2026, compared to the nine months ended April 30, 2025. The overall increase in cost of revenue was driven primarily by the expanded use of our cloud platform by existing and new customers, which led to an increase of $80.2 million for data center and equipment-related costs for hosting and operating our cloud platform. The remainder of the increase was primarily attributable to employee-related expenses of $30.7 million, inclusive of an increase of $13.9 million in stock-based compensation expense, higher amortization of acquired intangible assets of $8.5 million and facility related expenses of $3.4 million.</w:t>
      </w:r>
    </w:p>
    <w:p>
      <w:pPr>
        <w:spacing w:after="0" w:line="28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Gross margin remained flat at 77% for the nine months ended April 30, 2026, compared to the nine months ended April 30, 2025.</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1,114,449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928,564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185,885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20" w:lineRule="auto"/>
        <w:rPr>
          <w:sz w:val="20"/>
          <w:szCs w:val="20"/>
          <w:color w:val="auto"/>
        </w:rPr>
      </w:pPr>
      <w:r>
        <w:rPr>
          <w:rFonts w:ascii="Times New Roman" w:cs="Times New Roman" w:eastAsia="Times New Roman" w:hAnsi="Times New Roman"/>
          <w:sz w:val="18"/>
          <w:szCs w:val="18"/>
          <w:color w:val="auto"/>
        </w:rPr>
        <w:t>Sales and marketing expenses increased by $185.9 million, or 20%, for the nine months ended April 30, 2026, compared to the nine months ended April 30, 2025. The change was driven primarily by an increase of $133.5 million in employee-related expenses, inclusive of an increase of $30.0 million in sales commissions expense and $25.9 million in stock-based compensation expense, primarily due to an increase in headcount. The remainder of the increase was primarily attributable to $18.8 million in facility, software and equipment-related expenses, $12.7 million in marketing and advertisement expenses, $10.1 million in amortization of acquired intangible assets, $8.9 million in travel expenses and $4.1 million in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49" w:name="page50"/>
    <w:bookmarkEnd w:id="4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661,916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167,037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Research and development expenses increased by $167.0 million, or 34%, for the nine months ended April 30, 2026, compared to the nine months ended April 30, 2025, as we continue to develop and enhance the functionality of our cloud platform and integrate technologies acquired through our business acquisitions. The change was driven primarily by an increase of $116.4 million in employee-related expenses, inclusive of an increase of $59.9 million in stock-based compensation expense, primarily due to an increase in headcount. The remainder of the increase was primarily attributable to increased expenses of $40.4 million in facility, cloud hosting, software and equipment-related expenses to support our growth and lower capitalized internal-use software development costs of $8.3 million.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227,083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46,357</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General and administrative expenses increased by $46.4 million, or 26%, for the nine months ended April 30, 2026, compared to the nine months ended April 30, 2025. The change was driven primarily by an increase of $34.6 million in employee-related expenses, inclusive of an increase of $21.9 million in stock-based compensation expense, primarily due to an increase in headcount. The remainder of the increase was primarily attributable to increased expenses of $4.1 million in acquisition-related expenses, $2.8 million in facility-related expenses and the rise of miscellaneous expenses to support the growth of our business.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101,090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Interest income increased by $8.9 million, or 10%, for the nine months ended April 30, 2026, compared to the nine months ended April 30, 2025.</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was driven primarily by our increased balance of cash equivalents and short-term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0" w:name="page51"/>
    <w:bookmarkEnd w:id="5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Interest expense increased by $1.6 million for the nine months ended April 30, 2026, compared to the nine months ended April 30, 2025. The change was driven primarily by higher amortization of debt issuance costs.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48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top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4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bl>
    <w:p>
      <w:pPr>
        <w:spacing w:after="0" w:line="200" w:lineRule="exact"/>
        <w:rPr>
          <w:sz w:val="20"/>
          <w:szCs w:val="20"/>
          <w:color w:val="auto"/>
        </w:rPr>
      </w:pPr>
    </w:p>
    <w:p>
      <w:pPr>
        <w:spacing w:after="0" w:line="227"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Other expense, net increased by $1.4 million for the nine months ended April 30, 2026 compared to the nine months ended April 30, 2025. The change was driven primarily by fluctuations in foreign currency transactions gains and losses.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00" w:type="dxa"/>
            <w:vAlign w:val="bottom"/>
          </w:tcPr>
          <w:p>
            <w:pPr>
              <w:spacing w:after="0"/>
              <w:rPr>
                <w:sz w:val="18"/>
                <w:szCs w:val="18"/>
                <w:color w:val="auto"/>
              </w:rPr>
            </w:pPr>
          </w:p>
        </w:tc>
        <w:tc>
          <w:tcPr>
            <w:tcW w:w="280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1080" w:type="dxa"/>
            <w:vAlign w:val="bottom"/>
            <w:tcBorders>
              <w:bottom w:val="single" w:sz="8" w:color="auto"/>
            </w:tcBorders>
          </w:tcPr>
          <w:p>
            <w:pPr>
              <w:spacing w:after="0"/>
              <w:rPr>
                <w:sz w:val="18"/>
                <w:szCs w:val="18"/>
                <w:color w:val="auto"/>
              </w:rPr>
            </w:pPr>
          </w:p>
        </w:tc>
      </w:tr>
      <w:tr>
        <w:trPr>
          <w:trHeight w:val="211"/>
        </w:trPr>
        <w:tc>
          <w:tcPr>
            <w:tcW w:w="4600" w:type="dxa"/>
            <w:vAlign w:val="bottom"/>
          </w:tcPr>
          <w:p>
            <w:pPr>
              <w:spacing w:after="0"/>
              <w:rPr>
                <w:sz w:val="18"/>
                <w:szCs w:val="18"/>
                <w:color w:val="auto"/>
              </w:rPr>
            </w:pPr>
          </w:p>
        </w:tc>
        <w:tc>
          <w:tcPr>
            <w:tcW w:w="104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6"/>
                <w:szCs w:val="16"/>
                <w:b w:val="1"/>
                <w:bCs w:val="1"/>
                <w:color w:val="auto"/>
              </w:rPr>
              <w:t>2026</w:t>
            </w:r>
          </w:p>
        </w:tc>
        <w:tc>
          <w:tcPr>
            <w:tcW w:w="6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15"/>
        </w:trPr>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
        </w:trPr>
        <w:tc>
          <w:tcPr>
            <w:tcW w:w="46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27,767</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5"/>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270 %</w:t>
            </w:r>
          </w:p>
        </w:tc>
      </w:tr>
    </w:tbl>
    <w:p>
      <w:pPr>
        <w:spacing w:after="0" w:line="200" w:lineRule="exact"/>
        <w:rPr>
          <w:sz w:val="20"/>
          <w:szCs w:val="20"/>
          <w:color w:val="auto"/>
        </w:rPr>
      </w:pPr>
    </w:p>
    <w:p>
      <w:pPr>
        <w:spacing w:after="0" w:line="214" w:lineRule="exact"/>
        <w:rPr>
          <w:sz w:val="20"/>
          <w:szCs w:val="20"/>
          <w:color w:val="auto"/>
        </w:rPr>
      </w:pPr>
    </w:p>
    <w:p>
      <w:pPr>
        <w:ind w:firstLine="450"/>
        <w:spacing w:after="0" w:line="329" w:lineRule="auto"/>
        <w:rPr>
          <w:sz w:val="20"/>
          <w:szCs w:val="20"/>
          <w:color w:val="auto"/>
        </w:rPr>
      </w:pPr>
      <w:r>
        <w:rPr>
          <w:rFonts w:ascii="Times New Roman" w:cs="Times New Roman" w:eastAsia="Times New Roman" w:hAnsi="Times New Roman"/>
          <w:sz w:val="18"/>
          <w:szCs w:val="18"/>
          <w:color w:val="auto"/>
        </w:rPr>
        <w:t>Our provision for income taxes increased by $20.3 million for the nine months ended April 30, 2026, compared to the nine months ended April 30, 2025. The change is primarily attributable to the prior year's non-recurring release of valuation allowance on United Kingdom deferred tax assets.</w:t>
      </w:r>
    </w:p>
    <w:p>
      <w:pPr>
        <w:spacing w:after="0" w:line="121"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provision for income taxes for interim periods is determined using an estimate of our annual effective tax rate, adjusted for discrete items, if any, that arise during the period. Each fiscal quarter, we update our estimate of the annual effective tax rate, and if the estimated annual effective tax rate changes, we make a cumulative adjustment in such period.</w:t>
      </w:r>
    </w:p>
    <w:p>
      <w:pPr>
        <w:spacing w:after="0" w:line="12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Our quarterly tax provision for, and estimate of, our annual effective tax rate, is subject to variation due to several factors, including variability in pre-tax income (or loss), the mix of jurisdictions to which such income relates, changes in our business operations and changes in tax laws. Our estimated annual effective tax rate for the year differs from the U.S. statutory rate of 21% as a result of our U.S. losses for which no tax benefit will be realized, as well as our foreign operations which are subject to tax rates that differ from those in United States.</w:t>
      </w:r>
    </w:p>
    <w:p>
      <w:pPr>
        <w:spacing w:after="0" w:line="122"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The realization of deferred tax assets is dependent upon the generation of sufficient taxable income of the appropriate character in future periods. We assess our ability to realize the deferred tax assets on a quarterly basis and we establish a valuation allowance if it is more-likely-than-not that some portion of the deferred tax assets will not be realized. We weigh all available positive and negative evidence, including our earnings history and results of recent operations, scheduled reversals of deferred tax liabilities, projected future taxable income and tax planning strategies. Due to the weight of objectively verifiable negative evidence, including our history of losses in certain jurisdictions, we believe that it is more likely than not that our U.S. federal, state and certain foreign jurisdictions deferred tax assets will not be realized. Accordingly, we have maintained a valuation allowance on our U.S. federal, state and certain foreign jurisdiction deferred tax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450"/>
        <w:spacing w:after="0" w:line="316" w:lineRule="auto"/>
        <w:rPr>
          <w:sz w:val="20"/>
          <w:szCs w:val="20"/>
          <w:color w:val="auto"/>
        </w:rPr>
      </w:pPr>
      <w:r>
        <w:rPr>
          <w:rFonts w:ascii="Times New Roman" w:cs="Times New Roman" w:eastAsia="Times New Roman" w:hAnsi="Times New Roman"/>
          <w:sz w:val="18"/>
          <w:szCs w:val="18"/>
          <w:color w:val="auto"/>
        </w:rPr>
        <w:t>Many non-U.S. countries are beginning to implement legislation and other guidance to align their international tax rules with the Organization for Economic Cooperation and Development’s (“OECD”) Base Erosion and Profit Shifting recommendations, an action plan that aims to standardize and modernize global corporate tax policy, including changes to cross-border tax, transfer pricing documentation rules and nexus-based tax incentive practices. The OECD is also continuing discussions surrounding fundamental changes in allocation of profits among tax jurisdictions in which companies do business, as well as the implementation of “Pillar Two”, a global minimum tax. We have analyzed the impact of the enacted tax laws regarding Pillar Two and have determined there is an immaterial impact on the income tax provision for the nine months ended April 30, 2026.</w:t>
      </w:r>
    </w:p>
    <w:p>
      <w:pPr>
        <w:spacing w:after="0" w:line="214"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The OECD's January 2026 guidance introduced a "Side-by-Side Safe Harbor" that may exempt our U.S. operations from certain global minimum tax rules effective for fiscal years beginning on or after January 1, 2026. However, this relief does not extend to foreign jurisdictions where local minimum tax requirements remain applicable. We continue to monitor these developments and are assessing the potential impact on the income tax provision beginning in fiscal 2027.</w:t>
      </w:r>
    </w:p>
    <w:p>
      <w:pPr>
        <w:spacing w:after="0" w:line="203"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On July 4, 2025, the United States enacted tax reform legislation through the One Big Beautiful Bill Act. Included in this legislation are provisions that allow for the immediate expensing of domestic research and development expenses, immediate expensing of certain capital expenditures, and other changes to the U.S. taxation of profits derived from foreign operations. We began accounting for the provisions in the legislation in fiscal 2026, which resulted in an immaterial favorable effect on the income tax provision, mainly due to the Company's valuation allowance.</w:t>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0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As of April 30, 2026, our principal sources of liquidity were cash, cash equivalents and short-term investments totaling $3,539.1 million, which were held for working capital and general corporate purposes. Our cash equivalents and investments consist of highly liquid investments in money market funds, U.S. treasury securities, U.S. government agency securities, certificates of deposit, corporate debt securities, asset-backed securities and non-U.S. government securities.</w:t>
      </w:r>
    </w:p>
    <w:p>
      <w:pPr>
        <w:spacing w:after="0" w:line="122"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In July 2025, we completed the private offering of the Convertible Senior Notes due 2028 (the “2028 Notes”) with an aggregate principal amount of $1,725.0 million. The total net proceeds from the offering, after deducting initial purchase discount and issuance costs, was $1,700.0 million. The 2028 Notes mature on July 15, 2028. In connection with the 2028 Notes, we entered into the capped call transactions which are expected to reduce the potential dilution of our common stock upon any conversion of the 2028 Notes and/or offset any cash payments we could be required to make in excess of the principal amount of the converted notes. We used an aggregate amount of $196.8 million of the net proceeds of the 2028 Notes to purchase the capped call transactions. For further information refer to Note 10, Convertible Senior Notes, to the audited consolidated financial statements included in our Fiscal 2025 Form 10-K.</w:t>
      </w:r>
    </w:p>
    <w:p>
      <w:pPr>
        <w:spacing w:after="0" w:line="143"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We have generated significant losses from operations, as reflected in our accumulated deficit of $1,249.4 million as of April 30, 2026. We expect to continue to incur operating losses and have in the past and may in the future generate negative cash flows due to expected investments to grow our business, including potential business acquisitions and other strategic transactions.</w:t>
      </w:r>
    </w:p>
    <w:p>
      <w:pPr>
        <w:spacing w:after="0" w:line="122"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We believe that our existing cash, cash equivalents and short-term investments will be sufficient to fund our working capital, capital expenditure and convertible senior notes repayment requirements for at least the next 12 months from the date of issuance of our financial statements. Our foreseeable cash needs, in addition to our recurring operating costs, include our expected capital expenditures to support expansion of our infrastructure and workforce, lease obligations, purchase commitments, potential business acquisitions, convertible senior notes repayment requirements and other strategic transactions. Our assessment of the period of time through which our financial resources will be adequate to support our operations is a forward-looking statement and involves risks and uncertainties. Our actual results could vary as a result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2" w:name="page53"/>
    <w:bookmarkEnd w:id="5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and our future capital requirements, both near-term and long-term, will depend on, many factors, including our growth rate, the timing and extent of spending to support our research and development efforts, the expansion of sales and marketing and international operating activities, the timing of new introductions of solutions or features, and the continuing market acceptance of our services, the impact of macroeconomic and geopolitical conditions to our and our customers', vendors' and partners' businesses. We have and may in the future enter into arrangements to acquire or invest in complementary businesses, services and technologies, including intellectual property rights. We have based this estimate on assumptions that may prove to be wrong, and we could use our available capital resources sooner than we currently expect. Additionally, some of the factors that may influence our operations are not within our control, such as general economic conditions, geopolitical developments and the impact of global crises. We may be required to seek additional equity or debt financing. In the event that additional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32" w:lineRule="exact"/>
        <w:rPr>
          <w:sz w:val="20"/>
          <w:szCs w:val="20"/>
          <w:color w:val="auto"/>
        </w:rPr>
      </w:pPr>
    </w:p>
    <w:p>
      <w:pPr>
        <w:jc w:val="both"/>
        <w:ind w:firstLine="450"/>
        <w:spacing w:after="0" w:line="305" w:lineRule="auto"/>
        <w:rPr>
          <w:sz w:val="20"/>
          <w:szCs w:val="20"/>
          <w:color w:val="auto"/>
        </w:rPr>
      </w:pPr>
      <w:r>
        <w:rPr>
          <w:rFonts w:ascii="Times New Roman" w:cs="Times New Roman" w:eastAsia="Times New Roman" w:hAnsi="Times New Roman"/>
          <w:sz w:val="18"/>
          <w:szCs w:val="18"/>
          <w:color w:val="auto"/>
        </w:rPr>
        <w:t>We typically invoice our customers annually in advance, and to a lesser extent quarterly in advance, monthly in advance or multi-year in advance. Therefore, a substantial source of our cash is from such prepayments, which are included on our consolidated balance sheets as a contract liability. Deferred revenue consists of the unearned portion of billed fees for our subscriptions, which is subsequently recognized as revenue in accordance with our revenue recognition policy. As of April 30, 2026, we had deferred revenue of $2,477.2 million, of which $2,097.1 million was recorded as a current liability and is expected to be recorded as revenue in the next 12 months, provided all other revenue recognition criteria have been met. Subscriptions that are invoiced annually in advance or multi-year in advance contribute significantly to our short-term and long-term deferred revenue in comparison to our invoices issued quarterly in advance or monthly in advance.</w:t>
      </w:r>
    </w:p>
    <w:p>
      <w:pPr>
        <w:spacing w:after="0" w:line="184" w:lineRule="exact"/>
        <w:rPr>
          <w:sz w:val="20"/>
          <w:szCs w:val="20"/>
          <w:color w:val="auto"/>
        </w:rPr>
      </w:pPr>
    </w:p>
    <w:p>
      <w:pPr>
        <w:jc w:val="both"/>
        <w:ind w:firstLine="450"/>
        <w:spacing w:after="0" w:line="321" w:lineRule="auto"/>
        <w:rPr>
          <w:sz w:val="20"/>
          <w:szCs w:val="20"/>
          <w:color w:val="auto"/>
        </w:rPr>
      </w:pPr>
      <w:r>
        <w:rPr>
          <w:rFonts w:ascii="Times New Roman" w:cs="Times New Roman" w:eastAsia="Times New Roman" w:hAnsi="Times New Roman"/>
          <w:sz w:val="18"/>
          <w:szCs w:val="18"/>
          <w:color w:val="auto"/>
        </w:rPr>
        <w:t>As of April 30, 2026,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168"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6"/>
                <w:szCs w:val="16"/>
                <w:b w:val="1"/>
                <w:bCs w:val="1"/>
                <w:color w:val="auto"/>
              </w:rPr>
              <w:t>Nine Months Ended April 30,</w:t>
            </w:r>
          </w:p>
        </w:tc>
      </w:tr>
      <w:tr>
        <w:trPr>
          <w:trHeight w:val="211"/>
        </w:trPr>
        <w:tc>
          <w:tcPr>
            <w:tcW w:w="766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6"/>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5"/>
        </w:trPr>
        <w:tc>
          <w:tcPr>
            <w:tcW w:w="7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2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40" w:type="dxa"/>
            <w:vAlign w:val="bottom"/>
          </w:tcPr>
          <w:p>
            <w:pPr>
              <w:spacing w:after="0"/>
              <w:rPr>
                <w:sz w:val="18"/>
                <w:szCs w:val="18"/>
                <w:color w:val="auto"/>
              </w:rPr>
            </w:pPr>
          </w:p>
        </w:tc>
      </w:tr>
      <w:tr>
        <w:trPr>
          <w:trHeight w:val="23"/>
        </w:trPr>
        <w:tc>
          <w:tcPr>
            <w:tcW w:w="7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850,369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721,849</w:t>
            </w: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(2,281,779)</w:t>
            </w:r>
          </w:p>
        </w:tc>
        <w:tc>
          <w:tcPr>
            <w:tcW w:w="100" w:type="dxa"/>
            <w:vAlign w:val="bottom"/>
          </w:tcPr>
          <w:p>
            <w:pPr>
              <w:spacing w:after="0"/>
              <w:rPr>
                <w:sz w:val="19"/>
                <w:szCs w:val="19"/>
                <w:color w:val="auto"/>
              </w:rPr>
            </w:pPr>
          </w:p>
        </w:tc>
        <w:tc>
          <w:tcPr>
            <w:tcW w:w="5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(179,440)</w:t>
            </w: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24,499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25,401</w:t>
            </w:r>
          </w:p>
        </w:tc>
      </w:tr>
    </w:tbl>
    <w:p>
      <w:pPr>
        <w:spacing w:after="0" w:line="200" w:lineRule="exact"/>
        <w:rPr>
          <w:sz w:val="20"/>
          <w:szCs w:val="20"/>
          <w:color w:val="auto"/>
        </w:rPr>
      </w:pP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16" w:lineRule="exact"/>
        <w:rPr>
          <w:sz w:val="20"/>
          <w:szCs w:val="20"/>
          <w:color w:val="auto"/>
        </w:rPr>
      </w:pPr>
    </w:p>
    <w:p>
      <w:pPr>
        <w:jc w:val="both"/>
        <w:ind w:firstLine="450"/>
        <w:spacing w:after="0" w:line="304"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April 30, 2026 was $850.4 million, which was driven by a net loss of $59.8 million, adjusted for non-cash charges of $965.0 million and net cash outflows of $54.8 million from changes in operating assets and liabilities. Non-cash charges primarily consisted of $610.3 million for stock-based compensation expense, $149.7 million for amortization of deferred contract acquisition costs, $105.6 million for depreciation and amortization expense, $60.4 million for non-cash operating lease costs, $31.2 million for amortization expense of acquired intangible assets, and $6.1 million in amortization of debt issuance costs. These non-cash charges were partially offset primarily by $4.6 million in accretion of investments purchased at a discount. Net cash outflows from changes in operating assets and liabilities were primarily attributable from an increase of $184.7 million in deferred contract acquisition costs, a decrease of $65.9 million in deferred revenue, a decrease of $44.0 million in operating lease liabilities, an increase of $29.1 million in prepaid expenses, other current and noncurrent assets, a decrease of $20.0 million in accounts payable and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3" w:name="page54"/>
    <w:bookmarkEnd w:id="5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321" w:lineRule="auto"/>
        <w:rPr>
          <w:sz w:val="20"/>
          <w:szCs w:val="20"/>
          <w:color w:val="auto"/>
        </w:rPr>
      </w:pPr>
      <w:r>
        <w:rPr>
          <w:rFonts w:ascii="Times New Roman" w:cs="Times New Roman" w:eastAsia="Times New Roman" w:hAnsi="Times New Roman"/>
          <w:sz w:val="18"/>
          <w:szCs w:val="18"/>
          <w:color w:val="auto"/>
        </w:rPr>
        <w:t>decrease of $9.4 million in accrued compensation. Net outflows were partially offset by cash inflows resulting from decrease in accounts receivable, primarily due to the timing of billings and collections of $280.0 million as well as an $18.2 million increase in accrued expenses and other current and noncurrent liabilities.</w:t>
      </w:r>
    </w:p>
    <w:p>
      <w:pPr>
        <w:spacing w:after="0" w:line="114" w:lineRule="exact"/>
        <w:rPr>
          <w:sz w:val="20"/>
          <w:szCs w:val="20"/>
          <w:color w:val="auto"/>
        </w:rPr>
      </w:pPr>
    </w:p>
    <w:p>
      <w:pPr>
        <w:jc w:val="both"/>
        <w:ind w:firstLine="450"/>
        <w:spacing w:after="0" w:line="323" w:lineRule="auto"/>
        <w:rPr>
          <w:sz w:val="20"/>
          <w:szCs w:val="20"/>
          <w:color w:val="auto"/>
        </w:rPr>
      </w:pPr>
      <w:r>
        <w:rPr>
          <w:rFonts w:ascii="Times New Roman" w:cs="Times New Roman" w:eastAsia="Times New Roman" w:hAnsi="Times New Roman"/>
          <w:sz w:val="18"/>
          <w:szCs w:val="18"/>
          <w:color w:val="auto"/>
        </w:rPr>
        <w:t>Net cash provided by operating activities during the nine months ended April 30, 2025 was $721.8 million, which resulted from a net loss of $23.9 million, adjusted for non-cash charges of $716.4 million and net cash inflows of $29.4 million from changes in operating assets and liabilities. Non-cash charges primarily consisted of $488.7 million for stock-based compensation expense, $121.5 million for amortization of deferred contract acquisition costs, $74.1 million for depreciation and amortization expense, $47.9 million for non-cash operating lease costs and $12.7 million for amortization expense of acquired intangible assets. Non-cash charges were partially offset by deferred income taxes of $17.8 million and an accretion of investments purchased at a discount of $13.9 million. Net cash inflows from changes in operating assets and liabilities were primarily the result of a decrease of $120.5 million in accounts receivable, primarily due to timing of billings and collections, an increase of $90.0 million in deferred revenue, and an increase of $28.9 million in accounts payable. Net cash inflows were partially offset by cash outflows resulting from an increase of $140.0 million in deferred contract acquisition costs, a decrease of $45.2 million in operating lease liabilities, an increase of $12.2 million in prepaid expenses, other current and noncurrent assets, a decrease of $7.0 million in accrued expenses, other current and noncurrent liabilities and $5.7 million decrease in accrued compensation.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16" w:lineRule="exact"/>
        <w:rPr>
          <w:sz w:val="20"/>
          <w:szCs w:val="20"/>
          <w:color w:val="auto"/>
        </w:rPr>
      </w:pPr>
    </w:p>
    <w:p>
      <w:pPr>
        <w:jc w:val="both"/>
        <w:ind w:firstLine="450"/>
        <w:spacing w:after="0" w:line="315"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April 30, 2026, totaled $2,281.8 million. This was primarily driven by purchases of short-term investments of $1,971.7 million, payments for business acquisitions, net of cash acquired, of $770.0 million and capital expenditures of $132.0 million to support the growth and expansion of our cloud platform and expenditures on strategic investments of $4.2 million</w:t>
      </w:r>
      <w:r>
        <w:rPr>
          <w:rFonts w:ascii="Arial" w:cs="Arial" w:eastAsia="Arial" w:hAnsi="Arial"/>
          <w:sz w:val="21"/>
          <w:szCs w:val="21"/>
          <w:color w:val="auto"/>
        </w:rPr>
        <w:t>.</w:t>
      </w:r>
      <w:r>
        <w:rPr>
          <w:rFonts w:ascii="Times New Roman" w:cs="Times New Roman" w:eastAsia="Times New Roman" w:hAnsi="Times New Roman"/>
          <w:sz w:val="18"/>
          <w:szCs w:val="18"/>
          <w:color w:val="auto"/>
        </w:rPr>
        <w:t xml:space="preserve"> These outflows were partially offset by proceeds of $596.2 million from sales and maturities of short-term investments.</w:t>
      </w:r>
    </w:p>
    <w:p>
      <w:pPr>
        <w:spacing w:after="0" w:line="122"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April 30, 2025 of $179.4 million was primarily attributable to purchases of short-term investments of $886.6 million and capital expenditures of $167.1 million to support the growth and expansion of our cloud platform. These activities were partially offset by proceeds from maturities of short-term investments of $875.9 million.</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jc w:val="both"/>
        <w:ind w:firstLine="450"/>
        <w:spacing w:after="0" w:line="344" w:lineRule="auto"/>
        <w:rPr>
          <w:sz w:val="20"/>
          <w:szCs w:val="20"/>
          <w:color w:val="auto"/>
        </w:rPr>
      </w:pPr>
      <w:r>
        <w:rPr>
          <w:rFonts w:ascii="Times New Roman" w:cs="Times New Roman" w:eastAsia="Times New Roman" w:hAnsi="Times New Roman"/>
          <w:sz w:val="18"/>
          <w:szCs w:val="18"/>
          <w:color w:val="auto"/>
        </w:rPr>
        <w:t>Net cash provided by financing activities of $24.5 million during the nine months ended April 30, 2026 was primarily attributable to $21.5 million in proceeds from the issuance of common stock under the ESPP and $4.0 million was attributable to proceeds from the exercise of stock options.</w:t>
      </w:r>
    </w:p>
    <w:p>
      <w:pPr>
        <w:spacing w:after="0" w:line="95"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Net cash provided by financing activities of $25.4 million during the nine months ended April 30, 2025 was primarily attributable to $22.3 million in proceeds from the issuance of common stock under the ESPP and $3.5 million was attributable to proceeds from the exercise of stock options.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56"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During the nine months ended April 30, 2026, there have been no material changes outside the ordinary course of business to our contractual obligations and commitments from those disclosed in Management's Discussion and Analysis of Financial Condition and Results of Operations, set forth in Part II, Item 7, of our Fiscal 2025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4" w:name="page55"/>
    <w:bookmarkEnd w:id="5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ind w:firstLine="450"/>
        <w:spacing w:after="0" w:line="309"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 We refer to accounting estimates of this type as critical accounting policies and estimates, which we discuss below.</w:t>
      </w:r>
    </w:p>
    <w:p>
      <w:pPr>
        <w:spacing w:after="0" w:line="180"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Our significant accounting policies are described in the Fiscal 2025 Form 10-K. There have been no significant changes to these policies that have had a material impact on the condensed consolidated financial statements and related notes for the nine months ended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5" w:name="page56"/>
    <w:bookmarkEnd w:id="5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02"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We have operations in the United States and internationally, and we are exposed to market risk in the ordinary course of our business. Our assessment of our exposures to market risk has not changed materially since the presentation set forth in Part II, Item 7A of our Fiscal 2025 Form 10-K.</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50"/>
        <w:spacing w:after="0" w:line="302" w:lineRule="auto"/>
        <w:rPr>
          <w:sz w:val="20"/>
          <w:szCs w:val="20"/>
          <w:color w:val="auto"/>
        </w:rPr>
      </w:pPr>
      <w:r>
        <w:rPr>
          <w:rFonts w:ascii="Times New Roman" w:cs="Times New Roman" w:eastAsia="Times New Roman" w:hAnsi="Times New Roman"/>
          <w:sz w:val="18"/>
          <w:szCs w:val="18"/>
          <w:color w:val="auto"/>
        </w:rPr>
        <w:t>As of April 30, 2026, we had cash, cash equivalents and short-term investments totaling $3,539.1 million, which were held for working capital purposes. Our cash equivalents and investments consist of highly liquid investments in money market funds, U.S. treasury securities, U.S. government agency securities, non-U.S. government securities, certificates of deposit, corporate debt securities and asset-backed securities. The primary objectives of our investment activities are the preservation of capital, the fulfillment of liquidity needs and the fiduciary control of cash and investments.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our interest income and the fair market value of our investments. As of April 30, 2026, the effect of a hypothetical 100 basis point change in interest rates would have changed the fair value of our investments in available-for-sale securities by $35.1 million. Fluctuations in the fair value of our investments in available for sale securities caused by a change in interest rates (gains or losses on the carrying amount) are recorded in other comprehensive loss and are realized only if we sell the underlying securities prior to maturity.</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Convertible Senior Notes</w:t>
      </w:r>
    </w:p>
    <w:p>
      <w:pPr>
        <w:spacing w:after="0" w:line="229" w:lineRule="exact"/>
        <w:rPr>
          <w:sz w:val="20"/>
          <w:szCs w:val="20"/>
          <w:color w:val="auto"/>
        </w:rPr>
      </w:pPr>
    </w:p>
    <w:p>
      <w:pPr>
        <w:jc w:val="both"/>
        <w:ind w:firstLine="450"/>
        <w:spacing w:after="0" w:line="307" w:lineRule="auto"/>
        <w:rPr>
          <w:sz w:val="20"/>
          <w:szCs w:val="20"/>
          <w:color w:val="auto"/>
        </w:rPr>
      </w:pPr>
      <w:r>
        <w:rPr>
          <w:rFonts w:ascii="Times New Roman" w:cs="Times New Roman" w:eastAsia="Times New Roman" w:hAnsi="Times New Roman"/>
          <w:sz w:val="18"/>
          <w:szCs w:val="18"/>
          <w:color w:val="auto"/>
        </w:rPr>
        <w:t>In July 2025, we issued our 2028 Notes with an aggregate principal amount of $1,725.0 million. In connection with the issuance of the 2028 Notes, we entered into privately negotiated capped call transactions with certain counterparties. The capped calls transactions are expected generally to reduce potential dilution to our common stock as a result of any conversion of the 2028 Notes and/or offset any cash payments we are required to make in excess of the principal amount of converted 2028 Notes, which such reduction and/or offset subject to a cap.</w:t>
      </w:r>
    </w:p>
    <w:p>
      <w:pPr>
        <w:spacing w:after="0" w:line="129"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As the 2028 Notes have a 0.0% interest rate, we do not have economic interest rate exposure on the 2028 Notes. However, the fair value of the 2028 Notes is exposed to interest rate risk. Generally, the fair value of the 2028 Notes will increase as interest rates fall and decrease as interest rates rise. We present the fair value for required disclosure purposes only. In addition, the fair value of the 2028 Notes also fluctuates when the market price of our common stock fluctuates. The fair value was determined based on the quoted bid price of the 2028 Notes in an over-the-counter market on the last trading day of the reporting period. For further information refer to Note 10, Convertible Senior Notes, to the consolidated financial statements included in our Annual Report on Form 10-K.</w:t>
      </w:r>
    </w:p>
    <w:p>
      <w:pPr>
        <w:spacing w:after="0" w:line="19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216"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The vast majority of our sales contracts are denominated in U.S. dollars, with a small number of contracts denominated in foreign currencies. A portion of our operating expenses are incurred outside the United States, denominated in foreign currencies and subject to fluctuations due to changes in foreign currency exchange rates, particularly changes in the British Pound, Indian Rupee, Euro, Israeli Shekel, Canadian Dollar, Australian Dollar and Japanese Yen. Additionally, fluctuations in foreign currency exchange rates may cause us to recognize transaction gains and losses in our consolidated statements of operations. The effect of a hypothetical 10% change in foreign currency exchange rates applicable to our business would not have a material impact on the unaudited condensed consolidated financial statements for the nine months ended April 30, 2026 and 2025.</w:t>
      </w:r>
    </w:p>
    <w:p>
      <w:pPr>
        <w:spacing w:after="0" w:line="131"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We have a foreign currency risk management program, and we enter into foreign currency forward contracts to hedge a portion of our forecasted foreign currency-denominated expenses. These foreign currency derivative contracts have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6" w:name="page57"/>
    <w:bookmarkEnd w:id="5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maturity up to 24 months or less and are designated as cash flow hedges to protect our earnings subjected to foreign currency risk. We also use foreign currency forward contracts to mitigate variability in gains and losses generated from the remeasurement of certain monetary assets and liabilities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7" w:name="page58"/>
    <w:bookmarkEnd w:id="5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16"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Securities Exchange Act of 1934, as amended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31" w:lineRule="exact"/>
        <w:rPr>
          <w:sz w:val="20"/>
          <w:szCs w:val="20"/>
          <w:color w:val="auto"/>
        </w:rPr>
      </w:pPr>
    </w:p>
    <w:p>
      <w:pPr>
        <w:jc w:val="both"/>
        <w:ind w:firstLine="450"/>
        <w:spacing w:after="0" w:line="32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April 30, 2026. Based on such evaluation, our Chief Executive Officer and Chief Financial Officer have concluded that, as of such date, our disclosure controls and procedures were effective at the reasonable assurance level.</w:t>
      </w:r>
    </w:p>
    <w:p>
      <w:pPr>
        <w:spacing w:after="0" w:line="1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16" w:lineRule="exact"/>
        <w:rPr>
          <w:sz w:val="20"/>
          <w:szCs w:val="20"/>
          <w:color w:val="auto"/>
        </w:rPr>
      </w:pPr>
    </w:p>
    <w:p>
      <w:pPr>
        <w:jc w:val="both"/>
        <w:ind w:firstLine="450"/>
        <w:spacing w:after="0" w:line="313"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Rule 15d-15(d) of the Exchange Act that occurred during the three months ended April 30, 2026 that has materially affected, or is reasonably likely to materially affect, our internal control over financial reporting.</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216" w:lineRule="exact"/>
        <w:rPr>
          <w:sz w:val="20"/>
          <w:szCs w:val="20"/>
          <w:color w:val="auto"/>
        </w:rPr>
      </w:pPr>
    </w:p>
    <w:p>
      <w:pPr>
        <w:jc w:val="both"/>
        <w:ind w:firstLine="450"/>
        <w:spacing w:after="0" w:line="302"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8" w:name="page59"/>
    <w:bookmarkEnd w:id="5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The information called for by this Item is incorporated herein by reference to Note 12, Commitments and Contingencies, Legal Matters, included in Part I, Item 1 of this Quarterly Report on Form 10-Q.</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i w:val="1"/>
          <w:iCs w:val="1"/>
          <w:color w:val="auto"/>
        </w:rPr>
        <w:t>A description of the risks and uncertainties associated with our business is set forth below. You should carefully consider the risks and uncertainties described below, as well as the other information in this Quarterly Report on Form 10-Q, including the unaudited condensed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common stock could decline, and you could lose all or part of your investment.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70"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because our business is subject to numerous risks and uncertainties, as more fully described in this section below this summary. The principal factors and uncertainties that make investing in our common stock risky include, among others:</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able to achieve or sustain profitability in the future;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organizations do not adopt our cloud platform, our ability to grow our business and operating results may be adversely affected;</w:t>
      </w:r>
    </w:p>
    <w:p>
      <w:pPr>
        <w:spacing w:after="0" w:line="265" w:lineRule="exact"/>
        <w:rPr>
          <w:rFonts w:ascii="Times New Roman" w:cs="Times New Roman" w:eastAsia="Times New Roman" w:hAnsi="Times New Roman"/>
          <w:sz w:val="18"/>
          <w:szCs w:val="18"/>
          <w:color w:val="auto"/>
        </w:rPr>
      </w:pPr>
    </w:p>
    <w:p>
      <w:pPr>
        <w:ind w:left="660" w:right="20" w:hanging="328"/>
        <w:spacing w:after="0" w:line="34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or our customers do not renew their subscriptions for our services and add additional users and services to their subscriptions, our future results of operations could be harmed;</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intense and increasing competition and could lose market share to our competitors;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experienced rapid revenue and other growth in recent periods, which may not be indicative of our future performance;</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fluctuate significantly, which could make our future results difficult to predict and could cause our operating results to fall below expectations;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delivery of our services to our customers is interrupted or delayed for any reason, our business would suffer;</w:t>
      </w:r>
    </w:p>
    <w:p>
      <w:pPr>
        <w:spacing w:after="0" w:line="265"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actual or perceived failure of our cloud platform to block malware or prevent a security breach or incident could harm our reputation and adversely impact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growth depend in part on the success of our relationships with our channel partners;</w:t>
      </w:r>
    </w:p>
    <w:p>
      <w:pPr>
        <w:spacing w:after="0" w:line="265"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or introduce new enhancements to our cloud platform, including AI enhancements, our ability to attract and retain customers and remain competitive could be impaired;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line="32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cloud platform or internal networks, systems or data are or are perceived to have been breached, our solution may be perceived as insecure, our reputation may be damaged and our financial results may be negatively impacted;</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our key technical, sales and management personnel to grow our business, and the loss of one or more key employees or the inability to attract and retain qualified personnel could harm our business;</w:t>
      </w:r>
    </w:p>
    <w:p>
      <w:pPr>
        <w:spacing w:after="0" w:line="149"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by others that we infringe their proprietary technology or other rights, or other lawsuits asserted against us, could result in significant costs and substantially harm our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effectively manage certain risks and challenges related to our India operations, our business could be harmed;</w:t>
      </w:r>
    </w:p>
    <w:p>
      <w:pPr>
        <w:spacing w:after="0" w:line="265" w:lineRule="exact"/>
        <w:rPr>
          <w:rFonts w:ascii="Times New Roman" w:cs="Times New Roman" w:eastAsia="Times New Roman" w:hAnsi="Times New Roman"/>
          <w:sz w:val="18"/>
          <w:szCs w:val="18"/>
          <w:color w:val="auto"/>
        </w:rPr>
      </w:pPr>
    </w:p>
    <w:p>
      <w:pPr>
        <w:ind w:left="660" w:right="20" w:hanging="328"/>
        <w:spacing w:after="0" w:line="344"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our debt may require a significant amount of cash, and we may not have sufficient cash flow from our business or the ability to raise funds to pay our substantial debt; and</w:t>
      </w:r>
    </w:p>
    <w:p>
      <w:pPr>
        <w:spacing w:after="0" w:line="149"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economic disruptions and changing macroeconomic and geopolitical conditions remains uncertain and may have a material adverse impact on our business.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Growth</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able to achieve or sustain profitability in the future.</w:t>
      </w:r>
    </w:p>
    <w:p>
      <w:pPr>
        <w:spacing w:after="0" w:line="28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have incurred net losses in all annual periods since our inception, and we expect we will continue to incur net losses for the foreseeable future. We experienced net losses of $41.5 million, $57.7 million and $202.3 million for fiscal 2025, fiscal 2024 and fiscal 2023, respectively. As of April 30, 2026, we had an accumulated deficit of $1,249.4 million. Because the market for our cloud platform is rapidly evolving and cloud-based security solutions are still in the process of being widely adopted, it is difficult for us to predict our future results of operations. We expect our operating expenses to increase significantly over the next several years as we continue to hire additional personnel, particularly in research and development and sales and marketing, expand our operations and infrastructure, both domestically and internationally, and continue to develop our platform. If we fail to increase our revenue to offset the increases in our operating expenses, we may not achieve or sustain profitability in the future.</w:t>
      </w:r>
    </w:p>
    <w:p>
      <w:pPr>
        <w:spacing w:after="0" w:line="184"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Additionally, our business strategy continues to focus primarily on long-term growth. As we execute on this strategy, we may ultimately be unable to achieve or sustain profitability at the level contemplated by industry or financial analysts and our stockholders, or at all, and as a result, our stock price may decline.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organizations do not adopt our cloud platform, our ability to grow our business and operating results may be adversely affected.</w:t>
      </w:r>
    </w:p>
    <w:p>
      <w:pPr>
        <w:spacing w:after="0" w:line="27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Cloud security technologies are still evolving, and it remains difficult to predict customer demand and adoption rates for our solutions. We believe that our cloud platform offers superior protection to our customers, who are moving their applications and data to the cloud and embracing AI applications and agents. We also believe that our cloud platform represents a major shift from on-premises appliance-based security solutions. While cloud-based security solutions have seen increased adoption, traditional on-premises security appliances continue to be entrenched in the infrastructure of many of our potential customers, particularly large enterprises, because of their prior investment in and the familiarity of their IT personnel with on-premises appliance-based solutions. As a result, our sales process often involves extensive efforts to educate our customers on the benefits and capabilities of our cloud platform, particularly as we continue to pursue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0" w:name="page61"/>
    <w:bookmarkEnd w:id="6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relationships with large organizations. Even with these efforts, we cannot predict long-term market acceptance of our cloud platform, or the adoption of competing products, services or technologies. If we fail to achieve or maintain broad market acceptance of our cloud platform or are unable to keep pace with industry changes, particularly as a result of AI, our ability to grow our business and our operating results will be materially and adversely affected.</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future results of operations could be harmed.</w:t>
      </w:r>
    </w:p>
    <w:p>
      <w:pPr>
        <w:spacing w:after="0" w:line="270"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To increase our revenue and achieve and maintain profitability, we must add new customers. To add new customers, we must successfully convince IT decision makers that security delivered through our cloud platform provides significant advantages over legacy on-premises appliance-based security products and competing cloud-based products. Additionally, many of our customers broadly deploy our products, which requires a significant commitment of resources from our customers. These factors significantly impact our ability to add new customers and increase the time, resources and sophistication required to do so.</w:t>
      </w:r>
    </w:p>
    <w:p>
      <w:pPr>
        <w:spacing w:after="0" w:line="180"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In addition, numerous other factors, many of which are out of our control, have impacted, and may in the future impact, our ability to add new customers, including:</w:t>
      </w:r>
    </w:p>
    <w:p>
      <w:pPr>
        <w:spacing w:after="0" w:line="162"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customers’ commitments to legacy IT security vendors and products;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or perceived switching costs;</w:t>
      </w:r>
    </w:p>
    <w:p>
      <w:pPr>
        <w:spacing w:after="0" w:line="265"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or potential implementation of tariffs or retaliatory measures due to tariffs on the sales of our products in countries where our customers or potential paying customers are located;</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hybrid or cloud security products;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expand, retain and motivate our sales and marketing personnel;</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develop or expand relationships with our channel partners or to attract new channel partners;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or our partners to help our customers to successfully deploy our cloud platform;</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media or industry or financial analyst commentary regarding us or our solutions, or similar solutions offered by other vendors;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26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As a result of challenging and uncertain macroeconomic conditions and the other challenges described in these risk factors, we have experienced, and may experience in the future, increased scrutiny and a longer approval process for initial purchases by new customers, particularly for larger transactions. We cannot predict how challenging and uncertain macroeconomic conditions or other challenges will impact potential customers' purchasing decisions and whether potential customers may decide to delay purchases, decrease the size of purchases or entirely forego purchasing our services.</w:t>
      </w:r>
    </w:p>
    <w:p>
      <w:pPr>
        <w:spacing w:after="0" w:line="176"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If our efforts to attract new customers are not successful, our revenue and rate of revenue growth may decline, we may not achieve profitability and our future results of operations could be materially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1" w:name="page62"/>
    <w:bookmarkEnd w:id="6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customers do not renew their subscriptions for our services and add additional users and services to their subscriptions, our future results of operations could be harmed.</w:t>
      </w:r>
    </w:p>
    <w:p>
      <w:pPr>
        <w:spacing w:after="0" w:line="186"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In order for us to maintain or improve our results of operations, it is important that our customers renew their subscriptions for our services when existing contract terms expire, and that we expand our commercial relationships with our existing customers. Our customers have no obligation to renew their subscriptions for our services after the expiration of their contractual subscription period, which is typically one to three years, and in the normal course of business, some customers have elected not to renew. In addition, in certain cases, including under the EU Data Act, customers may cancel their subscriptions without cause either at any time or upon advance written notice (commonly ranging from 30 days to 60 days), typically subject to an early termination penalty for unused services. In addition, our customers may renew for fewer users, elect not to renew non-user-based services, renew for shorter contract lengths or switch to a lower-cost product suite. If our customers do not renew their subscriptions, we could incur impairment losses related to our deferred contract acquisition costs. It is difficult to accurately predict long-term customer retention because of our varied customer base and given the length of our subscription contracts. Our customer retention and expansion may decline or fluctuate as a result of a number of factors, including our customers’ satisfaction with our services, our prices and pricing plans, our customers’ spending levels, decreases in the number of services purchased and/or the users to which our customers deploy our solutions, new laws and regulations impacting service contract terms, mergers and acquisitions involving our customers, competition, our customers' increasing use of AI to automate tasks traditionally performed by human workers and deteriorating or uncertain general economic conditions. Any of these factors may result in our customers and potential customers reducing their IT budgets or lowering employee headcounts, which could negatively impact our business.</w:t>
      </w:r>
    </w:p>
    <w:p>
      <w:pPr>
        <w:spacing w:after="0" w:line="20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future success also depends in part on the rate at which our current customers add additional users or services to their subscriptions, which is driven by a number of factors, including customer satisfaction with our services, customer security and networking issues and requirements, general economic conditions and customer reaction to the price per additional user or of additional services. In addition, as our customers increasingly deploy AI agents, our success will increasingly depend on our ability to monetize the increasing prevalence of non-user-based traffic. If our efforts to expand our relationships with our existing customers are not successful, our business may materially suffer.</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experienced rapid revenue and other growth in recent periods, which may not be indicative of our future performance.</w:t>
      </w:r>
    </w:p>
    <w:p>
      <w:pPr>
        <w:spacing w:after="0" w:line="270"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We have experienced rapid growth in revenue, operations and employee headcount in recent periods. In addition, the number of customers, users, services and internet traffic on our cloud platform has increased rapidly in recent years, and we anticipate that the increasing adoption and deployment of AI technologies by our customers may result in significant increases in traffic on and usage of our platform. Our growth may not be sustainable and may not be sufficient to achieve and sustain profitability, as we also expect our costs to increase in future periods as we expand our operations and significantly increase our headcount. In addition, we expect our recent revenue growth rates will decline in the future as the size of our revenue base increases. As a result, we believe that historical comparisons of our revenue may not be meaningful and should not be relied upon as an indication of future performance. Accordingly, you should not rely on our revenue and other growth for any prior quarter or fiscal year as an indication of our future revenue or revenue growth.</w:t>
      </w:r>
    </w:p>
    <w:p>
      <w:pPr>
        <w:spacing w:after="0" w:line="180"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fail to effectively manage our growth, we may be unable to execute our business plan, maintain high levels of service, adequately address competitive challenges or maintain our corporate culture, and our business, financial condition and results of operations would be harmed.</w:t>
      </w:r>
    </w:p>
    <w:p>
      <w:pPr>
        <w:spacing w:after="0" w:line="172"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Our growth has placed, and future growth will continue to place, a significant strain on our management and our administrative, operational and financial infrastructure. Our success will depend in part on our ability to manage this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effectively, which will require that we continue to improve our administrative, operational, financial and management systems and controls by, among other things:</w:t>
      </w:r>
    </w:p>
    <w:p>
      <w:pPr>
        <w:spacing w:after="0" w:line="16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attracting, retaining, training and integrating, including collaborating with, a large number of new employees;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improving our key business applications, processes and IT infrastructure, including through the use of AI, to support our business needs;</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our information and communication systems to ensure that our employees and offices around the world are well coordinated and can effectively communicate with each other and our growing base of channel partners, customers and users;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appropriately documenting and testing our IT systems and business processes.</w:t>
      </w:r>
    </w:p>
    <w:p>
      <w:pPr>
        <w:spacing w:after="0" w:line="26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These and other improvements in our systems and controls will require significant capital expenditures and the allocation of valuable management and employee resources. If we fail to implement these improvements effectively, our ability to manage our expected growth, ensure uninterrupted operation of our cloud platform and key business systems and comply with the rules and regulations applicable to public companies could be impaired, the quality of our platform and services could suffer and we may not be able to adequately address competitive challenges.</w:t>
      </w:r>
    </w:p>
    <w:p>
      <w:pPr>
        <w:spacing w:after="0" w:line="176"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In addition, we believe that our corporate culture has been a contributor to our success, which we believe fosters innovation, teamwork and an emphasis on customer-focused results. We also believe that our culture creates an environment that drives and perpetuates our strategy and cost-effective distribution approach. In the past we have, and in the future we may, restructure or reduce our workforce to align people, roles and projects to our strategic priorities. Any restructuring, reduction or realignment in the workforce has the potential to negatively impact employee morale or make it more difficult to attract and retain talent. As we continue to grow, we may find it difficult to maintain our corporate culture. Preservation of our corporate culture is also made more difficult following the implementation of our hybrid work environment, and many of our employees continue to work from home on a full-time or part-time basis. Any failure to preserve our culture could harm our future success, including our ability to retain and recruit personnel, innovate and operate effectively and execute on our business strategy. If we experience any of these effects in connection with future growth, it could materially impair our ability to attract new customers, support and retain existing customers and expand their use of our platform, all of which would materially and adversely affect our business, financial condition and results of operations.</w:t>
      </w:r>
    </w:p>
    <w:p>
      <w:pPr>
        <w:spacing w:after="0" w:line="182"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could make our future results difficult to predict and could cause our operating results to fall below expectations.</w:t>
      </w:r>
    </w:p>
    <w:p>
      <w:pPr>
        <w:spacing w:after="0" w:line="159" w:lineRule="exact"/>
        <w:rPr>
          <w:sz w:val="20"/>
          <w:szCs w:val="20"/>
          <w:color w:val="auto"/>
        </w:rPr>
      </w:pPr>
    </w:p>
    <w:p>
      <w:pPr>
        <w:jc w:val="both"/>
        <w:ind w:firstLine="324"/>
        <w:spacing w:after="0" w:line="344" w:lineRule="auto"/>
        <w:rPr>
          <w:sz w:val="20"/>
          <w:szCs w:val="20"/>
          <w:color w:val="auto"/>
        </w:rPr>
      </w:pPr>
      <w:r>
        <w:rPr>
          <w:rFonts w:ascii="Times New Roman" w:cs="Times New Roman" w:eastAsia="Times New Roman" w:hAnsi="Times New Roman"/>
          <w:sz w:val="18"/>
          <w:szCs w:val="18"/>
          <w:color w:val="auto"/>
        </w:rPr>
        <w:t>Our operating results may fluctuate from quarter to quarter as a result of a number of factors, many of which are outside of our control and may be difficult to predict. Some of the factors that may cause our results of operations to fluctuate from quarter to quarter include:</w:t>
      </w:r>
    </w:p>
    <w:p>
      <w:pPr>
        <w:spacing w:after="0" w:line="149"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 market acceptance and the level of demand for our cloud platform;</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 particularly large enterprises;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customers and expand their usage of our platform, particularly our largest customers;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expand internationally and penetrate key markets;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sales and marketing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3" w:name="page64"/>
    <w:bookmarkEnd w:id="6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our sales cycle;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availability of renewals;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billings among monthly in advance, quarterly in advance, annually in advance and multi-year in advance;</w:t>
      </w:r>
    </w:p>
    <w:p>
      <w:pPr>
        <w:spacing w:after="0" w:line="279"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changes and the timing and success of new service introductions by us or our competitors or any other change in the competitive landscape of our market;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and timing of operating expenses that we may incur to grow and expand our operations and to remain competitive;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pressure as a result of competition or otherwise;</w:t>
      </w:r>
    </w:p>
    <w:p>
      <w:pPr>
        <w:spacing w:after="0" w:line="265"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buying patterns for IT spending, including the possible slowdown in IT spending due to the current macroeconomic and geopolitical environment;</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level of our execution of our business strategy and operating plan;</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 as a result of actual, perceived or purported technological failure or disruption;</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judgments, settlements or other litigation-related costs;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legislative or regulatory environment;</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and costs related to the acquisition of businesses, talent, technologies or intellectual property rights;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changes in the proportion of our revenue and expenses denominated in foreign currencies;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generally accepted accounting principles; and</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 either domestic or international markets, including as a result of macroeconomic and geopolitical events, developments and conditions.</w:t>
      </w:r>
    </w:p>
    <w:p>
      <w:pPr>
        <w:spacing w:after="0" w:line="162"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Any one or more of the factors above may result in significant fluctuations in our results of operations. We also intend to continue to invest significantly to grow our business in the near future rather than optimizing for profitability or cash flows. In addition, we generally experience seasonality in terms of when we enter into agreements with customers. We typically enter into a higher percentage of agreements with new customers, as well as renewal agreements with existing customers, in the second half of our fiscal year. This seasonality is reflected to a much lesser extent, and sometimes is not immediately apparent, in revenue, due to the fact that we recognize subscription revenue ratably over the term of the subscription, which is generally one to three years. We expect that seasonality will continue to affect our operating results in the future and may reduce our ability to predict cash flow and optimize the timing of our operating expenses.</w:t>
      </w:r>
    </w:p>
    <w:p>
      <w:pPr>
        <w:spacing w:after="0" w:line="185"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 variability and unpredictability of our quarterly results of operations or other operating metrics could result in our failure to meet our expectations or those of industry or financial analysts. If we fail to meet or exceed such expectations for these or any other reasons, the market price of our common stock could fall substantially, and we could face costly lawsuits, including securities class action suits.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growth depend in part on the success of our relationships with our channel partners.</w:t>
      </w:r>
    </w:p>
    <w:p>
      <w:pPr>
        <w:spacing w:after="0" w:line="27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currently derive most of our revenue from sales through our channel partner network, and we expect for the foreseeable future most of our future revenue growth will also be driven through this network. Not only does our joint sales approach require additional investment to grow and train our sales force, but we believe that continued growth in our business is dependent upon identifying, developing and maintaining strategic relationships with our existing and potential channel partners, including global systems integrators and regional telecommunications service providers that will in turn drive substantial revenue and provide additional value-added services to our customers. Our agreements with our channel partners are generally non-exclusive, meaning our channel partners may offer customers the products of several different companies, including products that compete with our cloud platform. Our channel partners may also cease marketing or reselling our platform with limited or no notice and without penalty. If our channel partners do not effectively market and sell subscriptions to our cloud platform, choose to promote our competitors’ products or fail to meet the needs of our customers, our ability to grow our business and sell subscriptions to our cloud platform may be adversely affected. For example, sales through our top five channel partners and their affiliates, in aggregate, represented 28% of our revenue for fiscal 2025, 25% of our revenue for fiscal 2024 and 26% of our revenue for fiscal 2023, and 30% and 27% of our revenue for the nine months ended April 30, 2026 and 2025, respectively. In addition, our channel partner structure could subject us to lawsuits or reputational harm if, for example, a channel partner misrepresents the functionality of our cloud platform to customers or violates applicable laws or our corporate policies. Moreover, our channel partners' operations may be negatively impacted by events including pandemics, international conflicts, trade regulations including tariffs, inflation and other events affecting the global economy in general. For example, these events could increase credit risk of end customers and create uncertainty in credit markets. Our ability to achieve revenue growth in the future will depend in large part on our success in maintaining successful relationships with our channel partners, identifying additional channel partners and training our channel partners to independently sell and deploy our platform. If we are unable to maintain our relationships with our existing channel partners or develop successful relationships with new channel partners or if our channel partners fail to perform, our business, financial position and results of operations could be materially and adversely affected.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Products and Services</w:t>
      </w:r>
    </w:p>
    <w:p>
      <w:pPr>
        <w:spacing w:after="0" w:line="262"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face intense and increasing competition and could lose market share to our competitors, which could adversely affect our business, financial condition and results of operations.</w:t>
      </w:r>
    </w:p>
    <w:p>
      <w:pPr>
        <w:spacing w:after="0" w:line="15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market for network security solutions is intensely competitive and characterized by rapid changes in technology, customer requirements, industry standards and frequent introductions of new products and services and improvements of existing products and services. We compete with many established network and security vendors who are aggressively competing against us with their legacy appliance-based solutions and have also introduced cloud-based services that purport to have functionality similar to our cloud platform. We are also experiencing increased competition as other established and emerging companies enter the cloud-based security solutions market and introduce new products, services and technologies to address evolving customer requirements. If we are unable to anticipate or effectively react to these competitive challenges, our competitive position could weaken, and we could experience a decline in revenue or our growth rate that could materially and adversely affect our business and results of operations.</w:t>
      </w:r>
    </w:p>
    <w:p>
      <w:pPr>
        <w:spacing w:after="0" w:line="19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competitors and potential competitors include:</w:t>
      </w:r>
    </w:p>
    <w:p>
      <w:pPr>
        <w:spacing w:after="0" w:line="266"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IT security vendors, which offer a broad mix of network and endpoint security products;</w:t>
      </w:r>
    </w:p>
    <w:p>
      <w:pPr>
        <w:spacing w:after="0" w:line="265"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 networking and other vendors, which offer security appliances and/or incorporate security capabilities in their networking products and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5" w:name="page66"/>
    <w:bookmarkEnd w:id="6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line="329"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point solutions that compete with some of the features of our cloud platform, such as proxy, firewall, CASB, sandboxing and advanced threat protection, AI security, data loss prevention, encryption, load balancing and VPN; and</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providers of IT security services that offer, or may leverage related technologies, including AI, to introduce, products that compete with or are alternatives to our cloud platform.</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Many of our existing competitors have, and some of our potential competitors could have, substantial competitive advantages such as:</w:t>
      </w:r>
    </w:p>
    <w:p>
      <w:pPr>
        <w:spacing w:after="0" w:line="26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longer operating histories and larger customer bases;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resources;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broader distribution and established relationships with channel partners and customers;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 and enter into strategic partnerships;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and research and development costs;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rights portfolios;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266"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Our competitors may be successful in convincing IT decision makers that legacy appliance-based security products or hybrid security cloud solutions based on outdated technology are sufficient to meet their security needs and provide security performance that competes with our cloud platform. In addition, our competitors have and may develop cloud-based solutions with architectures similar to our products. Further, many organizations have invested substantial personnel and financial resources to design and operate their appliance-based networks and have established deep relationships with appliance vendors. As a result, these organizations may prefer to purchase from their existing suppliers rather than add or switch to a new supplier.</w:t>
      </w:r>
    </w:p>
    <w:p>
      <w:pPr>
        <w:spacing w:after="0" w:line="180"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Our larger competitors have substantially broader and more diverse product and services offerings, which may allow them to leverage their relationships based on other products or incorporate functionality into existing products to gain business in a manner that discourages users from purchasing our services, including through selling at zero or negative margins, offering free services and other concessions, bundling products or maintaining closed technology platforms. Many competitors that specialize in providing protection from a single type of security threat may be able to deliver these targeted security products to the market more quickly than we can or to convince organizations that these limited products meet their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6" w:name="page67"/>
    <w:bookmarkEnd w:id="6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Conditions in our market change rapidly and significantly as a result of technological advancements (particularly as a result of AI), partnering or acquisitions by our competitors or continuing market consolidation. Start-up companies that innovate and large competitors that are making significant investments in research and development may introduce similar or superior products, services and technologies that compete with our cloud platform. Large companies with substantial communications infrastructure, such as global telecommunications services providers or public cloud providers, have entered or could choose to enter the security solutions market. Some of our current or potential competitors have made or could make acquisitions of businesses or establish cooperative relationships that may allow them to offer more directly competitive and comprehensive solutions than were previously offered and adapt more quickly to new technologies and customer needs. In addition, AI technologies may lower barriers to entry for new competitors, including large AI providers, and enable faster development of alternative solutions. These competitive pressures in our market or our failure to compete effectively may result in price reductions, fewer orders, reduced revenue and gross margins, increased net losses and loss of market share. Any failure to meet and address these factors could materially harm our business and operating results.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the delivery of our services to our customers is interrupted or delayed for any reason, our business would suffer.</w:t>
      </w:r>
    </w:p>
    <w:p>
      <w:pPr>
        <w:spacing w:after="0" w:line="270"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Any interruption or delay in the delivery of our services will negatively impact our customers. Our solutions enable secure connections to cloud-based applications and other destinations via the internet, by directing our customers’ internet traffic through our cloud platform. Our customers depend on the continuous availability of our cloud platform to access the internet, and our services are designed to operate without interruption in accordance with our service level commitments. However, our platform is complex and may contain defects or errors that are not detected until after deployment. If we fail to timely detect defects or errors before deployment, or if our entire platform were to fail, customers and users could lose access to critical services and applications until the disruption is resolved or customers deploy our disaster recovery solution that allows them to bypass our cloud platform to access the internet. The adverse effects of any service interruptions on our reputation and financial condition may be disproportionately heightened due to the nature of our business and the fact that our customers expect continuous and uninterrupted internet access and have a low tolerance for interruptions of any duration. While we do not consider them to have been material, we have experienced, and may in the future experience, service disruptions and other performance problems due to a variety of factors.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factors, many of which are beyond our control, can affect the delivery and availability of our services and the performance of our cloud:</w:t>
      </w:r>
    </w:p>
    <w:p>
      <w:pPr>
        <w:spacing w:after="0" w:line="26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maintenance of the infrastructure of the internet;</w:t>
      </w:r>
    </w:p>
    <w:p>
      <w:pPr>
        <w:spacing w:after="0" w:line="265"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availability of third-party telecommunications services with the necessary speed, data capacity and security for providing reliable internet access and services;</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decisions by the owners and operators of the data centers where our cloud infrastructure is deployed or by global telecommunications service provider partners who provide us with network bandwidth to terminate our contracts, discontinue services to us, shut down operations or facilities, increase prices, change service levels, limit bandwidth, declare bankruptcy or prioritize the traffic of other parties;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earthquakes, floods, fires, pandemics, power loss, system failures, physical or electronic break-ins, acts of war, international conflicts (such as the current conflicts between Russia and Ukraine and in the Middle East, including recent conflicts related to Iran) or terrorism, human error or interference (including by disgruntled or negligent, current or former employees or contractors) and other catastrophic events;</w:t>
      </w:r>
    </w:p>
    <w:p>
      <w:pPr>
        <w:spacing w:after="0" w:line="168"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cyberattacks, including denial of service attacks, targeted at us, our data centers, our global telecommunications service provider partners or the infrastructure of the internet;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7" w:name="page68"/>
    <w:bookmarkEnd w:id="6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action to limit access to the internet or internet infrastructure;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maintain and update our cloud infrastructure to meet our traffic capacity requirements;</w:t>
      </w:r>
    </w:p>
    <w:p>
      <w:pPr>
        <w:spacing w:after="0" w:line="265"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errors, defects or performance problems in our software, including those potentially introduced by our software updates and third-party software incorporated in our software, which we use to operate our cloud platform;</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classification of websites by our vendors who provide us with lists of malicious websites;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improper deployment or configuration of our services by our customers;</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redundancy systems, in the event of a service disruption at one of our data centers, to provide failover to other data centers in our data center network;</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disaster recovery and business continuity arrangements; and</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implementation of export controls or tariffs, or retaliatory measures in response to such actions, on the sales of our products in countries where our customers or potential customers are located.</w:t>
      </w:r>
    </w:p>
    <w:p>
      <w:pPr>
        <w:spacing w:after="0" w:line="162"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The occurrence of any of these factors, or if we are unable to efficiently and cost-effectively fix such errors or other problems that may be identified, could damage our reputation, negatively impact our relationship with our customers or otherwise materially harm our business, results of operations and financial condition. In addition, powerful new AI models have accelerated our ability to discover vulnerabilities in our software and third-party components we incorporate into our software. As a result, we are identifying more vulnerabilities, and any failure to timely remediate any significant vulnerability may result in issues that could disrupt the continuity or security of our services.</w:t>
      </w:r>
    </w:p>
    <w:p>
      <w:pPr>
        <w:spacing w:after="0" w:line="180"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We provide our services through a cloud-based inline proxy, and some governments, third-party products, websites or services may block proxy-based traffic under certain circumstances. For example, vendors may attempt to block traffic from our cloud platform or blacklist our IP addresses because they cannot identify the source of the proxy-based traffic. Our competitors may use this as an excuse to block traffic from their solutions or blacklist our IP addresses, which may result in our customers’ traffic being blocked from our platform. If our customers experience significant instances of traffic blockages, they will experience reduced functionality or other inefficiencies, which would reduce customer satisfaction with our services and likelihood of renewal.</w:t>
      </w:r>
    </w:p>
    <w:p>
      <w:pPr>
        <w:spacing w:after="0" w:line="181"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or introduce new enhancements to our cloud platform, including AI enhancements, on a timely basis, our ability to attract and retain customers, remain competitive and grow our business could be impaired.</w:t>
      </w:r>
    </w:p>
    <w:p>
      <w:pPr>
        <w:spacing w:after="0" w:line="172"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The industry in which we compete is characterized by rapid technological change, frequent introductions of new products and services, evolving industry standards and changing regulations, as well as changing customer needs, requirements and preferences. Our ability to attract new customers and increase revenue from existing customers will depend in significant part on our ability to anticipate and respond effectively to these changes on a timely basis and continue to introduce enhancements to our cloud platform. For example, advancements in technology, such as AI and ML, are changing the way our industry identifies and responds to cyber threats, and businesses that are slow to adopt or fail to adopt these new technologies may face a competitive disadvantage. The success of our cloud platform depends on our continued investment in our research and development organization to increase the reliability, availability and scalability of our existing solutions. The success of any enhancement depends on several factors, and any new service that we develop or acquire might not be introduced in a timely or cost-effective manner and might not achieve the broad market acceptance necessary to generate significant revenue. If new technologies, including AI-enabled technologies, emerge that deliver competitive products and services at lower prices, more efficiently, more conveniently or more securely, these technologies could adversely impact our</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68" w:name="page69"/>
    <w:bookmarkEnd w:id="6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ability to compete effectively. Any delay or failure in the introduction of enhancements could materially harm our business, results of operations and financial condition.</w:t>
      </w:r>
    </w:p>
    <w:p>
      <w:pPr>
        <w:spacing w:after="0" w:line="162"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In addition, the application of AI-enabled vulnerability tools to our infrastructure and software is surfacing a substantially greater volume of issues requiring remediation than in the past. While timely remediation strengthens the security of our cloud platform, the engineering capacity required for patching, regression testing and re-validation may reduce the resources available for new feature development and the introduction of new solutions, which could adversely affect our ability to timely develop and release new product features and enhancements.</w:t>
      </w:r>
    </w:p>
    <w:p>
      <w:pPr>
        <w:spacing w:after="0" w:line="199" w:lineRule="exact"/>
        <w:rPr>
          <w:sz w:val="20"/>
          <w:szCs w:val="20"/>
          <w:color w:val="auto"/>
        </w:rPr>
      </w:pPr>
    </w:p>
    <w:p>
      <w:pPr>
        <w:jc w:val="both"/>
        <w:ind w:firstLine="324"/>
        <w:spacing w:after="0" w:line="323" w:lineRule="auto"/>
        <w:rPr>
          <w:sz w:val="20"/>
          <w:szCs w:val="20"/>
          <w:color w:val="auto"/>
        </w:rPr>
      </w:pPr>
      <w:r>
        <w:rPr>
          <w:rFonts w:ascii="Times New Roman" w:cs="Times New Roman" w:eastAsia="Times New Roman" w:hAnsi="Times New Roman"/>
          <w:sz w:val="18"/>
          <w:szCs w:val="18"/>
          <w:b w:val="1"/>
          <w:bCs w:val="1"/>
          <w:i w:val="1"/>
          <w:iCs w:val="1"/>
          <w:color w:val="auto"/>
        </w:rPr>
        <w:t>If our global network of exchanges, which deliver our services, was damaged or otherwise failed to meet the requirements of our business, our ability to provide services to our customers and maintain the performance of our cloud platform could be negatively impacted, which could cause our business to suffer.</w:t>
      </w:r>
    </w:p>
    <w:p>
      <w:pPr>
        <w:spacing w:after="0" w:line="167"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currently host our cloud platform and serve our customers from a global network of over 160 public exchanges globally and thousands of private exchanges at the edge. While we have electronic access to the components and infrastructure of our cloud platform that are hosted by third parties, we do not control the operation of these facilities. Consequently, we may be subject to service disruptions as well as a lack of adequate support for our data center operations due to reasons that are outside of our control. Our exchanges are hosted in third-party data centers which are vulnerable to damage and connections to our exchanges may be interrupted by a variety of sources, including earthquakes, floods, fires, power loss, system or infrastructure failures, computer viruses, physical or electronic break-ins, human error or interference (including by disgruntled or negligent, current or former employees or contractors) and other catastrophic events. Our exchanges may also be subject to national or local administrative actions, changes in government regulations, including, for example, the impact of global economic and other sanctions like those levied in response to the current conflict between Russia and Ukraine, changes to legal or permitting requirements and litigation to stop, limit or delay operations. Despite precautions taken at these facilities, a decision to close the facilities without adequate notice or other unanticipated problems at these facilities could result in interruptions or delays in our services, impede our ability to scale our operations or have other adverse impacts upon our business. In addition, if we do not accurately plan for our infrastructure capacity requirements or experience significant strains on our data center resources, or if data center capacity is unavailable or unavailable at acceptable terms, we may experience delays and additional expenses in arranging new exchanges, and our customers could experience performance degradation or service outages that may subject us to financial liabilities, result in customer losses and materially harm our business.</w:t>
      </w:r>
    </w:p>
    <w:p>
      <w:pPr>
        <w:spacing w:after="0" w:line="184" w:lineRule="exact"/>
        <w:rPr>
          <w:sz w:val="20"/>
          <w:szCs w:val="20"/>
          <w:color w:val="auto"/>
        </w:rPr>
      </w:pPr>
    </w:p>
    <w:p>
      <w:pPr>
        <w:jc w:val="both"/>
        <w:ind w:right="20" w:firstLine="324"/>
        <w:spacing w:after="0" w:line="349" w:lineRule="auto"/>
        <w:rPr>
          <w:sz w:val="20"/>
          <w:szCs w:val="20"/>
          <w:color w:val="auto"/>
        </w:rPr>
      </w:pPr>
      <w:r>
        <w:rPr>
          <w:rFonts w:ascii="Times New Roman" w:cs="Times New Roman" w:eastAsia="Times New Roman" w:hAnsi="Times New Roman"/>
          <w:sz w:val="18"/>
          <w:szCs w:val="18"/>
          <w:b w:val="1"/>
          <w:bCs w:val="1"/>
          <w:i w:val="1"/>
          <w:iCs w:val="1"/>
          <w:color w:val="auto"/>
        </w:rPr>
        <w:t>If our cloud platform or internal networks, systems or data are or are perceived to have been breached, our solution may be perceived as insecure, our reputation may be damaged and our financial results may be negatively impacted.</w:t>
      </w:r>
    </w:p>
    <w:p>
      <w:pPr>
        <w:spacing w:after="0" w:line="145"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It is virtually impossible for us to entirely mitigate the risk of breaches of our cloud platform or other security incidents affecting our cloud platform or our internal systems, networks or data. In addition, the functionality of our platform may be disrupted, either intentionally or due to negligence, including by disgruntled or negligent current or former employees or contractors. The security measures we use internally and have integrated into our cloud platform, which are designed to detect unauthorized activity and prevent or minimize security breaches, may not function as expected or may not be sufficient to identify or protect against certain attacks. Enterprises are subject to a wide variety of attacks on their networks and systems, and techniques used to sabotage or to obtain unauthorized access to networks in which data is stored or through which data is transmitted change frequently and generally are not recognized until launched against a target. The growth in state sponsored cyber activity, including those actions taken in connection with recent global conflicts and geopolitical tensions, showcase the increasing sophistication of cyber threats. As a result, we may be unable to anticipate these techniques or implement adequate measures to prevent an electronic intrusion into our customers through our cloud platform or to prevent breaches and other security incidents affecting our cloud platform, internal networks, systems or data. Further, once identified, we may be unable to remediate or otherwise respond to a breach or other incident in a timely manner.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perceived or purported security breaches of our cloud platform could result in actual, perceived or purported breaches of our customers’ networks and systems.</w:t>
      </w:r>
    </w:p>
    <w:p>
      <w:pPr>
        <w:spacing w:after="0" w:line="162"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Our internal systems are exposed to the same cybersecurity risks and consequences of a breach as our customers and other enterprises. However, since our business is focused on providing reliable security services to our customers, we believe that an actual, perceived or purported breach of, or security incident affecting, our internal networks, systems or data, could be especially detrimental to our reputation, customer confidence in our solution and our business. Additionally, many of our personnel work remotely on a hybrid or permanent basis, which may pose additional data security risks.</w:t>
      </w:r>
    </w:p>
    <w:p>
      <w:pPr>
        <w:spacing w:after="0" w:line="176"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Further, our vendors and service providers have been, and may in the future be, the targets of cyberattacks, and their systems and networks have been, and may in the future be, breached or may contain exploitable defects or bugs that could result in a breach of or disruption to their or our systems and networks. Our ability to monitor our vendors’ and service providers’ data security is limited, and, in any event, third parties may be able to circumvent their security measures, resulting in the unauthorized access to, misuse, disclosure, loss, alteration, or destruction of our data, including confidential, sensitive, and other information about individuals. Geo-political factors including international conflicts, such as between Russia and Ukraine and in the Middle East, including recent conflicts related to Iran, may increase the risk of such cyberattacks.</w:t>
      </w:r>
    </w:p>
    <w:p>
      <w:pPr>
        <w:spacing w:after="0" w:line="185" w:lineRule="exact"/>
        <w:rPr>
          <w:sz w:val="20"/>
          <w:szCs w:val="20"/>
          <w:color w:val="auto"/>
        </w:rPr>
      </w:pPr>
    </w:p>
    <w:p>
      <w:pPr>
        <w:jc w:val="both"/>
        <w:ind w:firstLine="324"/>
        <w:spacing w:after="0" w:line="321" w:lineRule="auto"/>
        <w:rPr>
          <w:sz w:val="20"/>
          <w:szCs w:val="20"/>
          <w:color w:val="auto"/>
        </w:rPr>
      </w:pPr>
      <w:r>
        <w:rPr>
          <w:rFonts w:ascii="Times New Roman" w:cs="Times New Roman" w:eastAsia="Times New Roman" w:hAnsi="Times New Roman"/>
          <w:sz w:val="18"/>
          <w:szCs w:val="18"/>
          <w:color w:val="auto"/>
        </w:rPr>
        <w:t>Any actual, perceived or purported security breaches or other security incidents that we suffer with regard to our platform, systems, networks or data, including any such actual, perceived or purported security breaches or security incidents that result, or are believed to result, in actual, perceived or purported breaches of our customers’ networks or systems, could result in:</w:t>
      </w:r>
    </w:p>
    <w:p>
      <w:pPr>
        <w:spacing w:after="0" w:line="168" w:lineRule="exact"/>
        <w:rPr>
          <w:sz w:val="20"/>
          <w:szCs w:val="20"/>
          <w:color w:val="auto"/>
        </w:rPr>
      </w:pPr>
    </w:p>
    <w:p>
      <w:pPr>
        <w:jc w:val="both"/>
        <w:ind w:left="660" w:hanging="328"/>
        <w:spacing w:after="0" w:line="313"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resources in efforts to analyze, correct, eliminate, remediate or work around errors or defects, to address and eliminate vulnerabilities and to address any applicable legal or contractual obligations relating to any actual, perceived or purported security breach or other security incident;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damage to our reputation, brand, and market position;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harm to our relationships with, and a loss of, existing or potential customers or channel partners;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sales and harm to our financial condition and results of operations;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attaining, or the failure to attain, market acceptance; and</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and demands (including for stolen assets or information, repair of system damages and compensation to customers, customers of customers and business partners), litigation (including stockholder claims), regulatory inquiries or investigations and other liability.</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above could materially and adversely affect our business, financial condition and results of operations.</w:t>
      </w:r>
    </w:p>
    <w:p>
      <w:pPr>
        <w:spacing w:after="0" w:line="266"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While we maintain insurance, our insurance may be insufficient to cover all liabilities incurred in relation to actual, perceived or purported security breaches or other security incidents. We also cannot be certain that our insurance coverage will be adequate for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0" w:name="page71"/>
    <w:bookmarkEnd w:id="7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our cloud platform does not interoperate with our customers’ network and security infrastructure or with third-party products, websites or services, our cloud platform may become less competitive and our results of operations may be harmed.</w:t>
      </w:r>
    </w:p>
    <w:p>
      <w:pPr>
        <w:spacing w:after="0" w:line="159"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Our cloud platform must interoperate with our customers’ existing network and security infrastructure. These complex systems are developed, delivered and maintained by the customer and a myriad of vendors and service providers. As a result, the components of our customers’ infrastructure have different specifications, rapidly evolve, utilize multiple protocol standards, include multiple versions and generations of products and may be highly customized. We must be able to interoperate and provide our security services to customers with highly complex and customized networks, which requires careful planning and execution between our customers, our customer support teams and our channel partners. Further, when new or updated elements of our customers’ infrastructure or new industry standards or protocols are introduced, we may have to update or enhance our cloud platform to allow us to continue to provide services to customers. Our competitors or other vendors may refuse to work with us to allow their products to interoperate with our solutions, which could make it difficult for our cloud platform to function properly in customer networks that include these third-party products.</w:t>
      </w:r>
    </w:p>
    <w:p>
      <w:pPr>
        <w:spacing w:after="0" w:line="184"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We may not deliver or maintain interoperability quickly or cost-effectively, or at all. These efforts require capital investment and engineering resources. If we fail to maintain compatibility of our cloud platform with our customers’ network and security infrastructures, our customers may not be able to fully utilize our solutions, and we may, among other consequences, lose or fail to increase our market share and experience reduced demand for our services, which would materially harm our business, operating results and financial condition.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Our Sales and Operations</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not able to maintain and enhance our brand, our business and results of operations may be adversely affected.</w:t>
      </w:r>
    </w:p>
    <w:p>
      <w:pPr>
        <w:spacing w:after="0" w:line="27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believe that maintaining and enhancing our reputation as a provider of high-quality security solutions is critical to our relationship with our existing customers and channel partners and our ability to attract new customers and channel partners. The successful promotion of our brand will depend on a number of factors, including our marketing efforts, our ability to continue to develop high-quality features and solutions for our cloud platform, uninterrupted delivery of our cloud services and our ability to successfully differentiate our platform from competitive products and services. Our brand promotion activities may not be successful or yield increased revenue. In addition, independent industry or financial analysts often provide reviews of our platform, as well as products and services of our competitors, and perception of our platform in the marketplace may be significantly influenced by these reviews. If these reviews are negative, or less positive as compared to those of our competitors’ products and services, our brand may be adversely affected. Additionally, the performance of our channel partners may affect our brand and reputation if customers do not have a positive experience with our channel partners’ services. The promotion of our brand requires us to make substantial expenditures, and we anticipate that the expenditures will increase as our market becomes more competitive, we expand into new markets and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and adversely affect our business, results of operations and financial condition.</w:t>
      </w:r>
    </w:p>
    <w:p>
      <w:pPr>
        <w:spacing w:after="0" w:line="188" w:lineRule="exact"/>
        <w:rPr>
          <w:sz w:val="20"/>
          <w:szCs w:val="20"/>
          <w:color w:val="auto"/>
        </w:rPr>
      </w:pPr>
    </w:p>
    <w:p>
      <w:pPr>
        <w:jc w:val="both"/>
        <w:ind w:firstLine="324"/>
        <w:spacing w:after="0" w:line="349" w:lineRule="auto"/>
        <w:rPr>
          <w:sz w:val="20"/>
          <w:szCs w:val="20"/>
          <w:color w:val="auto"/>
        </w:rPr>
      </w:pPr>
      <w:r>
        <w:rPr>
          <w:rFonts w:ascii="Times New Roman" w:cs="Times New Roman" w:eastAsia="Times New Roman" w:hAnsi="Times New Roman"/>
          <w:sz w:val="18"/>
          <w:szCs w:val="18"/>
          <w:b w:val="1"/>
          <w:bCs w:val="1"/>
          <w:i w:val="1"/>
          <w:iCs w:val="1"/>
          <w:color w:val="auto"/>
        </w:rPr>
        <w:t>If we do not effectively develop and expand our sales and marketing capabilities, we may be unable to add new customers or increase sales to our existing customers, and our business will be adversely affected.</w:t>
      </w:r>
    </w:p>
    <w:p>
      <w:pPr>
        <w:spacing w:after="0" w:line="145"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To increase the number of customers and increase the market acceptance of our platform, we will need to expand our sales and marketing operations, including our domestic and international sales force. Although we have a channel sales model, our sales representatives typically engage in direct interaction with our prospective customers. Therefore, we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1" w:name="page72"/>
    <w:bookmarkEnd w:id="7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to be substantially dependent on our sales force to obtain new customers. Increasing our customer base and achieving broader market acceptance of our cloud platform will depend, to a significant extent, on our ability to expand and further invest in our sales and marketing operations and activities. There is significant competition for sales personnel with the advanced sales skills and technical knowledge we need. We believe that selling a cloud-based security solution requires particularly talented sales personnel with the ability to communicate the transformative potential of our cloud platform. Our ability to achieve significant growth in revenue in the future will depend, in large part, on our success in recruiting, training and retaining enough talented sales personnel in both the U.S. and international markets.</w:t>
      </w:r>
    </w:p>
    <w:p>
      <w:pPr>
        <w:spacing w:after="0" w:line="185"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New hires require significant training and may take significant time before they achieve full productivity. As a result, our new hires and planned hires may not become as productive as we would like, and we may be unable to hire or retain enough qualified individuals in the future. As a result of our rapid growth, a large percentage of our sales and marketing team is new to our company and selling our solutions, and therefore this team may be less effective than our more seasoned employees.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The effectiveness of our sales and marketing has also varied over time and, together with the effectiveness of any partners or resellers we may engage, may vary in the future. Our business and operating results may be harmed if our efforts do not generate a correspondingly significant increase in revenue. We may not achieve anticipated revenue growth from expanding our sales force if we are unable to hire, develop and retain talented sales personnel, if our new sales personnel are unable to achieve desired productivity levels in a reasonable period of time, or if our sales and marketing programs are not effective.</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sales cycles can be long and unpredictable, and our sales efforts require considerable time and expense.</w:t>
      </w:r>
    </w:p>
    <w:p>
      <w:pPr>
        <w:spacing w:after="0" w:line="270"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The timing of our sales and related revenue recognition is difficult to predict because of the length and unpredictability of the sales cycle for our cloud platform, particularly with respect to large organizations. Our sales efforts typically involve educating our prospective customers about the uses, benefits and the value proposition of our cloud platform. Customers often view the subscription to our cloud platform as a significant decision as part of a strategic transformation initiative and, as a result, frequently require considerable time to evaluate, test and qualify our platform prior to entering into or expanding a relationship with us. Large enterprises and government entities in particular often undertake a significant evaluation process that further lengthens the sales cycle. In addition, the impact of macroeconomic or geopolitical conditions could materially and adversely affect our business, operating results and financial condition by reducing sales, lengthening sales cycles and lowering prices for our services. We have experienced and may experience in the future increased scrutiny and a longer approval process for initial purchases by new customers, as a result of challenging macroeconomic conditions.</w:t>
      </w:r>
    </w:p>
    <w:p>
      <w:pPr>
        <w:spacing w:after="0" w:line="184"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sales force develops relationships directly with our customers, and together with our channel account teams, works with our channel partners on account penetration, account coordination, sales and overall market development. We spend substantial time and resources on our sales efforts without any assurance that our efforts will produce a sale. Platform purchases are frequently subject to budget constraints, multiple approvals and unanticipated administrative, processing and other delays. As a result, it is difficult to predict whether and when a sale will be completed and when revenue from a sale will be recognized.</w:t>
      </w:r>
    </w:p>
    <w:p>
      <w:pPr>
        <w:spacing w:after="0" w:line="197"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Sales to larger customers involve risks that may not be present, or that are present to a lesser extent, with sales to smaller customers, which can act as a disincentive to our sales team to pursue these larger customers. These risks include:</w:t>
      </w:r>
    </w:p>
    <w:p>
      <w:pPr>
        <w:spacing w:after="0" w:line="162" w:lineRule="exact"/>
        <w:rPr>
          <w:sz w:val="20"/>
          <w:szCs w:val="20"/>
          <w:color w:val="auto"/>
        </w:rPr>
      </w:pPr>
    </w:p>
    <w:p>
      <w:pPr>
        <w:ind w:left="660" w:hanging="328"/>
        <w:spacing w:after="0" w:line="329"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companies that traditionally target larger enterprises and that may have pre-existing relationships or purchase commitments from such customers;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purchasing power and leverage held by larger customers in negotiating contractual arrangements with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2" w:name="page73"/>
    <w:bookmarkEnd w:id="7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requirements in our support obligations; and</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sales cycles and the associated risk that substantial time and resources may be spent on a potential customer that elects not to purchase our solutions.</w:t>
      </w:r>
    </w:p>
    <w:p>
      <w:pPr>
        <w:spacing w:after="0" w:line="175"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The failure of our efforts to secure sales after investing resources in a lengthy sales process could materially and adversely affect our business and operating results.</w:t>
      </w:r>
    </w:p>
    <w:p>
      <w:pPr>
        <w:spacing w:after="0" w:line="158"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Because we recognize revenue from subscriptions for our services over the term of the subscription, downturns or upturns in new business may not be immediately reflected in our operating results and may be difficult to discern.</w:t>
      </w:r>
    </w:p>
    <w:p>
      <w:pPr>
        <w:spacing w:after="0" w:line="159"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We generally recognize revenue from customers ratably over the terms of their subscriptions, which are typically one to three years. As a result, a substantial portion of the revenue we report in each period is attributable to the recognition of deferred revenue relating to agreements that we entered into during previous periods. Consequently, any increase or decline in new sales or renewals in any one period may not be immediately reflected in our revenue for that period. Any change, however, may affect our revenue in future periods. Additionally, subscriptions that are invoiced annually in advance or multi-year in advance contribute significantly to our short-term and long-term deferred revenue. Accordingly, the effect of downturns or upturns in new sales and potential changes in our rate of renewals may not be fully reflected in our results of operations until future periods. We may also be unable to reduce our cost structure in line with a significant deterioration in sales or renewals. Our subscription model also makes it difficult for us to rapidly increase our revenue through additional sales in any period, as revenue from new customers must be recognized over the applicable subscription term.</w:t>
      </w:r>
    </w:p>
    <w:p>
      <w:pPr>
        <w:spacing w:after="0" w:line="180"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provide service level commitments under our customer contracts. If we fail to meet these contractual commitments, we could be obligated to provide credits for future service and our business could suffer.</w:t>
      </w:r>
    </w:p>
    <w:p>
      <w:pPr>
        <w:spacing w:after="0" w:line="15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customer agreements contain service level commitments, which contain specifications regarding the availability and performance of our cloud platform. Any failure of or disruption to our infrastructure could impact the performance of our platform and the availability of services to customers. If we are unable to meet our stated service level commitments or if we suffer extended periods of poor performance or unavailability of our platform, we may be contractually obligated to provide affected customers with service credits for future subscriptions, and, in certain cases, refunds. In addition, the limitation of liability provisions in our customer agreements may not fully or effectively protect us from claims as a result of federal, state or local laws or ordinances or unfavorable judicial decisions in the United States or other countries.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80"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b w:val="1"/>
          <w:bCs w:val="1"/>
          <w:i w:val="1"/>
          <w:iCs w:val="1"/>
          <w:color w:val="auto"/>
        </w:rPr>
        <w:t>Our ability to maintain customer satisfaction depends in part on the quality of our customer support, including the quality of the support provided on our behalf by certain channel partners. Failure to maintain high-quality customer support could have an adverse effect on our business, financial condition and results of operations.</w:t>
      </w:r>
    </w:p>
    <w:p>
      <w:pPr>
        <w:spacing w:after="0" w:line="175"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If we do not provide superior support to our customers, our ability to renew subscriptions, increase the number of users and sell additional services to customers may be adversely affected. We believe that successfully delivering our cloud solution requires a highly skilled level of customer support and engagement. We or our channel partners must assist our customers to deploy our cloud platform, resolve performance issues, address interoperability challenges with a customer’s existing network and security infrastructure and respond to security threats and cyberattacks. Many enterprises, particularly large organizations, have very complex networks and require high levels of focused support, including premium support offerings, to fully realize the benefits of our cloud platform. Any failure by us to maintain the expected level of support could reduce customer satisfaction and hurt our customer retention, particularly with respect to our large enterprise customers.</w:t>
      </w:r>
    </w:p>
    <w:p>
      <w:pPr>
        <w:sectPr>
          <w:pgSz w:w="11900" w:h="16838" w:orient="portrait"/>
          <w:cols w:equalWidth="0" w:num="1">
            <w:col w:w="112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73" w:name="page74"/>
    <w:bookmarkEnd w:id="7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8"/>
          <w:szCs w:val="18"/>
          <w:color w:val="auto"/>
        </w:rPr>
        <w:t>Additionally, if our channel partners do not provide support to the satisfaction of our customers, we may be required to provide this level of support to those customers, which would require us to hire additional personnel and to invest in additional resources, including the possible use of AI support agents. To the extent that we or our channel partners are unsuccessful in hiring, training, retaining or deploying adequate support resources, our ability and the ability of our channel partners to provide adequate and timely support to our customers will be negatively impacted, and our customers’ satisfaction with our cloud platform could be adversely affected. We currently rely in part on contractors provided by third-party service providers internationally to provide support services to our customers, and we expect to expand our international customer service support team to other countries. Any failure to properly train or oversee such contractors could result in a poor customer experience and an adverse impact on our reputation and ability to renew subscriptions or engage new customers. Furthermore, as we sell our solutions internationally, our support organization faces additional challenges, including those associated with delivering support, training and documentation in languages other than English. Any failure to maintain high-quality customer support, or a market perception that we do not maintain high-quality support, could materially harm our reputation, adversely affect our ability to sell our solutions to existing and prospective customers and could harm our business, financial condition and results of operations.</w:t>
      </w:r>
    </w:p>
    <w:p>
      <w:pPr>
        <w:spacing w:after="0" w:line="186"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rely on our key technical, sales and management personnel to grow our business, and the loss of one or more key employees or the inability to attract and retain qualified personnel could harm our business.</w:t>
      </w:r>
    </w:p>
    <w:p>
      <w:pPr>
        <w:spacing w:after="0" w:line="15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Our future success is substantially dependent on our ability to attract, retain and motivate the members of our management team and other key employees throughout our organization. In particular, we are highly dependent on the services of Jay Chaudhry, our Chief Executive Officer and chairman of our board of directors, who is critical to our future vision and strategic direction. We rely on our leadership team in the areas of operations, security, marketing, sales, support and general and administrative functions, and on individual contributors on our research and development team. Although we have entered into employment agreements with our key personnel, these agreements have no specific duration and constitute at-will employment. We do not maintain key person life insurance policies on any of our employees. The loss of one or more of our executive officers or key employees could seriously harm our business. We have experienced, and may in the future experience, significant change in senior management. For example, two sales leaders recently departed the Company. Any significant leadership change or senior management transition involves risk and any failure to transition effectively or to retain new leaders could hinder our strategic planning, business execution and future performance.</w:t>
      </w:r>
    </w:p>
    <w:p>
      <w:pPr>
        <w:spacing w:after="0" w:line="184"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To execute our growth plan, we must attract and retain highly qualified personnel. Competition for these personnel in the San Francisco Bay Area, where our headquarters are located, and in other locations where we operate, is often intense, especially for experienced sales professionals and for engineers experienced in designing and developing cloud applications, security software and AI and ML solutions. In addition, the United States and other regions in which we operate have in the past and may again in the future experience acute workforce shortages for highly skilled workers, which in turn, can create hyper-competitive wage environments that may impact our ability to attract and retain employees. We have from time to time experienced, and we may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ongoing cybersecurity attacks on global corporations and governments. Many of the companies with which we compete for experienced personnel have greater resources than we have. In addition, job candidates and existing employees often consider the value of the equity awards they receive in connection with their employment. Volatility or lack of performance in our stock price may also affect our ability to attract and retain our key employees.</w:t>
      </w:r>
    </w:p>
    <w:p>
      <w:pPr>
        <w:spacing w:after="0" w:line="190" w:lineRule="exact"/>
        <w:rPr>
          <w:sz w:val="20"/>
          <w:szCs w:val="20"/>
          <w:color w:val="auto"/>
        </w:rPr>
      </w:pPr>
    </w:p>
    <w:p>
      <w:pPr>
        <w:jc w:val="both"/>
        <w:ind w:firstLine="324"/>
        <w:spacing w:after="0" w:line="321" w:lineRule="auto"/>
        <w:rPr>
          <w:sz w:val="20"/>
          <w:szCs w:val="20"/>
          <w:color w:val="auto"/>
        </w:rPr>
      </w:pPr>
      <w:r>
        <w:rPr>
          <w:rFonts w:ascii="Times New Roman" w:cs="Times New Roman" w:eastAsia="Times New Roman" w:hAnsi="Times New Roman"/>
          <w:sz w:val="18"/>
          <w:szCs w:val="18"/>
          <w:color w:val="auto"/>
        </w:rPr>
        <w:t>If we fail to successfully attract, integrate or retain qualified personnel to fulfill our current or future needs, or if we need to materially increase the value of the compensation packages necessary to attract and retain these employees, our business, operating results and financial condition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4" w:name="page75"/>
    <w:bookmarkEnd w:id="7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in part, on sales to the public sector and significant changes in the contracting or fiscal policies of public sector organizations could have an adverse effect on our business and operating results.</w:t>
      </w:r>
    </w:p>
    <w:p>
      <w:pPr>
        <w:spacing w:after="0" w:line="159"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derive a significant portion of our revenue from contracts with government organizations, and we believe the success and growth of our business will in part depend on adding public sector customers and expanding sales to existing government customers. However, demand from government organizations is often unpredictable, and we may not be able to maintain or grow our revenue from the public sector. Sales to government entities are subject to substantial risks, including the following:</w:t>
      </w:r>
    </w:p>
    <w:p>
      <w:pPr>
        <w:spacing w:after="0" w:line="176" w:lineRule="exact"/>
        <w:rPr>
          <w:sz w:val="20"/>
          <w:szCs w:val="20"/>
          <w:color w:val="auto"/>
        </w:rPr>
      </w:pPr>
    </w:p>
    <w:p>
      <w:pPr>
        <w:ind w:left="660" w:right="20" w:hanging="328"/>
        <w:spacing w:after="0" w:line="32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to government agencies can be highly competitive, expensive and time-consuming, often involving significantly longer procurement cycles than commercial sales, and significant upfront time and expense without any assurance that such efforts will generate a sale;</w:t>
      </w:r>
    </w:p>
    <w:p>
      <w:pPr>
        <w:spacing w:after="0" w:line="17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government requirements relating to the formation, administration and performance of contracts with the public sector affect how we and our channel partners do business with governmental agencies;</w:t>
      </w:r>
    </w:p>
    <w:p>
      <w:pPr>
        <w:spacing w:after="0" w:line="161"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or other government certification requirements applicable to our cloud platform, including the Federal Risk and Authorization Management Program, are often difficult and costly to obtain and maintain and failure to do so will restrict our ability to sell to government customers;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demand and payment for our services may be impacted by public sector budgetary cycles and annual funding authorizations (including the impacts of possible government shutdowns and changes in governmental administrations) and government sales are inherently at risk of securing funding;</w:t>
      </w:r>
    </w:p>
    <w:p>
      <w:pPr>
        <w:spacing w:after="0" w:line="16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to the U.S. and other governments are subject to procurement regulations, which impose heightened compliance obligations on us and our channel partners;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routinely investigate and audit government contractors’ administrative processes and compliance with procurement regulations and any unfavorable investigation or audit could result in fines, civil or criminal liability, further investigations, damage to our reputation and debarment from further government business;</w:t>
      </w:r>
    </w:p>
    <w:p>
      <w:pPr>
        <w:spacing w:after="0" w:line="168"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customers procuring commercial items get the benefit of more favorable terms and conditions by operation of law, regardless of agreed upon contractual terms;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321"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policy positions, including tariffs and other trade regulations, or the threat of such changes; spending priorities or reductions in government employees or programs, which result in a reduction of government spending in general or on technology and cybersecurity products in particular.</w:t>
      </w:r>
    </w:p>
    <w:p>
      <w:pPr>
        <w:spacing w:after="0" w:line="168"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The occurrence of any of the foregoing could cause governments and governmental agencies to delay or refrain from purchasing our solutions in the future and could result in temporary suspension or permanent debarment from sales to government organizations. Any such penalties, disruptions or limitations in our or our channel partners' ability to do business with the public sector could have a material adverse effect on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expose us to significant risks, and failure to manage those risks could materially and adversely impact our business.</w:t>
      </w:r>
    </w:p>
    <w:p>
      <w:pPr>
        <w:spacing w:after="0" w:line="270"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Historically, we have derived a significant portion of our revenue from outside the United States. We derived approximately 49%, 50% and 50% of our revenue from our international customers in fiscal 2025, fiscal 2024 and fiscal 2023, respectively. As of July 31, 2025, approximately 63% of our full-time employees were located outside of the United States. We are continuing to adapt to, and develop strategies to address, international markets and our growth strategy includes continued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85" w:lineRule="exact"/>
        <w:rPr>
          <w:sz w:val="20"/>
          <w:szCs w:val="20"/>
          <w:color w:val="auto"/>
        </w:rPr>
      </w:pPr>
    </w:p>
    <w:p>
      <w:pPr>
        <w:ind w:left="660" w:hanging="328"/>
        <w:spacing w:after="0" w:line="344"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economic and social uncertainty or international conflict, such as the current conflicts between Russia and Ukraine and in the Middle East, including recent conflicts related to Iran;</w:t>
      </w:r>
    </w:p>
    <w:p>
      <w:pPr>
        <w:spacing w:after="0" w:line="149"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for the localization of our services, including translation into foreign languages and adaptation for local practices and regulatory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and accounts receivable collection, and longer collection periods;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unexpected changes in regulatory practices or enforcement policies, trade regulations including tariffs and tax laws and treaties;</w:t>
      </w:r>
    </w:p>
    <w:p>
      <w:pPr>
        <w:spacing w:after="0" w:line="279"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risk of a failure of foreign employees, partners, distributors and resellers to comply with both U.S. and foreign laws, including antitrust regulations, anti-bribery laws, export and import control laws, trade and economic sanctions and applicable trade laws and regulations;</w:t>
      </w:r>
    </w:p>
    <w:p>
      <w:pPr>
        <w:spacing w:after="0" w:line="161"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comply with foreign privacy, data protection and cybersecurity laws and the need to offer data sovereignty solutions to satisfy some customers' demands;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incurred in establishing and maintaining office space and equipment for our international operations;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complying with regulations relating to AI and ML;</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identifying, attracting and retaining local qualified personnel, and the costs and expenses associated with such activities;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employment practices and labor relations issues;</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and staffing international offices and increased travel, infrastructure and legal compliance costs associated with multiple international locations;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between the U.S. dollar and foreign currencies in markets where we do business, including the British Pound, Indian Rupee and Euro, and related impact on sales cycles; and</w:t>
      </w:r>
    </w:p>
    <w:p>
      <w:pPr>
        <w:spacing w:after="0" w:line="161"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natural disasters and public health pandemics and epidemics on customers, partners, suppliers, employees, travel and the global economy.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6" w:name="page77"/>
    <w:bookmarkEnd w:id="7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72"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operating results, financial condition and prospects.</w:t>
      </w:r>
    </w:p>
    <w:p>
      <w:pPr>
        <w:spacing w:after="0" w:line="159"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Our business strategy includes acquiring other complementary solutions, technologies or businesses. We have in the past acquired, and expect in the future to acquire, businesses that we believe will complement or augment our existing business. To expand our security offerings and features, we also may enter into relationships with other businesses, which could involve preferred or exclusive licenses, additional channels of distribution or investments in other companies. Negotiating these transactions can be time-consuming, difficult and costly, and our ability to close these transactions may be subject to third-party approvals, such as government regulatory approvals, which are beyond our control. Consequently, we cannot assure you that these transactions, once undertaken and announced, will close.</w:t>
      </w:r>
    </w:p>
    <w:p>
      <w:pPr>
        <w:spacing w:after="0" w:line="185"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These kinds of acquisitions or investments may result in unforeseen operating difficulties and expenditures. In particular, we may encounter difficulties assimilating or integrating the businesses, technologies, products and services, personnel or operations of companies that we may acquire, particularly if the key personnel of an acquired business choose not to work for us. We may have difficulty retaining the customers of any acquired business or using or continuing the development of the acquired technologies. Acquisitions may also disrupt our ongoing business, divert our resources and require significant management attention that would otherwise be available for development of our business. We may not successfully evaluate or utilize the acquired technology or personnel, or accurately forecast the financial impact of an acquisition transaction, including accounting charges. Any acquisition or investment could expose us to unknown liabilities. Moreover, we cannot assure you that the anticipated benefits of any acquisition or investment would be realized or that we would not be exposed to unknown liabilities. In connection with these types of transactions, we may:</w:t>
      </w:r>
    </w:p>
    <w:p>
      <w:pPr>
        <w:spacing w:after="0" w:line="184"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additional equity securities that would dilute our stockholders;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cash that we may need in the future to operate our business;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debt on terms unfavorable to us or that we are unable to repay;</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charges or substantial liabilities;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encounter difficulties integrating diverse business cultures;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extending our internal control over financial reporting to new acquisitions or investments;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delays in our quarterly close process and related filings with the SEC;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 subject to adverse tax consequences, substantial depreciation or deferred compensation charges.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These challenges related to acquisitions or investments could adversely affect our business, operating results, financial condition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7" w:name="page78"/>
    <w:bookmarkEnd w:id="7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effectively manage certain risks and challenges related to our India operations, our business could be harmed.</w:t>
      </w:r>
    </w:p>
    <w:p>
      <w:pPr>
        <w:spacing w:after="0" w:line="270"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believe that our significant presence in India provides important advantages for our business, such as direct access to a large pool of skilled professionals. However, it also creates certain risks that we must effectively manage. As of July 31, 2025, 37% of our global work force is based in India and is comprised mostly of R&amp;D, finance and operations professionals. Wage costs in India for skilled professionals are currently lower than in the United States for comparably skilled professionals. However, wages and benefit costs in India are increasing at a faster rate than in the United States, which could result in us incurring increased costs for technical professionals. There is intense competition in India for skilled technical professionals, and we expect such competition to increase. As a result, we may be unable to retain our current employee base in India or hire additional new talent or do so cost-effectively. In addition, India has experienced natural disasters, civil unrest and terrorism and, in the past, has been and may again be involved in conflicts with neighboring countries. If we are unable to effectively manage any of the foregoing risks related to our India operations, our development efforts and operations could be impaired, which could materially and negatively impact our growth and operating results.</w:t>
      </w:r>
    </w:p>
    <w:p>
      <w:pPr>
        <w:spacing w:after="0" w:line="180"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failure to raise additional capital necessary to expand our operations and invest in new solutions could reduce our ability to compete and could harm our business.</w:t>
      </w:r>
    </w:p>
    <w:p>
      <w:pPr>
        <w:spacing w:after="0" w:line="159"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We expect that our existing cash, cash equivalents and short-term investments will be sufficient to meet our anticipated cash needs for working capital, capital expenditures and 2028 Notes repayment requirements for at least the next 12 months. We may, however, need to raise additional funds to fund our operating expenses, make capital purchases, acquire or invest in business or technology, and we may not be able to obtain those funds on favorable terms, or at all. If we raise additional equity financing, our stockholders may experience significant dilution of their ownership interests and the per share value of our common stock could decline. Furthermore, if we engage in additional debt financing, the holders of our debt would have priority over the holders of our common stock, and we may be required to accept terms that restrict our ability to incur additional indebtedness or our ability to pay any dividends on our common stock, though we do not intend to pay dividends in the foreseeable future. We may also be required to take other actions, any of which could harm our business and operating results. If we need to access the capital markets, there can be no assurance that financing may be available on attractive terms, if at all. If we are unable to obtain adequate financing, or financing on terms satisfactory to us, when we require it, our ability to continue to support our business growth and to respond to business challenges could be significantly limited, and our business, operating results, financial condition and prospects could be materially and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Related to Information Technology, Intellectual Property, Data Security and Privacy</w:t>
      </w:r>
    </w:p>
    <w:p>
      <w:pPr>
        <w:spacing w:after="0" w:line="275"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The actual or perceived failure of our cloud platform to block malware or prevent a security breach or incident could harm our reputation and adversely impact our business, financial condition and results of operations.</w:t>
      </w:r>
    </w:p>
    <w:p>
      <w:pPr>
        <w:spacing w:after="0" w:line="159"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Our cloud platform may fail to detect or prevent security breaches or incidents for any number of reasons. Our cloud platform is complex and may contain performance issues that are not detected until after its deployment. We also provide frequent solution updates and fundamental enhancements, which increase the possibility of errors, and our reporting, tracking, monitoring and quality assurance procedures may not be sufficient to ensure we detect any such defects in a timely manner. The performance of our cloud platform can be negatively impacted by our failure to enhance, expand or update our cloud platform, bugs, errors or defects in our software, improper classification of websites by our vendors who provide us with lists of malicious websites, improper deployment or configuration of our services and many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8" w:name="page79"/>
    <w:bookmarkEnd w:id="7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addition, the techniques used by cyber threat actors, including state sponsored actors, to access or sabotage networks and other systems change frequently, generally are not recognized until launched against a target and are becoming faster, more sophisticated, more prevalent and more automated as a result of the availability and rapid commoditization of AI-enabled cyberattack toolkits. While advanced adversaries continue to gain capabilities, less-sophisticated actors are increasingly able to plan, develop and deliver attacks at a scale, speed and degree of customization that has historically required specialized expertise. As a result, we expect the volume, speed and the per-incident impact of cyberattacks to increase and dramatically expand the global threat landscape. Further, there is a risk that a cyber threat could emerge that our services are unable to detect or prevent until after some of our customers are impacted.</w:t>
      </w:r>
    </w:p>
    <w:p>
      <w:pPr>
        <w:spacing w:after="0" w:line="184"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As our services are adopted by an increasing number of enterprises, it is possible that the individuals and organizations behind cyber threats will focus on finding ways to defeat our services or to target our systems. If this happens, our cloud platform could be targeted by attacks specifically designed to disrupt our business and create the perception that our cloud platform is not capable of providing superior security, which, in turn, could have a serious impact on our reputation as a provider of security solutions. Further, high profile security breaches or incidents, in particular those of cloud-based service providers, may cause our customers and potential customers to lose trust in cloud solutions generally, and with respect to security in particular, which could materially and adversely impact our ability to retain existing customers or attract new customers.</w:t>
      </w:r>
    </w:p>
    <w:p>
      <w:pPr>
        <w:spacing w:after="0" w:line="185"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Increasingly, enterprises are subject to a wide variety of attacks on their networks and systems, including traditional threat actors, malicious code (such as viruses and worms), social engineering attacks (such as deep fakes), targeted phishing attacks, distributed denial-of-service attacks, advanced attacks conducted or sponsored by nation-states, AI enabled attacks or attacks targeting and exploiting AI and ML systems and applications, advanced persistent threat intrusions, ransomware and other malware, attacks on their vendors and supply chains, and theft or misuse of intellectual property or business or personal data, including by disgruntled or negligent, current or former employees or contractors. No security solution, including our cloud platform, can address all possible security threats, which are becoming increasingly frequent and sophisticated with the development of AI and ML, or block all methods of penetrating a network or otherwise perpetrating a security breach or incident. Our customers typically rely on complex network and security infrastructures, which include products and services from multiple vendors, to secure their networks. If any of our customers become infected with malware or experiences a security breach or incident, they could be disappointed with our services, regardless of whether our services are intended to block the attack or would have blocked the attack if the customer had properly configured our cloud platform. Additionally, if any enterprises that are publicly known to use our services are the subject of a cyberattack that becomes publicized, our current or potential customers may look to our competitors for alternatives to our services.</w:t>
      </w:r>
    </w:p>
    <w:p>
      <w:pPr>
        <w:spacing w:after="0" w:line="188"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From time to time, industry or financial analysts and research firms test our solutions against other security products. Our services may fail to detect or prevent threats in any particular test for a number of reasons, including misconfiguration. To the extent potential customers, industry or financial analysts or testing firms believe that the occurrence of a failure to detect or prevent any particular threat is a flaw or indicates that our services do not provide significant value, our reputation and business could be materially harmed.</w:t>
      </w:r>
    </w:p>
    <w:p>
      <w:pPr>
        <w:spacing w:after="0" w:line="183" w:lineRule="exact"/>
        <w:rPr>
          <w:sz w:val="20"/>
          <w:szCs w:val="20"/>
          <w:color w:val="auto"/>
        </w:rPr>
      </w:pPr>
    </w:p>
    <w:p>
      <w:pPr>
        <w:jc w:val="both"/>
        <w:ind w:firstLine="324"/>
        <w:spacing w:after="0" w:line="344" w:lineRule="auto"/>
        <w:rPr>
          <w:sz w:val="20"/>
          <w:szCs w:val="20"/>
          <w:color w:val="auto"/>
        </w:rPr>
      </w:pPr>
      <w:r>
        <w:rPr>
          <w:rFonts w:ascii="Times New Roman" w:cs="Times New Roman" w:eastAsia="Times New Roman" w:hAnsi="Times New Roman"/>
          <w:sz w:val="18"/>
          <w:szCs w:val="18"/>
          <w:color w:val="auto"/>
        </w:rPr>
        <w:t>Any real or perceived flaws in our cloud platform or any real, perceived or purported security breaches or other security incidents of our customers could result in:</w:t>
      </w:r>
    </w:p>
    <w:p>
      <w:pPr>
        <w:spacing w:after="0" w:line="149"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loss of existing or potential customers or channel partners;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or lost sales and harm to our financial condition and results of operations;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delay in attaining, or the failure to attain, market acceptance;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60" w:hanging="328"/>
        <w:spacing w:after="0" w:line="313"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expenditure of significant financial resources in efforts to analyze, correct, eliminate, remediate or work around errors or defects, to address and eliminate vulnerabilities and to address any applicable legal or contractual obligations relating to any actual, perceived or purported security breach or incident;</w:t>
      </w:r>
    </w:p>
    <w:p>
      <w:pPr>
        <w:spacing w:after="0" w:line="18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damage to our reputation and brand; and</w:t>
      </w:r>
    </w:p>
    <w:p>
      <w:pPr>
        <w:spacing w:after="0" w:line="265"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claims and demands (including for stolen assets or information, repair of system damages, and compensation to customers and business partners), litigation, regulatory inquiries or investigations and other liability.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Any of the above results could materially and adversely affect our business, financial condition and results of operations.</w:t>
      </w:r>
    </w:p>
    <w:p>
      <w:pPr>
        <w:spacing w:after="0" w:line="26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Additionally, with data security being a critical competitive factor in our industry, we make public statements in our policies, on our website, and elsewhere describing the security of our platform and the performance of our solutions. As a result, we may face claims, including claims of unfair or deceptive trade practices alleging these statements are not accurate, brought by the U.S. Federal Trade Commission, state, local or foreign regulators and private litigants.</w:t>
      </w:r>
    </w:p>
    <w:p>
      <w:pPr>
        <w:spacing w:after="0" w:line="172"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Issues in the development, use and execution of AI and ML, combined with an uncertain regulatory environment and evolving market expectations, may harm our business.</w:t>
      </w:r>
    </w:p>
    <w:p>
      <w:pPr>
        <w:spacing w:after="0" w:line="159"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 xml:space="preserve">We are increasingly utilizing AI and ML capabilities in our business operations and our product offerings. As with many developing technologies, AI and ML present risks and challenges, many of which may be unknown, which could affect their further development, adoption and use and our ability to realize their anticipated benefits. The rapid evolution of AI and ML requires the application of significant financial, operational and human resources to develop, test, maintain and monitor our products and services and our internal applications, systems and processes to help ensure that AI and ML are implemented effectively and responsibly. We may not accurately forecast the required resources or effectively deploy resources when and where needed to realize the benefits of AI and ML technologies. </w:t>
      </w:r>
      <w:r>
        <w:rPr>
          <w:rFonts w:ascii="Times New Roman" w:cs="Times New Roman" w:eastAsia="Times New Roman" w:hAnsi="Times New Roman"/>
          <w:sz w:val="18"/>
          <w:szCs w:val="18"/>
          <w:color w:val="222222"/>
        </w:rPr>
        <w:t>We are increasingly deploying AI agents, which may take actions that are erroneous, irreversible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misaligned with intended business outcomes, including interacting with unauthorized data sources and external tools. We are also enabling employees across our organization to design, build and deploy software applications. This decentralization of software development activity may increase the risk of security vulnerabilities, data exposure, regulatory non-compliance and operational failures that are difficult to detect or remediate through traditional oversight mechanisms.</w:t>
      </w:r>
    </w:p>
    <w:p>
      <w:pPr>
        <w:spacing w:after="0" w:line="186"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Further, a quickly evolving legal and regulatory environment may cause us to incur increased research and development costs, or divert resources from other development efforts, to address social and ethical issues related to AI and ML. As the regulatory landscape for AI and ML evolves, including through new frameworks such as the EU AI Act, we must develop and maintain robust internal policies and standards that clarify functional roles and responsibilities for the responsible and compliant development, deployment and use of AI technologies in our internal operations and product offerings. The use of AI technologies presents ethical issues that could become controversial and failure, or perceived failure, to establish or enforce such policies and clear lines of accountability could increase our risk of noncompliance, operational errors, reputational harm and penalties.</w:t>
      </w:r>
    </w:p>
    <w:p>
      <w:pPr>
        <w:spacing w:after="0" w:line="212" w:lineRule="exact"/>
        <w:rPr>
          <w:sz w:val="20"/>
          <w:szCs w:val="20"/>
          <w:color w:val="auto"/>
        </w:rPr>
      </w:pPr>
    </w:p>
    <w:p>
      <w:pPr>
        <w:jc w:val="both"/>
        <w:ind w:right="20" w:firstLine="324"/>
        <w:spacing w:after="0" w:line="313" w:lineRule="auto"/>
        <w:rPr>
          <w:sz w:val="20"/>
          <w:szCs w:val="20"/>
          <w:color w:val="auto"/>
        </w:rPr>
      </w:pPr>
      <w:r>
        <w:rPr>
          <w:rFonts w:ascii="Times New Roman" w:cs="Times New Roman" w:eastAsia="Times New Roman" w:hAnsi="Times New Roman"/>
          <w:sz w:val="18"/>
          <w:szCs w:val="18"/>
          <w:color w:val="auto"/>
        </w:rPr>
        <w:t>As a result of these and other challenges associated with our use, implementation and training of AI and ML, or misunderstandings or misrepresentations by third parties about the type of data that we use to train AI or ML, we may in the future be subject to legal liability, competitive harm, negative media coverage or regulatory action, including new proposed, and in certain cases enacted, rules and legislation regulating AI, new applications of existing data protection, privacy, cybersecurity, information security, intellectual property and other laws, and brand or reputational harm.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0" w:name="page81"/>
    <w:bookmarkEnd w:id="8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incorporate technology from third parties into our cloud platform, and our inability to obtain or maintain rights to the technology could harm our business.</w:t>
      </w:r>
    </w:p>
    <w:p>
      <w:pPr>
        <w:spacing w:after="0" w:line="159"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We license software and other technology from third parties that we incorporate into or integrate with, our cloud platform. We cannot be certain that our licensors are not infringing the intellectual property rights of third parties, that our licensors have sufficient rights to the licensed intellectual property in all jurisdictions in which we may sell our services or that our licensors' technology does not include flaws that could harm the performance of our cloud platform or malicious code that could expose our platform to cyberthreats. In addition, many licenses are non-exclusive, and therefore our competitors may have access to the same technology licensed to us. Some of our agreements with our licensors may be terminated for convenience by them, or otherwise provide for a limited term. If we are unable to continue to license any of this technology for any reason, our ability to develop and sell our services containing such technology could be harmed. Similarly, if we are unable to license necessary technology from third parties now or in the future, we may be forced to acquire or develop alternative technology, which we may be unable to do in a commercially feasible manner or at all, and we may be required to use alternative technology of lower quality or performance standards. This could limit and delay our ability to offer new or competitive products and services and increase our costs of production. As a result, our business and results of operations could be significantly harmed. Additionally, as part of our longer-term strategy to grow our business, we may consider opening our cloud platform to third-party developers and applications to further extend its functionality, but we cannot be certain that such efforts to grow our business will be successful.</w:t>
      </w:r>
    </w:p>
    <w:p>
      <w:pPr>
        <w:spacing w:after="0" w:line="222"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Some of our technology incorporates "open source" software, and we license some of our software through open source projects, which could negatively affect our ability to sell our platform and subject us to possible litigation.</w:t>
      </w:r>
    </w:p>
    <w:p>
      <w:pPr>
        <w:spacing w:after="0" w:line="159"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Our solutions incorporate software licensed by third parties under open source licenses, including open source software included in software we receive from third-party commercial software vendors. Use of open source software may entail greater risks than use of third-party commercial software, as open source licensors generally do not provide support, updates or warranties or other contractual protections regarding infringement claims or the quality of the code. In addition, the wide availability of open source software used in our solutions could expose us to security vulnerabilities. In particular, some of the open source software we incorporate into our products may include LLMs. Using open source LLMs can present uncertainty regarding license terms and restrictions, potential exposure to intellectual property or privacy claims related to training data, increased risk of embedded bias or security vulnerabilities and challenges in compliance with evolving AI-specific regulations. Furthermore, the terms of many open source licenses have not been interpreted by U.S. and other courts, and there is a risk that such licenses could be construed in a manner that imposes unanticipated conditions or restrictions on our ability to market or commercialize our solutions. As a result, we could be subject to lawsuits by parties claiming ownership of what we believe to be open source software. Litigation could be costly for us to defend, have a negative effect on our results of operations and financial condition or require us to devote additional research and development resources to change our solutions. In addition, by the terms of some open source licenses, under certain conditions we could be required to release the source code of our proprietary software, and to make our proprietary software available under open source licenses, including authorizing further modification and redistribution. In the event that portions of our proprietary software are determined to be subject to such requirements by an open source license, we could be required to publicly release the affected portions of our source code, re-engineer all or a portion of our platform or otherwise be limited in the licensing of our services, each of which provide an advantage to our competitors or other entrants to the market, create security vulnerabilities in our solutions and could reduce or eliminate the value of our services. Further, if we are held to have breached or otherwise failed to comply with the terms of an open source software license, we could be required to release certain of our proprietary source code under open source licenses, pay monetary damages, seek licenses from third parties to continue offering our services on terms that are not economically feasible or be subject to injunctions that could require us to discontinue the sale of our services if re-engineering could not be accomplished on a timely basis. Many of the risks associated with use of open source software cannot be eliminated and could negatively affect our business. Moreover, our processes for controlling our use of open source software in our platform may not be effective. Responding to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1" w:name="page82"/>
    <w:bookmarkEnd w:id="8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line="329" w:lineRule="auto"/>
        <w:rPr>
          <w:sz w:val="20"/>
          <w:szCs w:val="20"/>
          <w:color w:val="auto"/>
        </w:rPr>
      </w:pPr>
      <w:r>
        <w:rPr>
          <w:rFonts w:ascii="Times New Roman" w:cs="Times New Roman" w:eastAsia="Times New Roman" w:hAnsi="Times New Roman"/>
          <w:sz w:val="18"/>
          <w:szCs w:val="18"/>
          <w:color w:val="auto"/>
        </w:rPr>
        <w:t>infringement or noncompliance claim by an open source vendor, regardless of its validity, or discovering open source software code in our platform could harm our business, operating results and financial condition by, among other things:</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time-consuming and costly litigation;</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diverting management’s time and attention from developing our business;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pay monetary damages or enter into royalty and licensing agreements that we would not normally find acceptable;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causing delays in the deployment of our platform or service offerings to our customers;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stop offering certain services on or features of our platform;</w:t>
      </w:r>
    </w:p>
    <w:p>
      <w:pPr>
        <w:spacing w:after="0" w:line="265"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redesign certain components of our platform using alternative non-infringing or non-open source technology, which could require significant effort and expense;</w:t>
      </w:r>
    </w:p>
    <w:p>
      <w:pPr>
        <w:spacing w:after="0" w:line="14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disclose our software source code and the detailed program commands for our software;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satisfy indemnification obligations to our customers.</w:t>
      </w:r>
    </w:p>
    <w:p>
      <w:pPr>
        <w:spacing w:after="0" w:line="262" w:lineRule="exact"/>
        <w:rPr>
          <w:sz w:val="20"/>
          <w:szCs w:val="20"/>
          <w:color w:val="auto"/>
        </w:rPr>
      </w:pPr>
    </w:p>
    <w:p>
      <w:pPr>
        <w:jc w:val="both"/>
        <w:ind w:firstLine="324"/>
        <w:spacing w:after="0" w:line="314" w:lineRule="auto"/>
        <w:rPr>
          <w:sz w:val="20"/>
          <w:szCs w:val="20"/>
          <w:color w:val="auto"/>
        </w:rPr>
      </w:pPr>
      <w:r>
        <w:rPr>
          <w:rFonts w:ascii="Times New Roman" w:cs="Times New Roman" w:eastAsia="Times New Roman" w:hAnsi="Times New Roman"/>
          <w:sz w:val="18"/>
          <w:szCs w:val="18"/>
          <w:b w:val="1"/>
          <w:bCs w:val="1"/>
          <w:i w:val="1"/>
          <w:iCs w:val="1"/>
          <w:color w:val="auto"/>
        </w:rPr>
        <w:t>We rely on a limited number of suppliers for certain components of our cloud platform and the systems we use to operate our business and provide services to our customers, and any disruption in the availability of these components could delay our ability to expand or increase the capacity of our global data center network, replace defective equipment in our existing data centers or otherwise operate our business and provide services to our customers.</w:t>
      </w:r>
    </w:p>
    <w:p>
      <w:pPr>
        <w:spacing w:after="0" w:line="17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rely on a limited number of suppliers for several components of our cloud platform and the systems we use to operate our business and provide services to our customers, including sole or limited sourced hardware, software and SaaS services. Some of our suppliers also temporarily hold a portion of our assets for us. Our reliance on these suppliers exposes us to risks, including reduced control over production costs, constraints based on the then-current availability, terms and pricing of these components and potential loss of assets. For example, we generally purchase equipment or the components of equipment on a purchase order basis, and do not have long-term contracts guaranteeing supply. We also rely on sole or limited sourced SaaS vendors to provide critical services that we use to operate our business. As AI-enabled cyberattacks increase, these SaaS vendors may be compromised or suffer outages, which may disrupt their services on which our cloud platform depends.</w:t>
      </w:r>
    </w:p>
    <w:p>
      <w:pPr>
        <w:spacing w:after="0" w:line="184"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In addition, the technology industry has experienced component shortages, delivery delays, price increases (including memory, storage and processor price increases) and service interruptions in the past, and we have experienced and may continue to experience shortages, delays, materially increased costs or service interruptions, including as a result of natural disasters, acts of war or international conflicts, epidemics or global pandemics, increased demand in the industry, increased demand for components or services used to support AI development, including from large AI providers, or if our suppliers do not have sufficient rights to supply the components in all jurisdictions in which we may host our services.</w:t>
      </w:r>
    </w:p>
    <w:p>
      <w:pPr>
        <w:spacing w:after="0" w:line="180"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Global economic conditions are increasing our supply chain costs and could result in further increased costs and disruptions and delays for components in the future. Additionally, changes to existing international trade agreements, tariffs, export controls or other trade measures and regulations that impact our sourcing partners or us may lead to increased costs to operate our business and to disruptions in our supply chain, which could limit our ability to support our customers. For instance, current geopolitical, diplomatic and other developments affecting the relationship between China and Taiwan may materially and negatively impact the availability of certain critical components that we use in our data centers, which we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2" w:name="page83"/>
    <w:bookmarkEnd w:id="8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8"/>
          <w:szCs w:val="18"/>
          <w:color w:val="auto"/>
        </w:rPr>
        <w:t>source from overseas. If our supply of certain components is disrupted, delayed or becomes significantly more expensive, there can be no assurance that available alternatives can serve as adequate replacements for the existing components or that alternatives will be available on terms that are favorable to us, if at all, as it may take several months or longer to identify, qualify and engage a new supplier or integrator. Any disruption or delay in access to components may materially increase our costs, require us to increase costs to our customers, delay opening new exchanges, delay increasing capacity or replacing defective equipment at existing data centers, cause other constraints on our operations that could damage our channel partner or customer relationships or otherwise have a material adverse impact on our business and operating results.</w:t>
      </w:r>
    </w:p>
    <w:p>
      <w:pPr>
        <w:spacing w:after="0" w:line="208"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Claims by others that we infringe their proprietary technology or other rights, or other lawsuits asserted against us, could result in significant costs and substantially harm our business, financial condition, results of operations and prospects.</w:t>
      </w:r>
    </w:p>
    <w:p>
      <w:pPr>
        <w:spacing w:after="0" w:line="199"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In addition, patent holding companies seek to monetize patents they previously developed, have purchased or otherwise obtained. Many companies, including our competitors, may now, and in the future, have significantly larger and more mature patent, copyright, trademark and trade secret portfolios than we have, which they may use to assert claims of infringement, misappropriation and other violations of intellectual property rights against us. In addition, intellectual property litigation may involve non-practicing entities or other patent owners who have no relevant product offerings or revenue and against whom our own patents may therefore provide little or no deterrence or protection. As we face increasing competition and gain an increasingly higher profile the possibility of intellectual property rights claims against us grows. Third parties have asserted in the past and may in the future assert claims of infringement of intellectual property rights against us and these claims, even without merit, could harm our business, including by increasing our costs, reducing our revenue, creating customer concerns that result in delayed or reduced sales, distracting our management from the running of our business and requiring us to cease use of important intellectual property. In addition, because patent applications can take years to issue and are often afforded confidentiality for some period of time, there may currently be pending applications, unknown to us, that later result in issued patents that could cover one or more of our services. In a patent infringement claim against us, we may assert, as a defense, that we do not infringe the relevant patent claims, that the patent is invalid or both. The strength of our defenses will depend on the patents asserted, the interpretation of these patents, and our ability to invalidate the asserted patents. However, we could be unsuccessful in advancing non-infringement and/or invalidity arguments in our defense. Furthermore, because of the substantial amount of discovery required in connection with patent and other intellectual property rights litigation, there is a risk that some of our confidential information could be compromised by the discovery process.</w:t>
      </w:r>
    </w:p>
    <w:p>
      <w:pPr>
        <w:spacing w:after="0" w:line="18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As the number of products and competitors in our market increases and overlaps occur, claims of infringement, misappropriation and other violations of intellectual property rights may increase. Our insurance may not cover intellectual property rights infringement claims. Third parties have in the past and may in the future also assert infringement claims against our customers or channel partners, with whom our agreements may obligate us to indemnify against these claims. In addition, to the extent we hire personnel from competitors, we may be subject to allegations that such employees have divulged proprietary or other confidential information to us.</w:t>
      </w:r>
    </w:p>
    <w:p>
      <w:pPr>
        <w:spacing w:after="0" w:line="197"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From time to time, the U.S. Supreme Court, other U.S. federal courts and the U.S. Patent and Trademark Appeals Board, and their foreign counterparts, have made and may continue to make changes to the interpretation of patent laws in their respective jurisdictions. We cannot predict future changes to the interpretation of existing patent laws or whether U.S. or foreign legislative bodies will amend such laws in the future. Any changes may lead to uncertainties or increased costs and risks surrounding the outcome of third-party infringement claims brought against us and the actual or enhanced damages, including treble damages, that may be awarded in connection with any such current or future claims and could have a material adverse effect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3" w:name="page84"/>
    <w:bookmarkEnd w:id="8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We are unable to predict the likelihood of success in defending against future infringement claims.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 Any of these outcomes could result in a material adverse effect on our business. Even if we were to prevail, third-party infringement lawsuits could be costly and time-consuming, divert the attention of our management and key personnel from our business operations, deter channel partners from selling or licensing our services and dissuade potential customers from purchasing our services, which would also materially harm our business. In addition, any public announcements of the results of any proceedings in third-party infringement lawsuits could be negatively perceived by industry or financial analysts and investors and could cause our stock price to experience volatility or decline. Further, the expense of litigation and the timing of this expense from period to period are difficult to estimate, subject to change and could adversely affect our results of operations.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success of our business depends in part on our ability to protect and enforce our intellectual property rights.</w:t>
      </w:r>
    </w:p>
    <w:p>
      <w:pPr>
        <w:spacing w:after="0" w:line="270"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all of which provide only limited protection. The efforts we have taken to protect our intellectual property rights may not be sufficient or effective, and our patents, trademarks and copyrights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 Additionally, the U.S. Patent and Trademark Office and various foreign governmental patent agencies require compliance with a number of procedural, documentary, fee payment and other similar provisions during the patent application process and to maintain issued patents. There are situations in which noncompliance can result in abandonment or lapse of the patent or patent application, resulting in partial or complete loss of patent rights in the relevant jurisdiction. If this occurs, it could materially harm our business, operating results, financial condition and prospects.</w:t>
      </w:r>
    </w:p>
    <w:p>
      <w:pPr>
        <w:spacing w:after="0" w:line="203"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may not be effective in policing unauthorized use of our intellectual property rights, and even if we do detect violations, litigation may be necessary to enforce our intellectual property rights. In addition, our intellectual property may be stolen, including by cybercrimes, and we may not be able to identify the perpetrators or prevent the exploitation of our intellectual property by our competitors or others.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either of which could harm our business, operating results and financial condition. Further, attempts to enforce our rights against third parties could also provoke these third parties to assert their own intellectual property or other rights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4" w:name="page85"/>
    <w:bookmarkEnd w:id="8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or result in a holding that invalidates or narrows the scope of our rights, in whole or in part. The inability to adequately protect and enforce our intellectual property and other proprietary rights could seriously harm our business, operating results, financial condition and prospects.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Adverse economic conditions or reduced IT security spending may adversely impact our revenue and profitability.</w:t>
      </w:r>
    </w:p>
    <w:p>
      <w:pPr>
        <w:spacing w:after="0" w:line="27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Our operations and performance depend in part on worldwide economic conditions and the impact these conditions have on levels of spending on IT networking and security solutions. Our business depends on the overall demand for these solutions and on the economic health and general willingness of our current and prospective customers to purchase our security services. A broad reduction in IT security spending would have a material impact to our business.</w:t>
      </w:r>
    </w:p>
    <w:p>
      <w:pPr>
        <w:spacing w:after="0" w:line="176"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The United States and the global economy have recently experienced historically high levels of inflation. The existence of inflation in the U.S. and global economy, the pricing pressure created by rising inflation in prior periods and changes to trade regulations including tariffs may result in high interest rates and capital costs, high shipping costs, supply shortages, increased costs of labor, weakening exchange rates, reduced demand, and other similar effects. Elevated inflation rates can affect our expenses, especially employee compensation. In addition, rising interest rates could adversely affect the value of our investments and cash on hand and increase our borrowing costs. Further, the recent conflict in the Middle East has disrupted global energy markets, causing actual or perceived energy shortages and increased energy costs. Inflation and related increases in interest rates, elevated energy costs and energy shortages could increase our customers' operating costs and disrupt their operations, which could result in reduced IT budgets, less demand for our solutions or delays in new orders, renewals or payments due to us.</w:t>
      </w:r>
    </w:p>
    <w:p>
      <w:pPr>
        <w:spacing w:after="0" w:line="184"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Governments have and are implementing fiscal policy interventions in response to high levels of inflation, including raising interest rates or keeping them at elevated levels. Even if these interventions lower inflation to desirable levels, they may also reduce economic growth rates, create recessions and increase unemployment rates. This could have an adverse effect on our consolidated financial condition and results of operations. For example, if our customers were to reduce their IT budgets or workforces in response to deteriorating economic conditions, they may not purchase or renew subscriptions for our services or may renew for fewer users or less expensive services. These policy changes have provided a benefit to us as a result of the increased interest income we earn on our cash and investments, but a reduction of interest rates in the future would reduce this income.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impact of global economic conditions could materially and adversely affect our business, operating results and financial condition.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Risks Relating to Legal, Regulatory, Accounting and Tax Matters</w:t>
      </w:r>
    </w:p>
    <w:p>
      <w:pPr>
        <w:spacing w:after="0" w:line="2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laws and regulations applicable to our business could subject us to fines and penalties.</w:t>
      </w:r>
    </w:p>
    <w:p>
      <w:pPr>
        <w:spacing w:after="0" w:line="270"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Our business is subject to regulation by various federal, state, local and foreign governmental agencies, including agencies responsible for monitoring and enforcing laws and regulations relating to privacy, data protection, information security and cybersecurity, employment and labor laws, workplace safety, product safety, environmental laws, consumer protection laws, anti-bribery laws, import and export controls, federal securities laws and tax laws and regulations. In addition, emerging tools and technologies we utilize in providing our products, like AI and ML, are subject to regulation under new laws as well as new applications of existing laws. In certain jurisdictions, these regulatory requirements may be more stringent than in the United States. These laws and regulations impose added costs on our business. Noncompliance with applicable regulations or requirements could subject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5" w:name="page86"/>
    <w:bookmarkEnd w:id="8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investigations, enforcement actions and sanctions;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changes to our cloud platform;</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disgorgement of profits, fines and damages;</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 or injunctions;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damages by our customers or channel partners;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contracts;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intellectual property rights.</w:t>
      </w:r>
    </w:p>
    <w:p>
      <w:pPr>
        <w:spacing w:after="0" w:line="266"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If any government sanctions are imposed, or if we do not prevail in any possible civil or criminal litigation, our business, operating results and financial condition could be adversely affected. In addition, responding to any action will likely result in a significant diversion of management’s attention and resources and an increase in professional fees. Enforcement actions and sanctions could materially harm our business, operating results and financial condition.</w:t>
      </w:r>
    </w:p>
    <w:p>
      <w:pPr>
        <w:spacing w:after="0" w:line="176"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As a global employer, we are subject to various labor laws, including worker classification laws, that impact compliance obligations regarding working time, proper payment for time worked, time off regulations, as well as anti-retaliation, discrimination and harassment policies and compliance with employee representative rights. We take reasonable efforts to comply with applicable labor laws and regulations impacting our workforce, but failure to comply with such laws could result in government enforcement actions and penalties, may negatively impact business operations and may be harmful to our reputation and our ability to attract and retain employees.</w:t>
      </w:r>
    </w:p>
    <w:p>
      <w:pPr>
        <w:spacing w:after="0" w:line="18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These laws and regulations impose added costs on our business, and failure to comply with these or other applicable regulations and requirements could lead to claims for damages from our channel partners or customers, penalties, termination of contracts and loss of exclusive rights in our intellectual property.</w:t>
      </w:r>
    </w:p>
    <w:p>
      <w:pPr>
        <w:spacing w:after="0" w:line="185"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we were not able to satisfy data protection, security, privacy and other government- and industry-specific requirements or regulations, our business, results of operations and financial condition could be harmed.</w:t>
      </w:r>
    </w:p>
    <w:p>
      <w:pPr>
        <w:spacing w:after="0" w:line="159"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The regulatory framework for privacy, data protection and security matters are rapidly evolving and are likely to remain volatile for the foreseeable future. Our handling of personal data is subject to various data protection, cybersecurity, information security and other telecommunications regulations or requirements where we offer our solutions around the world. We also may find it necessary or desirable to join industry or other self-regulatory bodies or other cybersecurity or information security or data protection-related organizations that require us to comply with rules pertaining to privacy, data protection, cybersecurity and information security. Further, we may be bound by additional, more stringent contractual obligations and other actual and asserted obligations, such as industry standards, relating to our collection, use and disclosure of personal, financial and other data. Changes in laws or regulations that adversely affect the use of the internet, including laws impacting net neutrality, could also impact our business.</w:t>
      </w:r>
    </w:p>
    <w:p>
      <w:pPr>
        <w:spacing w:after="0" w:line="184"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The U.S. federal government, and various state and foreign governments, have adopted or proposed laws and regulations on the collection, distribution, use, storage, transfer and other processing of information relating to individuals. Such laws and regulations may, among other things, require companies to implement privacy and security policies, permit customers to access, correct and delete information stored or maintained by companies, inform individuals of security breaches that affect their information and, in some cases, obtain individuals’ consent to use information for certain purposes. Numerous U.S. states have enacted, and others are expected to enact, privacy laws, and a federal privacy law is being considered. In addition,</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6" w:name="page87"/>
    <w:bookmarkEnd w:id="8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in certain jurisdictions, regulatory requirements may be more stringent than those in the U.S. For example, the European Union's General Data Protection Regulation, provides for substantial obligations relating to the handling, storage, disclosure, transfer and other processing of information relating to individuals and fines of up to €20 million or 4% of the annual global revenue of the noncompliant company, whichever is greater. Furthermore, cross-border data transfers face increasing restrictions and compliance requirements. Various countries have implemented or are considering data residency requirements that could limit our ability to provide global services efficiently or require significant infrastructure investments. In addition, the number of emerging and existing data protection, privacy and security laws and regulations creates the risk that obligations may be interpreted inconsistently between jurisdictions, which may make it difficult for us to comply with our privacy, data protection and security obligations globally.</w:t>
      </w:r>
    </w:p>
    <w:p>
      <w:pPr>
        <w:spacing w:after="0" w:line="211"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AI laws and regulations, such as the European Union's AI Act, impose compliance obligations on AI systems that process personal data. Such laws and regulations may, among other things, require risk assessments specific to AI, changes to data governance practices and enhancing transparency disclosures that supplement existing data protection requirements. The AI regulatory landscape is fragmented and uncertain, with various countries considering or enacting differing AI-specific laws and regulations to govern the emerging technology. This creates significant regulatory uncertainty about which compliance standards will ultimately govern our operations and solutions.</w:t>
      </w:r>
    </w:p>
    <w:p>
      <w:pPr>
        <w:spacing w:after="0" w:line="207"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We expect that there will continue to be new proposed laws, regulations and industry standards concerning privacy, data protection, cybersecurity, information security and telecommunications services in the jurisdictions in which we operate or may operate, and we cannot yet determine the impact such future laws, regulations and standards may have on our business. Needing to address new obligations and changes in the interpretation of existing obligations could require us to modify our solutions, restrict our business operations, increase our costs and impair our ability to maintain and grow our customer base and increase our revenue. New and evolving requirements may increase compliance costs, lead to increased regulatory scrutiny or liability, may require additional contractual negotiations and may adversely impact our business, financial condition and operating results. Any failure or perceived failure by us to comply with applicable laws, regulations, standards or actual or asserted obligations, or any actual, perceived or purported security breach or other security incident, whether or not resulting in unauthorized access to, or acquisition, release or transfer of, information relating to individuals or other data, may result in governmental investigations, enforcement actions and other proceedings, private claims and litigation, fines and penalties or adverse publicity, and could cause our customers and prospective customers to lose trust in us, which could have an adverse effect on our reputation and business.</w:t>
      </w:r>
    </w:p>
    <w:p>
      <w:pPr>
        <w:spacing w:after="0" w:line="213" w:lineRule="exact"/>
        <w:rPr>
          <w:sz w:val="20"/>
          <w:szCs w:val="20"/>
          <w:color w:val="auto"/>
        </w:rPr>
      </w:pPr>
    </w:p>
    <w:p>
      <w:pPr>
        <w:jc w:val="both"/>
        <w:ind w:firstLine="324"/>
        <w:spacing w:after="0" w:line="349"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import and export controls and trade and economic sanctions and other trade controls including tariffs that could impair our ability to compete in international markets and subject us to liability if we are not in full compliance with applicable laws.</w:t>
      </w:r>
    </w:p>
    <w:p>
      <w:pPr>
        <w:spacing w:after="0" w:line="145"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Our business activities are subject to various restrictions under U.S. export and similar laws and regulations, including the U.S. Department of Commerce's Export Administration Regulations and various economic and trade sanctions regulations administered by the U.S. Department of the Treasury's Office of Foreign Assets Control. U.S. export controls and trade and economic sanctions include restrictions or prohibitions on the sale or supply of certain products and services to U.S. embargoed or sanctioned countries and governments of these countries, as well as other persons and entities. For example, the U.S. and other countries have continued to implement increased economic and other sanctions, as well as increased export controls in response to the current conflict between Russia and Ukraine and other geopolitical conflicts. These export controls and sanctions and any additional restrictions may impact our ability to operate in Russia and other affected regions. In addition, various countries regulate the import of certain technology and have enacted or could enact laws that could limit our ability to provide our services and software and operate our cloud platform or could limit our customers’ ability to access or use our services or software in those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7" w:name="page88"/>
    <w:bookmarkEnd w:id="8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Although we take precautions to prevent our services and software from being provided in violation of such laws, our services and software may have been in the past, and could in the future be, provided inadvertently in violation of such laws, despite the precautions we take. If we fail to comply with these laws and regulations, we and certain of our employees could be subject to civil or criminal penalties, including the possible loss of export privileges and fines. We may also be materially and adversely affected through penalties, reputational harm, loss of access to certain markets or otherwise. Obtaining the necessary authorizations, including any required licenses, for a particular transaction may be costly or time-consuming, is not guaranteed and may result in the delay or loss of sales opportunities.</w:t>
      </w:r>
    </w:p>
    <w:p>
      <w:pPr>
        <w:spacing w:after="0" w:line="185"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addition, changes in our platform; export, sanctions and import laws and regulations; or tariffs and other trade regulations could delay the introduction of our products, reduce the sale of subscriptions to our platform in international markets, prevent users in certain countries from accessing our services or, in some cases, prevent the provision of our services to certain countries, governments, persons or entities altogether. Any change or threatened change in export or import regulations, tariffs, economic sanctions or related laws, shift in the enforcement or scope of existing regulations or change in the countries, governments, persons or technologies targeted by such regulations could decrease or eliminate our ability to sell subscriptions to our platform or provide software to existing customers or potential new customers with international operations. Any limitation in our ability to sell subscriptions to our platform or provide software could materially and adversely affect our business, results of operations and financial condition.</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operating results.</w:t>
      </w:r>
    </w:p>
    <w:p>
      <w:pPr>
        <w:spacing w:after="0" w:line="256"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The vast majority of our sales contracts are denominated in U.S. dollars, and therefore, substantially all of our revenue is not subject to foreign currency risk. However, a strengthening of the U.S. dollar could increase the real cost of our solutions to our customers outside of the United States, which could adversely affect our financial condition and operating results. In addition, a portion of our operating expenses is incurred outside the United States and denominated in foreign currencies, which are subject to fluctuations due to changes in foreign currency exchange rates. A weakening U.S. dollar could increase the cost of these foreign currency-denominated expenses in dollar terms. We are also exposed to the impact of currency fluctuations on certain assets and liabilities denominated in nonfunctional currencies.</w:t>
      </w:r>
    </w:p>
    <w:p>
      <w:pPr>
        <w:spacing w:after="0" w:line="185"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We have a foreign currency risk management program, in which we enter into foreign currency forward contracts which we designate as cash flow hedges. We also use foreign currency forward contracts to mitigate variability in gains and losses generated from the remeasurement of certain monetary assets and liabilities denominated in foreign currencies. The use of these hedging activities may not be successful in effectively mitigating the potentially adverse impact on our financial statements due to unfavorable movements in foreign currency exchange rates.</w:t>
      </w:r>
    </w:p>
    <w:p>
      <w:pPr>
        <w:spacing w:after="0" w:line="223"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If we become more exposed to currency fluctuations and are not able to successfully hedge against the risks associated with currency fluctuations, our operating results could be materially and adversely affected. Further, unanticipated changes in currency exchange rates may result in poorer overall financial performance than if we had not engaged in any such hedging transactions.</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default risks.</w:t>
      </w:r>
    </w:p>
    <w:p>
      <w:pPr>
        <w:spacing w:after="0" w:line="25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have numerous arrangements with financial institutions that include cash and investment deposits, and non-collateralized capped call contracts, interest rate swap contracts and foreign currency forward contracts. As a result, we are subject to the risk that the counterparty to one or more of these arrangements may default on its performance under the terms of the arrangement. In times of market distress, a counterparty may default rapidly and without notice, and we may be unable to take action to cover our exposure, either because of lack of contractual ability to do so or because market conditions make it difficult to take effective action. If one of our counterparties becomes insolvent or files for bankruptcy, our ability eventually to recover any losses suffered as a result of that counterparty’s default may be limited by the impaired liquidity of the counterparty or the applicable legal regime governing the bankruptcy proceedings. In the event of such a default,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8" w:name="page89"/>
    <w:bookmarkEnd w:id="8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could incur significant losses, which could harm our business and adversely affect our results of operations and financial condition.</w:t>
      </w:r>
    </w:p>
    <w:p>
      <w:pPr>
        <w:spacing w:after="0" w:line="262"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72"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We are expanding our international operations and staff to support our business in international markets. Our corporate structure and associated transfer pricing policies contemplate the business flows and future growth into the international markets, and consider the functions, risks and assets of the various entities involved in the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For example, certain jurisdictions have recently introduced a digital services tax, which is generally a tax on gross revenue generated from users or customers located in those jurisdictions, and other jurisdictions are considering enacting similar laws. The taxing authorities of the jurisdictions in which we operate may challenge our methodologies for pricing intercompany transactions pursuant to the intercompany arrangements or disagree with our determinations as to the income and expenses attributable to specific jurisdictions. If such a challenge or disagreement were to occur, and our position was not sustained, or if there are changes in tax laws or the way existing tax laws are interpreted or applied,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85"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Many countries are beginning to implement legislation and other guidance to align their international tax rules with the OECD's Base Erosion and Profit Shifting recommendations and action plan that aim to standardize and modernize global corporate tax policy, including changes to cross-border tax, transfer pricing documentation rules and nexus-based tax incentive practices. The OECD is also continuing discussions surrounding fundamental changes in the allocation of profits among tax jurisdictions in which companies do business, as well as the implementation of a global minimum tax (namely the “Pillar One” and “Pillar Two” proposals). On January 5, 2026, the OECD announced a side-by-side elective safe harbor that would exempt electing U.S.-parented multinationals from certain provisions of Pillar Two for fiscal years beginning on or after January 1, 2026. However, this safe harbor does not provide an exemption from the "qualified domestic minimum top-up taxes" that many countries have enacted or begun the process of enacting laws based on Pillar Two proposals, which may adversely impact our provision for income taxes, net income and cash flows.</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and certain other tax attributes may be limited.</w:t>
      </w:r>
    </w:p>
    <w:p>
      <w:pPr>
        <w:spacing w:after="0" w:line="283"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As of July 31, 2025, we had net operating loss carryforwards for U.S. federal income tax purposes and state income tax purposes of approximately $1,057.0 million and $504.7 million, respectively, available to offset future taxable income. Beginning in 2025, $426.8 million of state net operating losses began to expire at different periods. The remaining $77.9 million of state net operating losses will carry forward indefinitely. As of July 31, 2025, we had foreign net operating loss carryforward of $87.7 million, all of which will be carried forward indefinitely.</w:t>
      </w:r>
    </w:p>
    <w:p>
      <w:pPr>
        <w:spacing w:after="0" w:line="183"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As of July 31, 2025, we also had U.S. federal, California, and foreign research and development and other tax credit carryforwards of $192.8 million, $102.6 million and $2.1 million, respectively. If not utilized, the federal research and development tax credit carryforwards will begin expiring at different periods beginning in 2037. Our California research and development tax credits may be carried forward indefinitely. Foreign tax credits will begin to expire in the fiscal year ending July 31, 2033. Realization of these net operating loss and research and development tax credit carryforwards depends on future income, and there is a risk that a portion of our existing carryforwards could expire unused and be unavailable to offset future income tax liabilities, which could materially and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89" w:name="page90"/>
    <w:bookmarkEnd w:id="8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In addition, under Section 382 of the Internal Revenue Code of 1986, as amended, if a corporation undergoes an "ownership change," generally defined as a greater than 50% change (by value) in its equity ownership by "5% shareholders" over a three-year period, the corporation’s ability to use its pre-change net operating loss carryforwards and other pre-change tax attributes, such as research and development tax credits, to offset its post-change income may be limited. As a result, in the event that it is determined that we have in the past experienced an ownership change, or if we experience one or more ownership changes in the future as a result of subsequent shifts in our stock ownership, our ability to use our pre-change net operating loss carryforwards and other pre-change tax attributes to offset our U.S. federal tax liability may be subject to limitations, which could potentially result in increased future tax liability to us. Furthermore, our state carryforwards may be subject to similar and additional limitations.</w:t>
      </w:r>
    </w:p>
    <w:p>
      <w:pPr>
        <w:spacing w:after="0" w:line="180" w:lineRule="exact"/>
        <w:rPr>
          <w:sz w:val="20"/>
          <w:szCs w:val="20"/>
          <w:color w:val="auto"/>
        </w:rPr>
      </w:pPr>
    </w:p>
    <w:p>
      <w:pPr>
        <w:jc w:val="both"/>
        <w:ind w:firstLine="324"/>
        <w:spacing w:after="0" w:line="349" w:lineRule="auto"/>
        <w:rPr>
          <w:sz w:val="20"/>
          <w:szCs w:val="20"/>
          <w:color w:val="auto"/>
        </w:rPr>
      </w:pPr>
      <w:r>
        <w:rPr>
          <w:rFonts w:ascii="Times New Roman" w:cs="Times New Roman" w:eastAsia="Times New Roman" w:hAnsi="Times New Roman"/>
          <w:sz w:val="18"/>
          <w:szCs w:val="18"/>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operating results.</w:t>
      </w:r>
    </w:p>
    <w:p>
      <w:pPr>
        <w:spacing w:after="0" w:line="145"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materially and adversely affect our operating results.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Ownership of Our Common Stock</w:t>
      </w:r>
    </w:p>
    <w:p>
      <w:pPr>
        <w:spacing w:after="0" w:line="266"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The concentration of our stock ownership with insiders will likely limit your ability to influence corporate matters, including the ability to influence the outcome of director elections and other matters requiring stockholder approval.</w:t>
      </w:r>
    </w:p>
    <w:p>
      <w:pPr>
        <w:spacing w:after="0" w:line="159"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As of April 30, 2026, our executive officers, directors, current 5% or greater stockholders and affiliated entities together beneficially owned approximately 34.9% of our common stock outstanding with Jay Chaudhry, our Chief Executive Officer and chairman of our board of directors, and his affiliates beneficially owning approximately 16.6% of our common stock. As a result, these stockholders, acting together, will have significant control over most matters that require approval by our stockholders, including the election of directors and approval of significant corporate transactions. Corporate action might be taken even if other stockholders oppose them. This concentration of ownership might also have the effect of delaying or preventing a change of control of us that other stockholders may view as beneficial.</w:t>
      </w:r>
    </w:p>
    <w:p>
      <w:pPr>
        <w:spacing w:after="0" w:line="181" w:lineRule="exact"/>
        <w:rPr>
          <w:sz w:val="20"/>
          <w:szCs w:val="20"/>
          <w:color w:val="auto"/>
        </w:rPr>
      </w:pPr>
    </w:p>
    <w:p>
      <w:pPr>
        <w:jc w:val="both"/>
        <w:ind w:firstLine="324"/>
        <w:spacing w:after="0" w:line="323"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common stock.</w:t>
      </w:r>
    </w:p>
    <w:p>
      <w:pPr>
        <w:spacing w:after="0" w:line="167"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76" w:lineRule="exact"/>
        <w:rPr>
          <w:sz w:val="20"/>
          <w:szCs w:val="20"/>
          <w:color w:val="auto"/>
        </w:rPr>
      </w:pPr>
    </w:p>
    <w:p>
      <w:pPr>
        <w:ind w:left="660" w:hanging="328"/>
        <w:spacing w:after="0" w:line="344"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three-year staggered terms, which could delay the ability of stockholders to change the membership of a majority of our board of directors;</w:t>
      </w:r>
    </w:p>
    <w:p>
      <w:pPr>
        <w:spacing w:after="0" w:line="149"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0" w:name="page91"/>
    <w:bookmarkEnd w:id="9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line="329"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344"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149"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chairperson of our board of directors, chief executive officer or president (in the absence of a chief executive officer) or a majority vote of our board of directors, which could delay the ability of our stockholders to force consideration of a proposal or to take action, including the removal of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the affirmative vote of holders of at least 66 2⁄3% of the voting power of all of the then outstanding shares of the voting stock,</w:t>
      </w:r>
    </w:p>
    <w:p>
      <w:pPr>
        <w:spacing w:after="0" w:line="63" w:lineRule="exact"/>
        <w:rPr>
          <w:rFonts w:ascii="Times New Roman" w:cs="Times New Roman" w:eastAsia="Times New Roman" w:hAnsi="Times New Roman"/>
          <w:sz w:val="18"/>
          <w:szCs w:val="18"/>
          <w:color w:val="auto"/>
        </w:rPr>
      </w:pPr>
    </w:p>
    <w:p>
      <w:pPr>
        <w:jc w:val="both"/>
        <w:ind w:left="6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together as a single class, to amend the provisions of our amended and restated certificate of incorporation relating to the issuance of preferred stock and management of our business or our amended and restated bylaws, which may inhibit the ability of an acquirer to affect such amendments to facilitate an unsolicited takeover attempt;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by majority vote, to amend our amended and restated bylaws, which may allow our board of directors to take additional actions to prevent an unsolicited takeover and inhibit the ability of an acquirer to amend our amended and restated bylaws to facilitate an unsolicited takeover attempt; and</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313"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These provisions may prohibit large stockholders, in particular those owning 15% or more of our outstanding voting stock, from merging or combining with us for a certain period of time.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you could lose all or part of your investment.</w:t>
      </w:r>
    </w:p>
    <w:p>
      <w:pPr>
        <w:spacing w:after="0" w:line="270"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The market price of our common stock has fluctuated substantially and may fluctuate significantly in the future in response to a number of factors, including those described in this "Risk Factors" section, many of which are beyond our control and may not be related to our operating performance. These fluctuations could cause you to lose all or part of your investment in our common stock. Factors that could cause fluctuations in the market price of our common stock include the following:</w:t>
      </w:r>
    </w:p>
    <w:p>
      <w:pPr>
        <w:spacing w:after="0" w:line="196"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or fluctuations in our operating results;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6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or new or terminated significant contracts, commercial relationships or capital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or financial analyst or investor reaction to our press releases, other public announcements and filings with the SEC;</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1" w:name="page92"/>
    <w:bookmarkEnd w:id="91"/>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 fluctuations in the trading of our common stock from time to time;</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our industry in particular;</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of shares of our common stock by us or our stockholders;</w:t>
      </w:r>
    </w:p>
    <w:p>
      <w:pPr>
        <w:spacing w:after="0" w:line="306" w:lineRule="exact"/>
        <w:rPr>
          <w:rFonts w:ascii="Times New Roman" w:cs="Times New Roman" w:eastAsia="Times New Roman" w:hAnsi="Times New Roman"/>
          <w:sz w:val="18"/>
          <w:szCs w:val="18"/>
          <w:color w:val="auto"/>
        </w:rPr>
      </w:pPr>
    </w:p>
    <w:p>
      <w:pPr>
        <w:ind w:left="660" w:right="20" w:hanging="328"/>
        <w:spacing w:after="0" w:line="291" w:lineRule="auto"/>
        <w:tabs>
          <w:tab w:leader="none" w:pos="655" w:val="left"/>
        </w:tabs>
        <w:numPr>
          <w:ilvl w:val="0"/>
          <w:numId w:val="39"/>
        </w:numPr>
        <w:rPr>
          <w:rFonts w:ascii="Arial" w:cs="Arial" w:eastAsia="Arial" w:hAnsi="Arial"/>
          <w:sz w:val="22"/>
          <w:szCs w:val="22"/>
          <w:color w:val="auto"/>
        </w:rPr>
      </w:pPr>
      <w:r>
        <w:rPr>
          <w:rFonts w:ascii="Times New Roman" w:cs="Times New Roman" w:eastAsia="Times New Roman" w:hAnsi="Times New Roman"/>
          <w:sz w:val="18"/>
          <w:szCs w:val="18"/>
          <w:color w:val="auto"/>
        </w:rPr>
        <w:t>issuances of shares of our common stock, whether in connection with an acquisition or upon conversion of some or all of our outstanding 2028 Notes;</w:t>
      </w:r>
    </w:p>
    <w:p>
      <w:pPr>
        <w:spacing w:after="0" w:line="184" w:lineRule="exact"/>
        <w:rPr>
          <w:rFonts w:ascii="Arial" w:cs="Arial" w:eastAsia="Arial" w:hAnsi="Arial"/>
          <w:sz w:val="22"/>
          <w:szCs w:val="22"/>
          <w:color w:val="auto"/>
        </w:rPr>
      </w:pPr>
    </w:p>
    <w:p>
      <w:pPr>
        <w:ind w:left="660" w:hanging="328"/>
        <w:spacing w:after="0" w:line="329"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industry or financial analysts to maintain coverage of us, changes in financial estimates by any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or our competitors’ businesses or the competitive landscape generally;</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us, our industry or both, or investigations by regulators into our operations or those of our competitors;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rights or our solutions, or third-party proprietary rights;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privacy, data protection, or security incidents or breaches;</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and market perceptions regarding AI-related disruption to software companies and the cybersecurity industry;</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our business and our responses thereto;</w:t>
      </w:r>
    </w:p>
    <w:p>
      <w:pPr>
        <w:spacing w:after="0" w:line="2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changes in our management or our board of directors, particularly with respect to Mr. Chaudhry;</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our markets; and</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incidents of terrorism, global pandemics or responses to these events.</w:t>
      </w:r>
    </w:p>
    <w:p>
      <w:pPr>
        <w:spacing w:after="0" w:line="266"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2" w:name="page93"/>
    <w:bookmarkEnd w:id="92"/>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b w:val="1"/>
          <w:bCs w:val="1"/>
          <w:i w:val="1"/>
          <w:iCs w:val="1"/>
          <w:color w:val="auto"/>
        </w:rPr>
        <w:t>Sales of substantial amounts of our common stock in the public markets, or the perception that they might occur, as well as any issuances of our common stock in connection with the conversion of the 2028 Notes or other securities convertible or exercisable into shares of our common stock, could reduce the price that our common stock might otherwise attain and may dilute your voting power and your ownership interest in us.</w:t>
      </w:r>
    </w:p>
    <w:p>
      <w:pPr>
        <w:spacing w:after="0" w:line="188"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particularly sales by our directors, executive officers and significant stockholders, or the perception that these sales could occur, could adversely affect the market price of our common stock and may make it more difficult for you to sell your common stock at a time and price that you deem appropriate.</w:t>
      </w:r>
    </w:p>
    <w:p>
      <w:pPr>
        <w:spacing w:after="0" w:line="176"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may also issue our shares of common stock or securities convertible or exercisable into shares of our common stock from time to time in connection with a financing, acquisition, investments or otherwise. Any such issuance could result in substantial dilution to our existing stockholders, cause the market price of our common stock to decline and dilute your voting power. For instance, prior to April 15, 2028, our 0.0% Convertible Senior Notes due 2028, or the 2028 Notes, are convertible at the option of the holders only under certain conditions or upon the occurrence of certain events. After April 15, 2028, holders may convert all or any portion of the 2028 Notes at their option at any time. If one or more holders elect to convert their 2028 Notes and we elect to settle all or any portion of such conversions in shares of our common stock, any sales in the public market of the common stock issuable upon such conversion could adversely affect prevailing market prices of our common stock. In addition, certain holders of the 2028 Notes may engage in short selling to hedge their position in the 2028 Notes. Any anticipated future issuances of shares of our common stock upon conversion of the 2028 Notes could also depress the price of our common stock.</w:t>
      </w:r>
    </w:p>
    <w:p>
      <w:pPr>
        <w:spacing w:after="0" w:line="207"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159"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currently intend to retain all available funds and any future earnings for use in the operation of our business and do not anticipate paying any dividends on our common stock in the foreseeable future. Any determination to pay dividends in the future will be at the discretion of our board of directors. Accordingly, investors must rely on sales of their common stock after price appreciation, which may never occur, as the only way to realize any future gains on their investments.</w:t>
      </w:r>
    </w:p>
    <w:p>
      <w:pPr>
        <w:spacing w:after="0" w:line="172"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industry or financial analysts issue inaccurate or unfavorable research regarding our common stock, our stock price and trading volume could decline.</w:t>
      </w:r>
    </w:p>
    <w:p>
      <w:pPr>
        <w:spacing w:after="0" w:line="159"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The trading market for our common stock is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3" w:name="page94"/>
    <w:bookmarkEnd w:id="93"/>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324"/>
        <w:spacing w:after="0" w:line="315"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provides that the Court of Chancery of the State of Delaware and the federal district courts of the United States are the exclusive forums for substantially all disputes between us and our stockholders, which could limit our stockholders’ ability to obtain a favorable judicial forum for disputes with us or our directors, officers or employees.</w:t>
      </w:r>
    </w:p>
    <w:p>
      <w:pPr>
        <w:spacing w:after="0" w:line="1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amended and restated certificate of incorporation provides that the Court of Chancery of the State of Delaware is the exclusive forum for:</w:t>
      </w:r>
    </w:p>
    <w:p>
      <w:pPr>
        <w:spacing w:after="0" w:line="266"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derivative action or proceeding brought on our behalf;</w:t>
      </w:r>
    </w:p>
    <w:p>
      <w:pPr>
        <w:spacing w:after="0" w:line="26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breach of fiduciary duty;</w:t>
      </w:r>
    </w:p>
    <w:p>
      <w:pPr>
        <w:spacing w:after="0" w:line="265" w:lineRule="exact"/>
        <w:rPr>
          <w:rFonts w:ascii="Times New Roman" w:cs="Times New Roman" w:eastAsia="Times New Roman" w:hAnsi="Times New Roman"/>
          <w:sz w:val="18"/>
          <w:szCs w:val="18"/>
          <w:color w:val="auto"/>
        </w:rPr>
      </w:pPr>
    </w:p>
    <w:p>
      <w:pPr>
        <w:ind w:left="660" w:right="20" w:hanging="328"/>
        <w:spacing w:after="0" w:line="329"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arising under the Delaware General Corporation Law, our amended and restated certificate of incorporation or our amended and restated bylaws;</w:t>
      </w:r>
    </w:p>
    <w:p>
      <w:pPr>
        <w:spacing w:after="0" w:line="175" w:lineRule="exact"/>
        <w:rPr>
          <w:rFonts w:ascii="Times New Roman" w:cs="Times New Roman" w:eastAsia="Times New Roman" w:hAnsi="Times New Roman"/>
          <w:sz w:val="18"/>
          <w:szCs w:val="18"/>
          <w:color w:val="auto"/>
        </w:rPr>
      </w:pPr>
    </w:p>
    <w:p>
      <w:pPr>
        <w:ind w:left="660" w:hanging="328"/>
        <w:spacing w:after="0" w:line="329"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to interpret, apply, enforce or determine the validity of our amended and restated certificate of incorporation or our amended and restated bylaws;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asserting a claim against us that is governed by the internal-affairs doctrine.</w:t>
      </w:r>
    </w:p>
    <w:p>
      <w:pPr>
        <w:spacing w:after="0" w:line="266" w:lineRule="exact"/>
        <w:rPr>
          <w:sz w:val="20"/>
          <w:szCs w:val="20"/>
          <w:color w:val="auto"/>
        </w:rPr>
      </w:pPr>
    </w:p>
    <w:p>
      <w:pPr>
        <w:jc w:val="both"/>
        <w:ind w:firstLine="324"/>
        <w:spacing w:after="0" w:line="329"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the federal district courts of the United States are the exclusive forum for resolving any complaint asserting a cause of action arising under the Securities Act of 1933, as amended.</w:t>
      </w:r>
    </w:p>
    <w:p>
      <w:pPr>
        <w:spacing w:after="0" w:line="162" w:lineRule="exact"/>
        <w:rPr>
          <w:sz w:val="20"/>
          <w:szCs w:val="20"/>
          <w:color w:val="auto"/>
        </w:rPr>
      </w:pPr>
    </w:p>
    <w:p>
      <w:pPr>
        <w:jc w:val="both"/>
        <w:ind w:firstLine="324"/>
        <w:spacing w:after="0" w:line="344" w:lineRule="auto"/>
        <w:rPr>
          <w:sz w:val="20"/>
          <w:szCs w:val="20"/>
          <w:color w:val="auto"/>
        </w:rPr>
      </w:pPr>
      <w:r>
        <w:rPr>
          <w:rFonts w:ascii="Times New Roman" w:cs="Times New Roman" w:eastAsia="Times New Roman" w:hAnsi="Times New Roman"/>
          <w:sz w:val="18"/>
          <w:szCs w:val="18"/>
          <w:color w:val="auto"/>
        </w:rPr>
        <w:t>Each of 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2028 Notes</w:t>
      </w:r>
    </w:p>
    <w:p>
      <w:pPr>
        <w:spacing w:after="0" w:line="266"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Repayment of our debt will require a significant amount of cash, which may impact our cash available for working capital, capital expenditures and other corporate purposes.</w:t>
      </w:r>
    </w:p>
    <w:p>
      <w:pPr>
        <w:spacing w:after="0" w:line="159" w:lineRule="exact"/>
        <w:rPr>
          <w:sz w:val="20"/>
          <w:szCs w:val="20"/>
          <w:color w:val="auto"/>
        </w:rPr>
      </w:pPr>
    </w:p>
    <w:p>
      <w:pPr>
        <w:jc w:val="both"/>
        <w:ind w:firstLine="324"/>
        <w:spacing w:after="0" w:line="319" w:lineRule="auto"/>
        <w:rPr>
          <w:sz w:val="20"/>
          <w:szCs w:val="20"/>
          <w:color w:val="auto"/>
        </w:rPr>
      </w:pPr>
      <w:r>
        <w:rPr>
          <w:rFonts w:ascii="Times New Roman" w:cs="Times New Roman" w:eastAsia="Times New Roman" w:hAnsi="Times New Roman"/>
          <w:sz w:val="18"/>
          <w:szCs w:val="18"/>
          <w:color w:val="auto"/>
        </w:rPr>
        <w:t>On July 3, 2025, we issued $1,725 million in aggregate principal amount of our 0.0% Convertible Senior Notes due 2028, which mature on July 15, 2028. Prior to April 15, 2028, the 2028 Notes are convertible at the option of the holders only under certain conditions or upon the occurrence of certain events. During the quarter ended April 30, 2026, the conditions allowing holders of the 2028 Notes to convert were not met. After April 15, 2028, holders may convert all or any portion of their 2028 Notes at their option at any time. If one or more holders elect to convert their 2028 Notes when eligible, unless we elect to deliver solely shares of our common stock to settle such conversion (other than paying cash in lieu of delivering any fractional share), we will be required to make cash payments in respect of the 2028 Notes being converted.</w:t>
      </w:r>
    </w:p>
    <w:p>
      <w:pPr>
        <w:spacing w:after="0" w:line="212" w:lineRule="exact"/>
        <w:rPr>
          <w:sz w:val="20"/>
          <w:szCs w:val="20"/>
          <w:color w:val="auto"/>
        </w:rPr>
      </w:pPr>
    </w:p>
    <w:p>
      <w:pPr>
        <w:jc w:val="both"/>
        <w:ind w:firstLine="324"/>
        <w:spacing w:after="0" w:line="323" w:lineRule="auto"/>
        <w:rPr>
          <w:sz w:val="20"/>
          <w:szCs w:val="20"/>
          <w:color w:val="auto"/>
        </w:rPr>
      </w:pPr>
      <w:r>
        <w:rPr>
          <w:rFonts w:ascii="Times New Roman" w:cs="Times New Roman" w:eastAsia="Times New Roman" w:hAnsi="Times New Roman"/>
          <w:sz w:val="18"/>
          <w:szCs w:val="18"/>
          <w:color w:val="auto"/>
        </w:rPr>
        <w:t>Additionally, holders of the 2028 Notes have the right to require us to repurchase the 2028 Notes upon the occurrence of a fundamental change (as defined in the indenture governing the 2028 Notes) at a repurchase price equal to 100% of the principal amount of such 2028 Notes to be repurchased, plus accrued and unpaid interest, if any, to, but excluding, the fundamental change repurchase date for such 2028 Notes. If the 2028 Notes have not previously been converted or repurchased, we will be required to repay the 2028 Notes in cash at maturity.</w:t>
      </w:r>
    </w:p>
    <w:p>
      <w:pPr>
        <w:spacing w:after="0" w:line="209" w:lineRule="exact"/>
        <w:rPr>
          <w:sz w:val="20"/>
          <w:szCs w:val="20"/>
          <w:color w:val="auto"/>
        </w:rPr>
      </w:pPr>
    </w:p>
    <w:p>
      <w:pPr>
        <w:jc w:val="both"/>
        <w:ind w:firstLine="324"/>
        <w:spacing w:after="0" w:line="344" w:lineRule="auto"/>
        <w:rPr>
          <w:sz w:val="20"/>
          <w:szCs w:val="20"/>
          <w:color w:val="auto"/>
        </w:rPr>
      </w:pPr>
      <w:r>
        <w:rPr>
          <w:rFonts w:ascii="Times New Roman" w:cs="Times New Roman" w:eastAsia="Times New Roman" w:hAnsi="Times New Roman"/>
          <w:sz w:val="18"/>
          <w:szCs w:val="18"/>
          <w:color w:val="auto"/>
        </w:rPr>
        <w:t>Our ability to make such payments or to refinance our indebtedness, including the 2028 Notes, depends on our future performance, which is subject to economic, financial, competitive and other factors beyond our control. Such payments will</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4" w:name="page95"/>
    <w:bookmarkEnd w:id="94"/>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23" w:lineRule="auto"/>
        <w:rPr>
          <w:sz w:val="20"/>
          <w:szCs w:val="20"/>
          <w:color w:val="auto"/>
        </w:rPr>
      </w:pPr>
      <w:r>
        <w:rPr>
          <w:rFonts w:ascii="Times New Roman" w:cs="Times New Roman" w:eastAsia="Times New Roman" w:hAnsi="Times New Roman"/>
          <w:sz w:val="18"/>
          <w:szCs w:val="18"/>
          <w:color w:val="auto"/>
        </w:rPr>
        <w:t>reduce the funds available to us for working capital, capital expenditures and other corporate purposes and may limit our ability to obtain additional financing for working capital, capital expenditures, expansion plans and other investments. We plan to evaluate, on an ongoing basis, market conditions, our liquidity profile and various financing alternatives (including the issuance of equity, equity-linked or debt securities) for opportunities to enhance our capital structure.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our common stock.</w:t>
      </w:r>
    </w:p>
    <w:p>
      <w:pPr>
        <w:spacing w:after="0" w:line="283"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In connection with the pricing of the 2028 Notes, we entered into privately negotiated capped call transactions with the Option Counterparties. The capped call transactions are expected generally to reduce the potential dilution to our common stock upon conversion of the 2028 Notes and/or offset any cash payments we are required to make in excess of the principal amount of converted 2028 Notes, as the case may be, with such reduction and/or offset subject to a cap.</w:t>
      </w:r>
    </w:p>
    <w:p>
      <w:pPr>
        <w:spacing w:after="0" w:line="122"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2028 Notes. It is likely they will engage in such activity during the observation period related to a conversion of the 2028 Notes, in connection with any fundamental change repurchase of the 2028 Notes and, to the extent that we unwind a corresponding portion of the capped call transactions, following any other repurchase of the 2028 Notes. These activities could influence the market price of our common stock or the 2028 Notes, potentially causing or preventing an increase or decrease in their value.</w:t>
      </w:r>
    </w:p>
    <w:p>
      <w:pPr>
        <w:spacing w:after="0" w:line="20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83" w:lineRule="exact"/>
        <w:rPr>
          <w:sz w:val="20"/>
          <w:szCs w:val="20"/>
          <w:color w:val="auto"/>
        </w:rPr>
      </w:pPr>
    </w:p>
    <w:p>
      <w:pPr>
        <w:jc w:val="both"/>
        <w:ind w:firstLine="324"/>
        <w:spacing w:after="0" w:line="304" w:lineRule="auto"/>
        <w:rPr>
          <w:sz w:val="20"/>
          <w:szCs w:val="20"/>
          <w:color w:val="auto"/>
        </w:rPr>
      </w:pPr>
      <w:r>
        <w:rPr>
          <w:rFonts w:ascii="Times New Roman" w:cs="Times New Roman" w:eastAsia="Times New Roman" w:hAnsi="Times New Roman"/>
          <w:sz w:val="18"/>
          <w:szCs w:val="18"/>
          <w:color w:val="auto"/>
        </w:rPr>
        <w:t>The Option Counterparties are financial institutions, and we are subject to the risk that any or all of them might default under the capped call transactions. Our exposure to the credit risk of the Option Counterparties is not secured by any collateral. Past global economic conditions, including in connection with increases in prevailing interest rates, have resulted in the actual or perceived failure or financial difficulties of many financial institutions.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to an increase in the market price and in the volatility of our common stock. In addition, upon a default by an Option Counterparty, we may suffer adverse tax consequences and/or more dilution than we currently anticipate with respect to our common stock. We can provide no assurance as to the financial stability or viability of any of the Option Counterparties.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79"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Our business is subject to the risks of earthquakes, fire, floods and other natural catastrophic events, and to interruption by man-made problems such as power disruptions, computer viruses, acts of war, international conflicts, terrorism and security breaches or incidents.</w:t>
      </w:r>
    </w:p>
    <w:p>
      <w:pPr>
        <w:spacing w:after="0" w:line="159"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Our corporate headquarters are located in the San Francisco Bay Area, a region known for seismic activity. A significant natural disaster, such as an earthquake, fire, flood or public health emergency, occurring at our headquarters, in India, where we have significant facilities, or where a key channel partner, vendor or exchange is located could adversely affect our business, results of operations and financial condition. Further, if a natural disaster or man-made problem were to affect our component suppliers or other third-party providers, including our network bandwidth and SaaS solution providers, this could materially and adversely affect our ability to provide services in a timely or cost-effective manner.</w:t>
      </w:r>
    </w:p>
    <w:p>
      <w:pPr>
        <w:spacing w:after="0" w:line="18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In addition, natural disasters, acts of war, international conflicts, such as the current conflicts between Russia and Ukraine and in the Middle East, including recent conflicts related to Iran, terrorism and other geopolitical unrest or health issues, such as an outbreak of a pandemic or epidemic disease, or fear of such events, could cause disruptions in our or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5" w:name="page96"/>
    <w:bookmarkEnd w:id="95"/>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8"/>
          <w:szCs w:val="18"/>
          <w:color w:val="auto"/>
        </w:rPr>
        <w:t>customers’ businesses, national economies or the world economy as a whole. In addition, computer malware, viruses and computer hacking, fraudulent use attempts and phishing attacks have become more prevalent in our industry and may become more frequent and effective through the use of AI. As a result,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security breaches and incidents and loss of critical data. Though it is difficult to determine what, if any, harm may directly result from any specific interruption or attack, any failure to maintain performance, reliability, security and availability of our platform to the satisfaction of our users may materially harm our reputation and our ability to retain existing customers and attract new customers.</w:t>
      </w:r>
    </w:p>
    <w:p>
      <w:pPr>
        <w:spacing w:after="0" w:line="194"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and similar laws, and noncompliance with such laws can subject us to criminal penalties or significant fines and harm our business and reputation.</w:t>
      </w:r>
    </w:p>
    <w:p>
      <w:pPr>
        <w:spacing w:after="0" w:line="159" w:lineRule="exact"/>
        <w:rPr>
          <w:sz w:val="20"/>
          <w:szCs w:val="20"/>
          <w:color w:val="auto"/>
        </w:rPr>
      </w:pPr>
    </w:p>
    <w:p>
      <w:pPr>
        <w:jc w:val="both"/>
        <w:ind w:firstLine="324"/>
        <w:spacing w:after="0" w:line="302" w:lineRule="auto"/>
        <w:rPr>
          <w:sz w:val="20"/>
          <w:szCs w:val="20"/>
          <w:color w:val="auto"/>
        </w:rPr>
      </w:pPr>
      <w:r>
        <w:rPr>
          <w:rFonts w:ascii="Times New Roman" w:cs="Times New Roman" w:eastAsia="Times New Roman" w:hAnsi="Times New Roman"/>
          <w:sz w:val="18"/>
          <w:szCs w:val="18"/>
          <w:color w:val="auto"/>
        </w:rPr>
        <w:t>We are subject to the U.S. Foreign Corrupt Practices Act of 1977, the U.K. Bribery Act 2010 and other anti-corruption, anti-bribery, anti-money laundering and similar laws in the United States and other countries in which we conduct activities. Anti-corruption and anti-bribery laws, which have been enforced aggressively and interpreted broadly, prohibit companies and their employees and agents from promising, authorizing, making or offering improper payments or other benefits to government officials and others in the private sector. We leverage third parties, including channel partners, to sell subscriptions to our platform and conduct our business abroad. We and these third-party intermediaries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and agents, even if we do not explicitly authorize such activities. While we have policies and procedures to address compliance with anti-bribery laws, our employees or agents may violate our policies and applicable law, and we could be ultimately held responsible for these violations.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materially harm our reputation, business, results of operations and financial condition.</w:t>
      </w:r>
    </w:p>
    <w:p>
      <w:pPr>
        <w:spacing w:after="0" w:line="377" w:lineRule="exact"/>
        <w:rPr>
          <w:sz w:val="20"/>
          <w:szCs w:val="20"/>
          <w:color w:val="auto"/>
        </w:rPr>
      </w:pPr>
    </w:p>
    <w:p>
      <w:pPr>
        <w:jc w:val="both"/>
        <w:ind w:firstLine="324"/>
        <w:spacing w:after="0" w:line="349"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45" w:lineRule="exact"/>
        <w:rPr>
          <w:sz w:val="20"/>
          <w:szCs w:val="20"/>
          <w:color w:val="auto"/>
        </w:rPr>
      </w:pPr>
    </w:p>
    <w:p>
      <w:pPr>
        <w:jc w:val="both"/>
        <w:ind w:firstLine="324"/>
        <w:spacing w:after="0" w:line="307"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or the Sarbanes-Oxley Act, and the rules and regulations of The Nasdaq Global Select Market, or Nasdaq. The requirements of these rules and regulations will impose significant legal, accounting and financial compliance costs; make some activities more difficult, time-consuming and costly; and place significant strain on our personnel, systems and resources.</w:t>
      </w:r>
    </w:p>
    <w:p>
      <w:pPr>
        <w:spacing w:after="0" w:line="183"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disclosure controls and procedures and internal control over financial reporting. We have developed our disclosure controls, internal control over financial reporting and other procedures to ensure information required to be disclosed by us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80" w:lineRule="exact"/>
        <w:rPr>
          <w:sz w:val="20"/>
          <w:szCs w:val="20"/>
          <w:color w:val="auto"/>
        </w:rPr>
      </w:pPr>
    </w:p>
    <w:p>
      <w:pPr>
        <w:jc w:val="both"/>
        <w:ind w:firstLine="324"/>
        <w:spacing w:after="0" w:line="344" w:lineRule="auto"/>
        <w:rPr>
          <w:sz w:val="20"/>
          <w:szCs w:val="20"/>
          <w:color w:val="auto"/>
        </w:rPr>
      </w:pPr>
      <w:r>
        <w:rPr>
          <w:rFonts w:ascii="Times New Roman" w:cs="Times New Roman" w:eastAsia="Times New Roman" w:hAnsi="Times New Roman"/>
          <w:sz w:val="18"/>
          <w:szCs w:val="18"/>
          <w:color w:val="auto"/>
        </w:rPr>
        <w:t>Our current controls and any new controls we develop may become inadequate because of changes in conditions in our business. Further, weaknesses in our internal controls may be discovered in the future. Any failure to develop or maintain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6" w:name="page97"/>
    <w:bookmarkEnd w:id="96"/>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spacing w:after="0" w:line="305" w:lineRule="auto"/>
        <w:rPr>
          <w:sz w:val="20"/>
          <w:szCs w:val="20"/>
          <w:color w:val="auto"/>
        </w:rPr>
      </w:pPr>
      <w:r>
        <w:rPr>
          <w:rFonts w:ascii="Times New Roman" w:cs="Times New Roman" w:eastAsia="Times New Roman" w:hAnsi="Times New Roman"/>
          <w:sz w:val="18"/>
          <w:szCs w:val="18"/>
          <w:color w:val="auto"/>
        </w:rPr>
        <w:t>effective controls, or any difficulties encountered in their implementation or improvement, could harm our operating results or cause us to fail to meet our reporting obligations and may result in a restatement of our financial statements for prior periods. Any failure to implement and maintain effective internal controls also could adversely affect the results of periodic management evaluations and annual independent registered public accounting firm attestation reports regarding the effectiveness of our internal control over financial reporting that we are required to include in our periodic reports we will file with the SEC under Section 404 of the Sarbanes-Oxley Act. Ineffective disclosure controls and procedures and internal control over financial reporting could also cause investors to lose confidence in our reported financial and other information, which would likely have a negative effect on the market price of our common stock.</w:t>
      </w:r>
    </w:p>
    <w:p>
      <w:pPr>
        <w:spacing w:after="0" w:line="184"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In order to maintain and improve the effectiveness of our disclosure controls and procedures and internal control over financial reporting, we have expended and anticipate we will continue to expend significant resources, including accounting-related costs, and provide significant management oversight. Any failure to maintain the adequacy of our internal controls, or consequent inability to produce accurate financial statements on a timely basis, could increase our operating costs and could materially impair our ability to operate our business. If our internal controls are perceived as inadequate or we are unable to produce timely or accurate financial statements, investors may lose confidence in our operating results and our stock price could decline. In addition, if we are unable to continue to meet these requirements, we may not be able to remain listed on Nasdaq.</w:t>
      </w:r>
    </w:p>
    <w:p>
      <w:pPr>
        <w:spacing w:after="0" w:line="185" w:lineRule="exact"/>
        <w:rPr>
          <w:sz w:val="20"/>
          <w:szCs w:val="20"/>
          <w:color w:val="auto"/>
        </w:rPr>
      </w:pPr>
    </w:p>
    <w:p>
      <w:pPr>
        <w:jc w:val="both"/>
        <w:ind w:firstLine="324"/>
        <w:spacing w:after="0" w:line="309" w:lineRule="auto"/>
        <w:rPr>
          <w:sz w:val="20"/>
          <w:szCs w:val="20"/>
          <w:color w:val="auto"/>
        </w:rPr>
      </w:pPr>
      <w:r>
        <w:rPr>
          <w:rFonts w:ascii="Times New Roman" w:cs="Times New Roman" w:eastAsia="Times New Roman" w:hAnsi="Times New Roman"/>
          <w:sz w:val="18"/>
          <w:szCs w:val="18"/>
          <w:color w:val="auto"/>
        </w:rPr>
        <w:t>Pursuant to Section 404 of the Sarbanes-Oxley Act, we are required to have our independent registered public accounting firm attest to the effectiveness of our internal control over financial reporting. This assessment includes disclosure of any material weaknesses identified by our management in our internal control over financial reporting. We are also required to have our independent registered public accounting firm issue an opinion on the effectiveness of our internal control over financial reporting. During the evaluation and testing process, if we identify one or more material weaknesses in our internal control over financial reporting, we will be unable to assert that our internal controls are effective.</w:t>
      </w:r>
    </w:p>
    <w:p>
      <w:pPr>
        <w:spacing w:after="0" w:line="180" w:lineRule="exact"/>
        <w:rPr>
          <w:sz w:val="20"/>
          <w:szCs w:val="20"/>
          <w:color w:val="auto"/>
        </w:rPr>
      </w:pPr>
    </w:p>
    <w:p>
      <w:pPr>
        <w:jc w:val="both"/>
        <w:ind w:firstLine="324"/>
        <w:spacing w:after="0" w:line="313" w:lineRule="auto"/>
        <w:rPr>
          <w:sz w:val="20"/>
          <w:szCs w:val="20"/>
          <w:color w:val="auto"/>
        </w:rPr>
      </w:pPr>
      <w:r>
        <w:rPr>
          <w:rFonts w:ascii="Times New Roman" w:cs="Times New Roman" w:eastAsia="Times New Roman" w:hAnsi="Times New Roman"/>
          <w:sz w:val="18"/>
          <w:szCs w:val="18"/>
          <w:color w:val="auto"/>
        </w:rPr>
        <w:t>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common stock to decline, and we may be subject to investigation or sanctions by the SEC.</w:t>
      </w:r>
    </w:p>
    <w:p>
      <w:pPr>
        <w:spacing w:after="0" w:line="172" w:lineRule="exact"/>
        <w:rPr>
          <w:sz w:val="20"/>
          <w:szCs w:val="20"/>
          <w:color w:val="auto"/>
        </w:rPr>
      </w:pPr>
    </w:p>
    <w:p>
      <w:pPr>
        <w:jc w:val="both"/>
        <w:ind w:right="20"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72" w:lineRule="exact"/>
        <w:rPr>
          <w:sz w:val="20"/>
          <w:szCs w:val="20"/>
          <w:color w:val="auto"/>
        </w:rPr>
      </w:pPr>
    </w:p>
    <w:p>
      <w:pPr>
        <w:jc w:val="both"/>
        <w:ind w:firstLine="324"/>
        <w:spacing w:after="0" w:line="303"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the consolidated financial statements and accompanying notes. We base our estimates on historical experience and on various other assumptions that we believe to be reasonable under the circumstances, as provided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the consolidated financial statements include those related to determination of revenue recognition, deferred revenue, deferred contract acquisition costs, capitalized internal-use software, valuation of acquired intangible assets, period of benefit generated from our deferred contract acquisition costs, allowance for doubtful accounts, valuation of common stock options and stock-based awards, useful lives of property and equipment, useful lives of acquired intangible assets, recoverability of goodwill, valuation of deferred tax assets and liabilities, loss contingencies related to litigation, fair value of the 2028 Notes and the discount rate used for operating leases.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trading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7" w:name="page98"/>
    <w:bookmarkEnd w:id="97"/>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81" w:lineRule="exact"/>
        <w:rPr>
          <w:sz w:val="20"/>
          <w:szCs w:val="20"/>
          <w:color w:val="auto"/>
        </w:rPr>
      </w:pPr>
    </w:p>
    <w:p>
      <w:pPr>
        <w:jc w:val="both"/>
        <w:ind w:firstLine="324"/>
        <w:spacing w:after="0" w:line="333"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essential financial and operational services, and a failure or disruption in these services could materially and adversely affect our ability to manage our business effectively.</w:t>
      </w:r>
    </w:p>
    <w:p>
      <w:pPr>
        <w:spacing w:after="0" w:line="172" w:lineRule="exact"/>
        <w:rPr>
          <w:sz w:val="20"/>
          <w:szCs w:val="20"/>
          <w:color w:val="auto"/>
        </w:rPr>
      </w:pPr>
    </w:p>
    <w:p>
      <w:pPr>
        <w:jc w:val="both"/>
        <w:ind w:firstLine="324"/>
        <w:spacing w:after="0" w:line="305" w:lineRule="auto"/>
        <w:rPr>
          <w:sz w:val="20"/>
          <w:szCs w:val="20"/>
          <w:color w:val="auto"/>
        </w:rPr>
      </w:pPr>
      <w:r>
        <w:rPr>
          <w:rFonts w:ascii="Times New Roman" w:cs="Times New Roman" w:eastAsia="Times New Roman" w:hAnsi="Times New Roman"/>
          <w:sz w:val="18"/>
          <w:szCs w:val="18"/>
          <w:color w:val="auto"/>
        </w:rPr>
        <w:t>We rely on third parties to provide many essential financial and operational services to support our business. Many of these vendors are less established and have shorter operating histories than traditional software vendors. Moreover, these vendors provide their services to us via a cloud-based model instead of software that is installed on our premises. As a result, we depend upon these vendors to provide us with services that are always available and are free of errors or defects that could cause disruptions in our business processes. Any failure by these vendors to do so, or any disruption in our ability to access the internet, would materially and adversely affect our ability to manage our operations.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litigation that may materially and adversely affect us</w:t>
      </w:r>
      <w:r>
        <w:rPr>
          <w:rFonts w:ascii="Times New Roman" w:cs="Times New Roman" w:eastAsia="Times New Roman" w:hAnsi="Times New Roman"/>
          <w:sz w:val="21"/>
          <w:szCs w:val="21"/>
          <w:b w:val="1"/>
          <w:bCs w:val="1"/>
          <w:i w:val="1"/>
          <w:iCs w:val="1"/>
          <w:color w:val="auto"/>
        </w:rPr>
        <w:t>.</w:t>
      </w:r>
    </w:p>
    <w:p>
      <w:pPr>
        <w:spacing w:after="0" w:line="287" w:lineRule="exact"/>
        <w:rPr>
          <w:sz w:val="20"/>
          <w:szCs w:val="20"/>
          <w:color w:val="auto"/>
        </w:rPr>
      </w:pPr>
    </w:p>
    <w:p>
      <w:pPr>
        <w:jc w:val="both"/>
        <w:ind w:firstLine="324"/>
        <w:spacing w:after="0" w:line="306" w:lineRule="auto"/>
        <w:rPr>
          <w:sz w:val="20"/>
          <w:szCs w:val="20"/>
          <w:color w:val="auto"/>
        </w:rPr>
      </w:pPr>
      <w:r>
        <w:rPr>
          <w:rFonts w:ascii="Times New Roman" w:cs="Times New Roman" w:eastAsia="Times New Roman" w:hAnsi="Times New Roman"/>
          <w:sz w:val="18"/>
          <w:szCs w:val="18"/>
          <w:color w:val="auto"/>
        </w:rPr>
        <w:t>From time to time, we may become, involved in various legal proceedings relating to matters incidental to the ordinary course of our business, including patent, commercial, product liability, employment, class action, whistleblower and other litigation and claims, and governmental and other regulatory investigations and proceedings. Such matters can be time-consuming, divert management’s attention and resources, cause us to incur significant expenses or liability and/or require us to change our business practices. In addition, the expense of litigation and the timing of this expense from period to period are difficult to estimate, subject to change and could adversely affect our results of operations.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8" w:name="page99"/>
    <w:bookmarkEnd w:id="98"/>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(a) Sale of Unregistered Equity Securities</w:t>
      </w:r>
    </w:p>
    <w:p>
      <w:pPr>
        <w:spacing w:after="0" w:line="256" w:lineRule="exact"/>
        <w:rPr>
          <w:sz w:val="20"/>
          <w:szCs w:val="20"/>
          <w:color w:val="auto"/>
        </w:rPr>
      </w:pPr>
    </w:p>
    <w:p>
      <w:pPr>
        <w:jc w:val="both"/>
        <w:ind w:firstLine="450"/>
        <w:spacing w:after="0" w:line="329" w:lineRule="auto"/>
        <w:rPr>
          <w:sz w:val="20"/>
          <w:szCs w:val="20"/>
          <w:color w:val="auto"/>
        </w:rPr>
      </w:pPr>
      <w:r>
        <w:rPr>
          <w:rFonts w:ascii="Times New Roman" w:cs="Times New Roman" w:eastAsia="Times New Roman" w:hAnsi="Times New Roman"/>
          <w:sz w:val="18"/>
          <w:szCs w:val="18"/>
          <w:color w:val="auto"/>
        </w:rPr>
        <w:t>On February 5, 2026, in connection with our acquisition of SquareX, we agreed to issue a total of 220,916 shares of our common stock as deferred consideration for a key employee. A portion of these awards is subject to either time-based vesting or performance conditions.</w:t>
      </w:r>
    </w:p>
    <w:p>
      <w:pPr>
        <w:spacing w:after="0" w:line="162" w:lineRule="exact"/>
        <w:rPr>
          <w:sz w:val="20"/>
          <w:szCs w:val="20"/>
          <w:color w:val="auto"/>
        </w:rPr>
      </w:pPr>
    </w:p>
    <w:p>
      <w:pPr>
        <w:jc w:val="both"/>
        <w:ind w:firstLine="450"/>
        <w:spacing w:after="0" w:line="306" w:lineRule="auto"/>
        <w:rPr>
          <w:sz w:val="20"/>
          <w:szCs w:val="20"/>
          <w:color w:val="auto"/>
        </w:rPr>
      </w:pPr>
      <w:r>
        <w:rPr>
          <w:rFonts w:ascii="Times New Roman" w:cs="Times New Roman" w:eastAsia="Times New Roman" w:hAnsi="Times New Roman"/>
          <w:sz w:val="18"/>
          <w:szCs w:val="18"/>
          <w:color w:val="auto"/>
        </w:rPr>
        <w:t>The foregoing transaction did not involve any underwriters, any underwriting discounts or commissions, or any public offering. We believe the offer, sale and issuance of the above securities was exempt from registration under the Securities Act by virtue of Section 4(a)(2) of the Securities Act, because the issuance of securities to the recipients did not involve a public offering. The recipients of the securities in this transaction represented their intentions to acquire the securities for investment only and not with a view to or for sale in connection with any distribution thereof, and appropriate legends were placed upon the securities issued in this transaction. All recipients had adequate access, through their relationships with us or otherwise, to information about us. The issuance of these securities was made without any general solicitation or advertising.</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(b) Issuer Purchases of Equity Securities</w:t>
      </w:r>
    </w:p>
    <w:p>
      <w:pPr>
        <w:spacing w:after="0" w:line="28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None.</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6" w:lineRule="exact"/>
        <w:rPr>
          <w:sz w:val="20"/>
          <w:szCs w:val="20"/>
          <w:color w:val="auto"/>
        </w:rPr>
      </w:pPr>
    </w:p>
    <w:p>
      <w:pPr>
        <w:jc w:val="both"/>
        <w:ind w:firstLine="405"/>
        <w:spacing w:after="0" w:line="329" w:lineRule="auto"/>
        <w:rPr>
          <w:sz w:val="20"/>
          <w:szCs w:val="20"/>
          <w:color w:val="auto"/>
        </w:rPr>
      </w:pPr>
      <w:r>
        <w:rPr>
          <w:rFonts w:ascii="Times New Roman" w:cs="Times New Roman" w:eastAsia="Times New Roman" w:hAnsi="Times New Roman"/>
          <w:sz w:val="18"/>
          <w:szCs w:val="18"/>
          <w:color w:val="auto"/>
        </w:rPr>
        <w:t>During the three months ended April 30, 2026, the following officers, as defined in Rule 16a-1(f) under the Exchange Act, adopted a "Rule 10b5-1 trading arrangement" as defined in Regulation S-K Item 408:</w:t>
      </w:r>
    </w:p>
    <w:p>
      <w:pPr>
        <w:spacing w:after="0" w:line="108" w:lineRule="exact"/>
        <w:rPr>
          <w:sz w:val="20"/>
          <w:szCs w:val="20"/>
          <w:color w:val="auto"/>
        </w:rPr>
      </w:pPr>
    </w:p>
    <w:p>
      <w:pPr>
        <w:jc w:val="both"/>
        <w:ind w:firstLine="405"/>
        <w:spacing w:after="0" w:line="321" w:lineRule="auto"/>
        <w:rPr>
          <w:sz w:val="20"/>
          <w:szCs w:val="20"/>
          <w:color w:val="auto"/>
        </w:rPr>
      </w:pPr>
      <w:r>
        <w:rPr>
          <w:rFonts w:ascii="Times New Roman" w:cs="Times New Roman" w:eastAsia="Times New Roman" w:hAnsi="Times New Roman"/>
          <w:sz w:val="18"/>
          <w:szCs w:val="18"/>
          <w:color w:val="auto"/>
        </w:rPr>
        <w:t>On March 20, 2026, Adam Geller, the Company's chief product officer, adopted a Rule 10b5-1 trading arrangement providing for the sale from time to time of an aggregate of up to 96,411 shares of our common stock. The trading arrangement is intended to satisfy the affirmative defense in Rule 10b5-1(c). The duration of the trading arrangement is until June 22, 2027, or earlier if all transactions under the trading arrangement are completed.</w:t>
      </w:r>
    </w:p>
    <w:p>
      <w:pPr>
        <w:spacing w:after="0" w:line="114" w:lineRule="exact"/>
        <w:rPr>
          <w:sz w:val="20"/>
          <w:szCs w:val="20"/>
          <w:color w:val="auto"/>
        </w:rPr>
      </w:pPr>
    </w:p>
    <w:p>
      <w:pPr>
        <w:jc w:val="both"/>
        <w:ind w:firstLine="405"/>
        <w:spacing w:after="0" w:line="313" w:lineRule="auto"/>
        <w:rPr>
          <w:sz w:val="20"/>
          <w:szCs w:val="20"/>
          <w:color w:val="auto"/>
        </w:rPr>
      </w:pPr>
      <w:r>
        <w:rPr>
          <w:rFonts w:ascii="Times New Roman" w:cs="Times New Roman" w:eastAsia="Times New Roman" w:hAnsi="Times New Roman"/>
          <w:sz w:val="18"/>
          <w:szCs w:val="18"/>
          <w:color w:val="auto"/>
        </w:rPr>
        <w:t>On March 24, 2026, Kevin Rubin, the Company's chief financial officer, adopted a Rule 10b5-1 trading arrangement providing for the sale from time to time of an aggregate of up to 14,754 shares of our common stock. The trading arrangement is intended to satisfy the affirmative defense in Rule 10b5-1(c). The duration of the trading arrangement is until June 25, 2027, or earlier if all transactions under the trading arrangement are completed.</w:t>
      </w:r>
    </w:p>
    <w:p>
      <w:pPr>
        <w:spacing w:after="0" w:line="122" w:lineRule="exact"/>
        <w:rPr>
          <w:sz w:val="20"/>
          <w:szCs w:val="20"/>
          <w:color w:val="auto"/>
        </w:rPr>
      </w:pPr>
    </w:p>
    <w:p>
      <w:pPr>
        <w:jc w:val="both"/>
        <w:ind w:firstLine="405"/>
        <w:spacing w:after="0" w:line="344" w:lineRule="auto"/>
        <w:rPr>
          <w:sz w:val="20"/>
          <w:szCs w:val="20"/>
          <w:color w:val="auto"/>
        </w:rPr>
      </w:pPr>
      <w:r>
        <w:rPr>
          <w:rFonts w:ascii="Times New Roman" w:cs="Times New Roman" w:eastAsia="Times New Roman" w:hAnsi="Times New Roman"/>
          <w:sz w:val="18"/>
          <w:szCs w:val="18"/>
          <w:color w:val="auto"/>
        </w:rPr>
        <w:t>No other directors or officers, as defined in Rule 16a-1(f) under the Exchange Act, adopted, modified or terminated a "Rule 10b5-1 trading arrangement" or a "non-Rule 10b5-1 trading arrangement" as defined in Regulation S-K Item 408 during the three months ended April 30,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99" w:name="page100"/>
    <w:bookmarkEnd w:id="99"/>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We have filed the exhibits listed on the accompanying Exhibit Index, which is incorporated herein by reference.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7"/>
        </w:trPr>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800" w:type="dxa"/>
            <w:vAlign w:val="bottom"/>
          </w:tcPr>
          <w:p>
            <w:pPr>
              <w:spacing w:after="0"/>
              <w:rPr>
                <w:sz w:val="24"/>
                <w:szCs w:val="24"/>
                <w:color w:val="auto"/>
              </w:rPr>
            </w:pPr>
          </w:p>
        </w:tc>
        <w:tc>
          <w:tcPr>
            <w:tcW w:w="3220" w:type="dxa"/>
            <w:vAlign w:val="bottom"/>
            <w:gridSpan w:val="8"/>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98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Form</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920" w:type="dxa"/>
            <w:vAlign w:val="bottom"/>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160" w:type="dxa"/>
            <w:vAlign w:val="bottom"/>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Filed</w:t>
            </w:r>
          </w:p>
        </w:tc>
        <w:tc>
          <w:tcPr>
            <w:tcW w:w="0" w:type="dxa"/>
            <w:vAlign w:val="bottom"/>
          </w:tcPr>
          <w:p>
            <w:pPr>
              <w:spacing w:after="0"/>
              <w:rPr>
                <w:sz w:val="1"/>
                <w:szCs w:val="1"/>
                <w:color w:val="auto"/>
              </w:rPr>
            </w:pPr>
          </w:p>
        </w:tc>
      </w:tr>
      <w:tr>
        <w:trPr>
          <w:trHeight w:val="212"/>
        </w:trPr>
        <w:tc>
          <w:tcPr>
            <w:tcW w:w="11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1800" w:type="dxa"/>
            <w:vAlign w:val="bottom"/>
          </w:tcPr>
          <w:p>
            <w:pPr>
              <w:spacing w:after="0"/>
              <w:rPr>
                <w:sz w:val="18"/>
                <w:szCs w:val="18"/>
                <w:color w:val="auto"/>
              </w:rPr>
            </w:pPr>
          </w:p>
        </w:tc>
        <w:tc>
          <w:tcPr>
            <w:tcW w:w="3220" w:type="dxa"/>
            <w:vAlign w:val="bottom"/>
            <w:gridSpan w:val="8"/>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Herewith</w:t>
            </w:r>
          </w:p>
        </w:tc>
        <w:tc>
          <w:tcPr>
            <w:tcW w:w="0" w:type="dxa"/>
            <w:vAlign w:val="bottom"/>
          </w:tcPr>
          <w:p>
            <w:pPr>
              <w:spacing w:after="0"/>
              <w:rPr>
                <w:sz w:val="1"/>
                <w:szCs w:val="1"/>
                <w:color w:val="auto"/>
              </w:rPr>
            </w:pPr>
          </w:p>
        </w:tc>
      </w:tr>
      <w:tr>
        <w:trPr>
          <w:trHeight w:val="179"/>
        </w:trPr>
        <w:tc>
          <w:tcPr>
            <w:tcW w:w="11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31.1</w:t>
            </w:r>
          </w:p>
        </w:tc>
        <w:tc>
          <w:tcPr>
            <w:tcW w:w="5020" w:type="dxa"/>
            <w:vAlign w:val="bottom"/>
            <w:gridSpan w:val="9"/>
          </w:tcPr>
          <w:p>
            <w:pPr>
              <w:spacing w:after="0" w:line="179" w:lineRule="exact"/>
              <w:rPr>
                <w:sz w:val="20"/>
                <w:szCs w:val="20"/>
                <w:color w:val="auto"/>
              </w:rPr>
            </w:pPr>
            <w:r>
              <w:rPr>
                <w:rFonts w:ascii="Times New Roman" w:cs="Times New Roman" w:eastAsia="Times New Roman" w:hAnsi="Times New Roman"/>
                <w:sz w:val="16"/>
                <w:szCs w:val="16"/>
                <w:color w:val="0000FF"/>
              </w:rPr>
              <w:t>Certification of the Principal Executive Officer pursuant to Exchange Act</w:t>
            </w:r>
          </w:p>
        </w:tc>
        <w:tc>
          <w:tcPr>
            <w:tcW w:w="9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780" w:type="dxa"/>
            <w:vAlign w:val="bottom"/>
            <w:tcBorders>
              <w:top w:val="single" w:sz="8" w:color="0000FF"/>
            </w:tcBorders>
            <w:gridSpan w:val="7"/>
          </w:tcPr>
          <w:p>
            <w:pPr>
              <w:spacing w:after="0" w:line="142" w:lineRule="exact"/>
              <w:rPr>
                <w:sz w:val="20"/>
                <w:szCs w:val="20"/>
                <w:color w:val="auto"/>
              </w:rPr>
            </w:pPr>
            <w:r>
              <w:rPr>
                <w:rFonts w:ascii="Times New Roman" w:cs="Times New Roman" w:eastAsia="Times New Roman" w:hAnsi="Times New Roman"/>
                <w:sz w:val="16"/>
                <w:szCs w:val="16"/>
                <w:color w:val="0000FF"/>
              </w:rPr>
              <w:t>Rules 13a-14(a) and 15d-14(a), as adopted pursuant to Section 302 of the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76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31.2</w:t>
            </w:r>
          </w:p>
        </w:tc>
        <w:tc>
          <w:tcPr>
            <w:tcW w:w="5020" w:type="dxa"/>
            <w:vAlign w:val="bottom"/>
            <w:gridSpan w:val="9"/>
          </w:tcPr>
          <w:p>
            <w:pPr>
              <w:spacing w:after="0"/>
              <w:rPr>
                <w:sz w:val="20"/>
                <w:szCs w:val="20"/>
                <w:color w:val="auto"/>
              </w:rPr>
            </w:pPr>
            <w:r>
              <w:rPr>
                <w:rFonts w:ascii="Times New Roman" w:cs="Times New Roman" w:eastAsia="Times New Roman" w:hAnsi="Times New Roman"/>
                <w:sz w:val="16"/>
                <w:szCs w:val="16"/>
                <w:color w:val="0000FF"/>
              </w:rPr>
              <w:t>Certification of the Principal Financial Officer pursuant to Exchange Act</w:t>
            </w: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720" w:type="dxa"/>
            <w:vAlign w:val="bottom"/>
            <w:tcBorders>
              <w:top w:val="single" w:sz="8" w:color="0000FF"/>
            </w:tcBorders>
            <w:gridSpan w:val="5"/>
          </w:tcPr>
          <w:p>
            <w:pPr>
              <w:spacing w:after="0" w:line="142" w:lineRule="exact"/>
              <w:rPr>
                <w:sz w:val="20"/>
                <w:szCs w:val="20"/>
                <w:color w:val="auto"/>
              </w:rPr>
            </w:pPr>
            <w:r>
              <w:rPr>
                <w:rFonts w:ascii="Times New Roman" w:cs="Times New Roman" w:eastAsia="Times New Roman" w:hAnsi="Times New Roman"/>
                <w:sz w:val="16"/>
                <w:szCs w:val="16"/>
                <w:color w:val="0000FF"/>
              </w:rPr>
              <w:t>Rules 13a-14(a) and 15d-14(a), as adopted pursuant to Section 302 of the</w:t>
            </w:r>
          </w:p>
        </w:tc>
        <w:tc>
          <w:tcPr>
            <w:tcW w:w="140" w:type="dxa"/>
            <w:vAlign w:val="bottom"/>
            <w:gridSpan w:val="3"/>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760" w:type="dxa"/>
            <w:vAlign w:val="bottom"/>
            <w:tcBorders>
              <w:top w:val="single" w:sz="8" w:color="0000FF"/>
            </w:tcBorders>
            <w:gridSpan w:val="6"/>
          </w:tcPr>
          <w:p>
            <w:pPr>
              <w:spacing w:after="0" w:line="142" w:lineRule="exact"/>
              <w:rPr>
                <w:sz w:val="20"/>
                <w:szCs w:val="20"/>
                <w:color w:val="auto"/>
              </w:rPr>
            </w:pPr>
            <w:r>
              <w:rPr>
                <w:rFonts w:ascii="Times New Roman" w:cs="Times New Roman" w:eastAsia="Times New Roman" w:hAnsi="Times New Roman"/>
                <w:sz w:val="16"/>
                <w:szCs w:val="16"/>
                <w:color w:val="0000FF"/>
              </w:rPr>
              <w:t>Sarbanes-Oxley Act of 2002</w:t>
            </w:r>
          </w:p>
        </w:tc>
        <w:tc>
          <w:tcPr>
            <w:tcW w:w="10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32.1*</w:t>
            </w:r>
          </w:p>
        </w:tc>
        <w:tc>
          <w:tcPr>
            <w:tcW w:w="46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Certifications of the Principal Executive Officer and Principal Financial</w:t>
            </w:r>
          </w:p>
        </w:tc>
        <w:tc>
          <w:tcPr>
            <w:tcW w:w="360" w:type="dxa"/>
            <w:vAlign w:val="bottom"/>
            <w:gridSpan w:val="5"/>
          </w:tcPr>
          <w:p>
            <w:pPr>
              <w:spacing w:after="0"/>
              <w:rPr>
                <w:sz w:val="17"/>
                <w:szCs w:val="17"/>
                <w:color w:val="auto"/>
              </w:rPr>
            </w:pPr>
          </w:p>
        </w:tc>
        <w:tc>
          <w:tcPr>
            <w:tcW w:w="9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020" w:type="dxa"/>
            <w:vAlign w:val="bottom"/>
            <w:gridSpan w:val="9"/>
          </w:tcPr>
          <w:p>
            <w:pPr>
              <w:spacing w:after="0" w:line="142" w:lineRule="exact"/>
              <w:rPr>
                <w:sz w:val="20"/>
                <w:szCs w:val="20"/>
                <w:color w:val="auto"/>
              </w:rPr>
            </w:pPr>
            <w:r>
              <w:rPr>
                <w:rFonts w:ascii="Times New Roman" w:cs="Times New Roman" w:eastAsia="Times New Roman" w:hAnsi="Times New Roman"/>
                <w:sz w:val="16"/>
                <w:szCs w:val="16"/>
                <w:color w:val="0000FF"/>
              </w:rPr>
              <w:t>Officer pursuant to 18 U.S.C. Section 1350, as adopted pursuant to Section</w:t>
            </w: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4860" w:type="dxa"/>
            <w:vAlign w:val="bottom"/>
            <w:tcBorders>
              <w:top w:val="single" w:sz="8" w:color="0000FF"/>
            </w:tcBorders>
            <w:gridSpan w:val="8"/>
          </w:tcPr>
          <w:p>
            <w:pPr>
              <w:spacing w:after="0" w:line="142" w:lineRule="exact"/>
              <w:rPr>
                <w:sz w:val="20"/>
                <w:szCs w:val="20"/>
                <w:color w:val="auto"/>
              </w:rPr>
            </w:pPr>
            <w:r>
              <w:rPr>
                <w:rFonts w:ascii="Times New Roman" w:cs="Times New Roman" w:eastAsia="Times New Roman" w:hAnsi="Times New Roman"/>
                <w:sz w:val="16"/>
                <w:szCs w:val="16"/>
                <w:color w:val="0000FF"/>
              </w:rPr>
              <w:t>906 of the Sarbanes-Oxley Act of 2002</w:t>
            </w: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1"/>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101.INS</w:t>
            </w:r>
          </w:p>
        </w:tc>
        <w:tc>
          <w:tcPr>
            <w:tcW w:w="25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auto"/>
              </w:rPr>
              <w:t>Inline XBRL Instance Document</w:t>
            </w:r>
          </w:p>
        </w:tc>
        <w:tc>
          <w:tcPr>
            <w:tcW w:w="2480" w:type="dxa"/>
            <w:vAlign w:val="bottom"/>
            <w:gridSpan w:val="6"/>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101.SCH</w:t>
            </w:r>
          </w:p>
        </w:tc>
        <w:tc>
          <w:tcPr>
            <w:tcW w:w="50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Schema Document</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101.CAL</w:t>
            </w:r>
          </w:p>
        </w:tc>
        <w:tc>
          <w:tcPr>
            <w:tcW w:w="50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Calculation Linkbase Document</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101.DEF</w:t>
            </w:r>
          </w:p>
        </w:tc>
        <w:tc>
          <w:tcPr>
            <w:tcW w:w="50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Definition Linkbase Document</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101.LAB</w:t>
            </w:r>
          </w:p>
        </w:tc>
        <w:tc>
          <w:tcPr>
            <w:tcW w:w="50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Label Linkbase Document</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101.PRE</w:t>
            </w:r>
          </w:p>
        </w:tc>
        <w:tc>
          <w:tcPr>
            <w:tcW w:w="50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Inline XBRL Taxonomy Extension Presentation Linkbase Document</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95"/>
        </w:trPr>
        <w:tc>
          <w:tcPr>
            <w:tcW w:w="110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50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Cover Page Interactive Data File - (formatted as Inline XBRL and contained</w:t>
            </w:r>
          </w:p>
        </w:tc>
        <w:tc>
          <w:tcPr>
            <w:tcW w:w="9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10"/>
        </w:trPr>
        <w:tc>
          <w:tcPr>
            <w:tcW w:w="1100" w:type="dxa"/>
            <w:vAlign w:val="bottom"/>
          </w:tcPr>
          <w:p>
            <w:pPr>
              <w:spacing w:after="0"/>
              <w:rPr>
                <w:sz w:val="18"/>
                <w:szCs w:val="18"/>
                <w:color w:val="auto"/>
              </w:rPr>
            </w:pPr>
          </w:p>
        </w:tc>
        <w:tc>
          <w:tcPr>
            <w:tcW w:w="5020" w:type="dxa"/>
            <w:vAlign w:val="bottom"/>
            <w:gridSpan w:val="9"/>
          </w:tcPr>
          <w:p>
            <w:pPr>
              <w:spacing w:after="0"/>
              <w:rPr>
                <w:sz w:val="20"/>
                <w:szCs w:val="20"/>
                <w:color w:val="auto"/>
              </w:rPr>
            </w:pPr>
            <w:r>
              <w:rPr>
                <w:rFonts w:ascii="Times New Roman" w:cs="Times New Roman" w:eastAsia="Times New Roman" w:hAnsi="Times New Roman"/>
                <w:sz w:val="16"/>
                <w:szCs w:val="16"/>
                <w:color w:val="auto"/>
              </w:rPr>
              <w:t>in Exhibit 101)</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212" w:lineRule="exact"/>
        <w:rPr>
          <w:sz w:val="20"/>
          <w:szCs w:val="20"/>
          <w:color w:val="auto"/>
        </w:rPr>
      </w:pPr>
    </w:p>
    <w:p>
      <w:pPr>
        <w:ind w:right="40" w:firstLine="8"/>
        <w:spacing w:after="0" w:line="329" w:lineRule="auto"/>
        <w:tabs>
          <w:tab w:leader="none" w:pos="1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sectPr>
      </w:pPr>
    </w:p>
    <w:bookmarkStart w:id="100" w:name="page101"/>
    <w:bookmarkEnd w:id="100"/>
    <w:p>
      <w:pPr>
        <w:ind w:left="340"/>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70" w:lineRule="exact"/>
        <w:rPr>
          <w:sz w:val="20"/>
          <w:szCs w:val="20"/>
          <w:color w:val="auto"/>
        </w:rPr>
      </w:pPr>
    </w:p>
    <w:p>
      <w:pPr>
        <w:ind w:right="40" w:firstLine="450"/>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234"/>
        </w:trPr>
        <w:tc>
          <w:tcPr>
            <w:tcW w:w="5340" w:type="dxa"/>
            <w:vAlign w:val="bottom"/>
          </w:tcPr>
          <w:p>
            <w:pPr>
              <w:spacing w:after="0"/>
              <w:rPr>
                <w:sz w:val="20"/>
                <w:szCs w:val="20"/>
                <w:color w:val="auto"/>
              </w:rPr>
            </w:pPr>
          </w:p>
        </w:tc>
        <w:tc>
          <w:tcPr>
            <w:tcW w:w="5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Zscaler, Inc.</w:t>
            </w:r>
          </w:p>
        </w:tc>
      </w:tr>
      <w:tr>
        <w:trPr>
          <w:trHeight w:val="459"/>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May 26, 2026</w:t>
            </w:r>
          </w:p>
        </w:tc>
        <w:tc>
          <w:tcPr>
            <w:tcW w:w="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w:t>
            </w:r>
          </w:p>
        </w:tc>
        <w:tc>
          <w:tcPr>
            <w:tcW w:w="51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Kevin Rubin</w:t>
            </w:r>
          </w:p>
        </w:tc>
      </w:tr>
      <w:tr>
        <w:trPr>
          <w:trHeight w:val="218"/>
        </w:trPr>
        <w:tc>
          <w:tcPr>
            <w:tcW w:w="5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Kevin Rubin</w:t>
            </w:r>
          </w:p>
        </w:tc>
      </w:tr>
      <w:tr>
        <w:trPr>
          <w:trHeight w:val="234"/>
        </w:trPr>
        <w:tc>
          <w:tcPr>
            <w:tcW w:w="5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99</w:t>
      </w:r>
    </w:p>
    <w:p>
      <w:pPr>
        <w:sectPr>
          <w:pgSz w:w="11900" w:h="16838" w:orient="portrait"/>
          <w:cols w:equalWidth="0" w:num="1">
            <w:col w:w="10840"/>
          </w:cols>
          <w:pgMar w:left="320" w:top="148" w:right="7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Jagtar Chaudhry, certify that:</w:t>
      </w:r>
    </w:p>
    <w:p>
      <w:pPr>
        <w:spacing w:after="0" w:line="223" w:lineRule="exact"/>
        <w:rPr>
          <w:sz w:val="20"/>
          <w:szCs w:val="20"/>
          <w:color w:val="auto"/>
        </w:rPr>
      </w:pPr>
    </w:p>
    <w:p>
      <w:pPr>
        <w:ind w:left="180" w:hanging="172"/>
        <w:spacing w:after="0"/>
        <w:tabs>
          <w:tab w:leader="none" w:pos="18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Zscaler, Inc.;</w:t>
      </w:r>
    </w:p>
    <w:p>
      <w:pPr>
        <w:spacing w:after="0" w:line="236" w:lineRule="exact"/>
        <w:rPr>
          <w:rFonts w:ascii="Times New Roman" w:cs="Times New Roman" w:eastAsia="Times New Roman" w:hAnsi="Times New Roman"/>
          <w:sz w:val="17"/>
          <w:szCs w:val="17"/>
          <w:color w:val="auto"/>
        </w:rPr>
      </w:pPr>
    </w:p>
    <w:p>
      <w:pPr>
        <w:ind w:right="360" w:firstLine="8"/>
        <w:spacing w:after="0" w:line="281" w:lineRule="auto"/>
        <w:tabs>
          <w:tab w:leader="none" w:pos="17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right="440" w:firstLine="8"/>
        <w:spacing w:after="0" w:line="281" w:lineRule="auto"/>
        <w:tabs>
          <w:tab w:leader="none" w:pos="17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right="20" w:firstLine="8"/>
        <w:spacing w:after="0" w:line="281" w:lineRule="auto"/>
        <w:tabs>
          <w:tab w:leader="none" w:pos="171"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ind w:right="260" w:firstLine="8"/>
        <w:spacing w:after="0" w:line="265" w:lineRule="auto"/>
        <w:tabs>
          <w:tab w:leader="none" w:pos="23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right="60" w:firstLine="8"/>
        <w:spacing w:after="0" w:line="273" w:lineRule="auto"/>
        <w:tabs>
          <w:tab w:leader="none" w:pos="24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right="440" w:firstLine="8"/>
        <w:spacing w:after="0" w:line="281" w:lineRule="auto"/>
        <w:tabs>
          <w:tab w:leader="none" w:pos="23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right="80" w:firstLine="8"/>
        <w:spacing w:after="0" w:line="273" w:lineRule="auto"/>
        <w:tabs>
          <w:tab w:leader="none" w:pos="242"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0" w:lineRule="exact"/>
        <w:rPr>
          <w:sz w:val="20"/>
          <w:szCs w:val="20"/>
          <w:color w:val="auto"/>
        </w:rPr>
      </w:pPr>
    </w:p>
    <w:p>
      <w:pPr>
        <w:ind w:right="60" w:firstLine="8"/>
        <w:spacing w:after="0" w:line="281" w:lineRule="auto"/>
        <w:tabs>
          <w:tab w:leader="none" w:pos="17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right="600" w:firstLine="8"/>
        <w:spacing w:after="0" w:line="281" w:lineRule="auto"/>
        <w:tabs>
          <w:tab w:leader="none" w:pos="23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right="200" w:firstLine="8"/>
        <w:spacing w:after="0" w:line="298" w:lineRule="auto"/>
        <w:tabs>
          <w:tab w:leader="none" w:pos="242"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ZSCALER, INC.</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8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Jagtar Chaudhry</w:t>
            </w:r>
          </w:p>
        </w:tc>
        <w:tc>
          <w:tcPr>
            <w:tcW w:w="0" w:type="dxa"/>
            <w:vAlign w:val="bottom"/>
          </w:tcPr>
          <w:p>
            <w:pPr>
              <w:spacing w:after="0"/>
              <w:rPr>
                <w:sz w:val="1"/>
                <w:szCs w:val="1"/>
                <w:color w:val="auto"/>
              </w:rPr>
            </w:pPr>
          </w:p>
        </w:tc>
      </w:tr>
      <w:tr>
        <w:trPr>
          <w:trHeight w:val="221"/>
        </w:trPr>
        <w:tc>
          <w:tcPr>
            <w:tcW w:w="228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Jagtar Chaudhry</w:t>
            </w:r>
          </w:p>
        </w:tc>
        <w:tc>
          <w:tcPr>
            <w:tcW w:w="0" w:type="dxa"/>
            <w:vAlign w:val="bottom"/>
          </w:tcPr>
          <w:p>
            <w:pPr>
              <w:spacing w:after="0"/>
              <w:rPr>
                <w:sz w:val="1"/>
                <w:szCs w:val="1"/>
                <w:color w:val="auto"/>
              </w:rPr>
            </w:pPr>
          </w:p>
        </w:tc>
      </w:tr>
      <w:tr>
        <w:trPr>
          <w:trHeight w:val="216"/>
        </w:trPr>
        <w:tc>
          <w:tcPr>
            <w:tcW w:w="228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Executive Officer</w:t>
            </w:r>
          </w:p>
        </w:tc>
        <w:tc>
          <w:tcPr>
            <w:tcW w:w="0" w:type="dxa"/>
            <w:vAlign w:val="bottom"/>
          </w:tcPr>
          <w:p>
            <w:pPr>
              <w:spacing w:after="0"/>
              <w:rPr>
                <w:sz w:val="1"/>
                <w:szCs w:val="1"/>
                <w:color w:val="auto"/>
              </w:rPr>
            </w:pPr>
          </w:p>
        </w:tc>
      </w:tr>
      <w:tr>
        <w:trPr>
          <w:trHeight w:val="222"/>
        </w:trPr>
        <w:tc>
          <w:tcPr>
            <w:tcW w:w="2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 May 26, 2026</w:t>
            </w:r>
          </w:p>
        </w:tc>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0" w:type="dxa"/>
            <w:vAlign w:val="bottom"/>
          </w:tcPr>
          <w:p>
            <w:pPr>
              <w:spacing w:after="0"/>
              <w:rPr>
                <w:sz w:val="1"/>
                <w:szCs w:val="1"/>
                <w:color w:val="auto"/>
              </w:rPr>
            </w:pPr>
          </w:p>
        </w:tc>
      </w:tr>
      <w:tr>
        <w:trPr>
          <w:trHeight w:val="122"/>
        </w:trPr>
        <w:tc>
          <w:tcPr>
            <w:tcW w:w="2280" w:type="dxa"/>
            <w:vAlign w:val="bottom"/>
            <w:vMerge w:val="continue"/>
          </w:tcPr>
          <w:p>
            <w:pPr>
              <w:spacing w:after="0"/>
              <w:rPr>
                <w:sz w:val="10"/>
                <w:szCs w:val="10"/>
                <w:color w:val="auto"/>
              </w:rPr>
            </w:pPr>
          </w:p>
        </w:tc>
        <w:tc>
          <w:tcPr>
            <w:tcW w:w="3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6"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EXCHANGE ACT RULES 13a-14(a) AND 15d-14(a),</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302 OF THE SARBANES-OXLEY ACT OF 2002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Kevin Rubin, certify that:</w:t>
      </w:r>
    </w:p>
    <w:p>
      <w:pPr>
        <w:spacing w:after="0" w:line="223" w:lineRule="exact"/>
        <w:rPr>
          <w:sz w:val="20"/>
          <w:szCs w:val="20"/>
          <w:color w:val="auto"/>
        </w:rPr>
      </w:pPr>
    </w:p>
    <w:p>
      <w:pPr>
        <w:ind w:left="180" w:hanging="172"/>
        <w:spacing w:after="0"/>
        <w:tabs>
          <w:tab w:leader="none" w:pos="1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Zscaler, Inc.;</w:t>
      </w:r>
    </w:p>
    <w:p>
      <w:pPr>
        <w:spacing w:after="0" w:line="236" w:lineRule="exact"/>
        <w:rPr>
          <w:rFonts w:ascii="Times New Roman" w:cs="Times New Roman" w:eastAsia="Times New Roman" w:hAnsi="Times New Roman"/>
          <w:sz w:val="17"/>
          <w:szCs w:val="17"/>
          <w:color w:val="auto"/>
        </w:rPr>
      </w:pPr>
    </w:p>
    <w:p>
      <w:pPr>
        <w:ind w:right="360" w:firstLine="8"/>
        <w:spacing w:after="0" w:line="281" w:lineRule="auto"/>
        <w:tabs>
          <w:tab w:leader="none" w:pos="17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Times New Roman" w:cs="Times New Roman" w:eastAsia="Times New Roman" w:hAnsi="Times New Roman"/>
          <w:sz w:val="17"/>
          <w:szCs w:val="17"/>
          <w:color w:val="auto"/>
        </w:rPr>
      </w:pPr>
    </w:p>
    <w:p>
      <w:pPr>
        <w:ind w:right="440" w:firstLine="8"/>
        <w:spacing w:after="0" w:line="281" w:lineRule="auto"/>
        <w:tabs>
          <w:tab w:leader="none" w:pos="17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7"/>
          <w:szCs w:val="17"/>
          <w:color w:val="auto"/>
        </w:rPr>
      </w:pPr>
    </w:p>
    <w:p>
      <w:pPr>
        <w:ind w:right="20" w:firstLine="8"/>
        <w:spacing w:after="0" w:line="281" w:lineRule="auto"/>
        <w:tabs>
          <w:tab w:leader="none" w:pos="171"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ind w:right="260" w:firstLine="8"/>
        <w:spacing w:after="0" w:line="265" w:lineRule="auto"/>
        <w:tabs>
          <w:tab w:leader="none" w:pos="23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7"/>
          <w:szCs w:val="17"/>
          <w:color w:val="auto"/>
        </w:rPr>
      </w:pPr>
    </w:p>
    <w:p>
      <w:pPr>
        <w:ind w:right="60" w:firstLine="8"/>
        <w:spacing w:after="0" w:line="273" w:lineRule="auto"/>
        <w:tabs>
          <w:tab w:leader="none" w:pos="24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7"/>
          <w:szCs w:val="17"/>
          <w:color w:val="auto"/>
        </w:rPr>
      </w:pPr>
    </w:p>
    <w:p>
      <w:pPr>
        <w:ind w:right="440" w:firstLine="8"/>
        <w:spacing w:after="0" w:line="281" w:lineRule="auto"/>
        <w:tabs>
          <w:tab w:leader="none" w:pos="23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Times New Roman" w:cs="Times New Roman" w:eastAsia="Times New Roman" w:hAnsi="Times New Roman"/>
          <w:sz w:val="17"/>
          <w:szCs w:val="17"/>
          <w:color w:val="auto"/>
        </w:rPr>
      </w:pPr>
    </w:p>
    <w:p>
      <w:pPr>
        <w:ind w:right="80" w:firstLine="8"/>
        <w:spacing w:after="0" w:line="273" w:lineRule="auto"/>
        <w:tabs>
          <w:tab w:leader="none" w:pos="24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0" w:lineRule="exact"/>
        <w:rPr>
          <w:sz w:val="20"/>
          <w:szCs w:val="20"/>
          <w:color w:val="auto"/>
        </w:rPr>
      </w:pPr>
    </w:p>
    <w:p>
      <w:pPr>
        <w:ind w:right="60" w:firstLine="8"/>
        <w:spacing w:after="0" w:line="281" w:lineRule="auto"/>
        <w:tabs>
          <w:tab w:leader="none" w:pos="171"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right="600" w:firstLine="8"/>
        <w:spacing w:after="0" w:line="281" w:lineRule="auto"/>
        <w:tabs>
          <w:tab w:leader="none" w:pos="23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7"/>
          <w:szCs w:val="17"/>
          <w:color w:val="auto"/>
        </w:rPr>
      </w:pPr>
    </w:p>
    <w:p>
      <w:pPr>
        <w:ind w:right="200" w:firstLine="8"/>
        <w:spacing w:after="0" w:line="298" w:lineRule="auto"/>
        <w:tabs>
          <w:tab w:leader="none" w:pos="242"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7"/>
          <w:szCs w:val="17"/>
          <w:color w:val="auto"/>
        </w:rPr>
        <w:t>ZSCALER, INC.</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8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By:</w:t>
            </w:r>
          </w:p>
        </w:tc>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Kevin Rubin</w:t>
            </w:r>
          </w:p>
        </w:tc>
        <w:tc>
          <w:tcPr>
            <w:tcW w:w="0" w:type="dxa"/>
            <w:vAlign w:val="bottom"/>
          </w:tcPr>
          <w:p>
            <w:pPr>
              <w:spacing w:after="0"/>
              <w:rPr>
                <w:sz w:val="1"/>
                <w:szCs w:val="1"/>
                <w:color w:val="auto"/>
              </w:rPr>
            </w:pPr>
          </w:p>
        </w:tc>
      </w:tr>
      <w:tr>
        <w:trPr>
          <w:trHeight w:val="221"/>
        </w:trPr>
        <w:tc>
          <w:tcPr>
            <w:tcW w:w="228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Name:</w:t>
            </w:r>
          </w:p>
        </w:tc>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Kevin Rubin</w:t>
            </w:r>
          </w:p>
        </w:tc>
        <w:tc>
          <w:tcPr>
            <w:tcW w:w="0" w:type="dxa"/>
            <w:vAlign w:val="bottom"/>
          </w:tcPr>
          <w:p>
            <w:pPr>
              <w:spacing w:after="0"/>
              <w:rPr>
                <w:sz w:val="1"/>
                <w:szCs w:val="1"/>
                <w:color w:val="auto"/>
              </w:rPr>
            </w:pPr>
          </w:p>
        </w:tc>
      </w:tr>
      <w:tr>
        <w:trPr>
          <w:trHeight w:val="216"/>
        </w:trPr>
        <w:tc>
          <w:tcPr>
            <w:tcW w:w="2280" w:type="dxa"/>
            <w:vAlign w:val="bottom"/>
          </w:tcPr>
          <w:p>
            <w:pPr>
              <w:ind w:left="1560"/>
              <w:spacing w:after="0"/>
              <w:rPr>
                <w:sz w:val="20"/>
                <w:szCs w:val="20"/>
                <w:color w:val="auto"/>
              </w:rPr>
            </w:pPr>
            <w:r>
              <w:rPr>
                <w:rFonts w:ascii="Times New Roman" w:cs="Times New Roman" w:eastAsia="Times New Roman" w:hAnsi="Times New Roman"/>
                <w:sz w:val="17"/>
                <w:szCs w:val="17"/>
                <w:color w:val="auto"/>
              </w:rPr>
              <w:t>Title:</w:t>
            </w:r>
          </w:p>
        </w:tc>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Chief Financial Officer</w:t>
            </w:r>
          </w:p>
        </w:tc>
        <w:tc>
          <w:tcPr>
            <w:tcW w:w="0" w:type="dxa"/>
            <w:vAlign w:val="bottom"/>
          </w:tcPr>
          <w:p>
            <w:pPr>
              <w:spacing w:after="0"/>
              <w:rPr>
                <w:sz w:val="1"/>
                <w:szCs w:val="1"/>
                <w:color w:val="auto"/>
              </w:rPr>
            </w:pPr>
          </w:p>
        </w:tc>
      </w:tr>
      <w:tr>
        <w:trPr>
          <w:trHeight w:val="222"/>
        </w:trPr>
        <w:tc>
          <w:tcPr>
            <w:tcW w:w="22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Date: May 26, 2026</w:t>
            </w:r>
          </w:p>
        </w:tc>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0" w:type="dxa"/>
            <w:vAlign w:val="bottom"/>
          </w:tcPr>
          <w:p>
            <w:pPr>
              <w:spacing w:after="0"/>
              <w:rPr>
                <w:sz w:val="1"/>
                <w:szCs w:val="1"/>
                <w:color w:val="auto"/>
              </w:rPr>
            </w:pPr>
          </w:p>
        </w:tc>
      </w:tr>
      <w:tr>
        <w:trPr>
          <w:trHeight w:val="121"/>
        </w:trPr>
        <w:tc>
          <w:tcPr>
            <w:tcW w:w="2280" w:type="dxa"/>
            <w:vAlign w:val="bottom"/>
            <w:vMerge w:val="continue"/>
          </w:tcPr>
          <w:p>
            <w:pPr>
              <w:spacing w:after="0"/>
              <w:rPr>
                <w:sz w:val="10"/>
                <w:szCs w:val="10"/>
                <w:color w:val="auto"/>
              </w:rPr>
            </w:pPr>
          </w:p>
        </w:tc>
        <w:tc>
          <w:tcPr>
            <w:tcW w:w="3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6"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29" w:lineRule="exact"/>
        <w:rPr>
          <w:sz w:val="20"/>
          <w:szCs w:val="20"/>
          <w:color w:val="auto"/>
        </w:rPr>
      </w:pPr>
    </w:p>
    <w:p>
      <w:pPr>
        <w:jc w:val="center"/>
        <w:spacing w:after="0" w:line="256" w:lineRule="auto"/>
        <w:rPr>
          <w:sz w:val="20"/>
          <w:szCs w:val="20"/>
          <w:color w:val="auto"/>
        </w:rPr>
      </w:pPr>
      <w:r>
        <w:rPr>
          <w:rFonts w:ascii="Times New Roman" w:cs="Times New Roman" w:eastAsia="Times New Roman" w:hAnsi="Times New Roman"/>
          <w:sz w:val="20"/>
          <w:szCs w:val="20"/>
          <w:b w:val="1"/>
          <w:bCs w:val="1"/>
          <w:color w:val="auto"/>
        </w:rPr>
        <w:t>CERTIFICATIONS OF PRINCIPAL EXECUTIVE OFFICER AND PRINCIPAL FINANCIAL OFFICER PURSUANT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4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9"/>
          <w:szCs w:val="19"/>
          <w:color w:val="auto"/>
        </w:rPr>
        <w:t>I, Jagtar Chaudhry, certify, pursuant to 18 U.S.C. Section 1350, as adopted pursuant to Section 906 of the Sarbanes-Oxley Act of 2002, that the Quarterly Report on Form 10-Q of Zscaler, Inc. for the quarterly period ended April 30, 2026 fully complies with the requirements of Section 13(a) or Section 15(d) of the Securities Exchange Act of 1934, as amended and that information contained in such Quarterly Report on Form 10-Q fairly presents, in all material respects, the financial condition and results of operations of Zscaler, Inc.</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53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May 26, 2026</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Borders>
              <w:bottom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Jagtar Chaudhry</w:t>
            </w:r>
          </w:p>
        </w:tc>
      </w:tr>
      <w:tr>
        <w:trPr>
          <w:trHeight w:val="250"/>
        </w:trPr>
        <w:tc>
          <w:tcPr>
            <w:tcW w:w="680" w:type="dxa"/>
            <w:vAlign w:val="bottom"/>
            <w:shd w:val="clear" w:color="auto" w:fill="FEFEFE"/>
          </w:tcPr>
          <w:p>
            <w:pPr>
              <w:spacing w:after="0"/>
              <w:rPr>
                <w:sz w:val="21"/>
                <w:szCs w:val="21"/>
                <w:color w:val="auto"/>
              </w:rPr>
            </w:pPr>
          </w:p>
        </w:tc>
        <w:tc>
          <w:tcPr>
            <w:tcW w:w="5340" w:type="dxa"/>
            <w:vAlign w:val="bottom"/>
            <w:shd w:val="clear" w:color="auto" w:fill="FEFEFE"/>
          </w:tcPr>
          <w:p>
            <w:pPr>
              <w:spacing w:after="0"/>
              <w:rPr>
                <w:sz w:val="21"/>
                <w:szCs w:val="21"/>
                <w:color w:val="auto"/>
              </w:rPr>
            </w:pPr>
          </w:p>
        </w:tc>
        <w:tc>
          <w:tcPr>
            <w:tcW w:w="8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Jagtar Chaudhry</w:t>
            </w:r>
          </w:p>
        </w:tc>
      </w:tr>
      <w:tr>
        <w:trPr>
          <w:trHeight w:val="257"/>
        </w:trPr>
        <w:tc>
          <w:tcPr>
            <w:tcW w:w="680" w:type="dxa"/>
            <w:vAlign w:val="bottom"/>
            <w:shd w:val="clear" w:color="auto" w:fill="FEFEFE"/>
          </w:tcPr>
          <w:p>
            <w:pPr>
              <w:spacing w:after="0"/>
              <w:rPr>
                <w:sz w:val="22"/>
                <w:szCs w:val="22"/>
                <w:color w:val="auto"/>
              </w:rPr>
            </w:pPr>
          </w:p>
        </w:tc>
        <w:tc>
          <w:tcPr>
            <w:tcW w:w="5340" w:type="dxa"/>
            <w:vAlign w:val="bottom"/>
            <w:shd w:val="clear" w:color="auto" w:fill="FEFEFE"/>
          </w:tcPr>
          <w:p>
            <w:pPr>
              <w:spacing w:after="0"/>
              <w:rPr>
                <w:sz w:val="22"/>
                <w:szCs w:val="22"/>
                <w:color w:val="auto"/>
              </w:rPr>
            </w:pPr>
          </w:p>
        </w:tc>
        <w:tc>
          <w:tcPr>
            <w:tcW w:w="8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Executive Officer</w:t>
            </w:r>
          </w:p>
        </w:tc>
      </w:tr>
      <w:tr>
        <w:trPr>
          <w:trHeight w:val="276"/>
        </w:trPr>
        <w:tc>
          <w:tcPr>
            <w:tcW w:w="680" w:type="dxa"/>
            <w:vAlign w:val="bottom"/>
            <w:shd w:val="clear" w:color="auto" w:fill="FEFEFE"/>
          </w:tcPr>
          <w:p>
            <w:pPr>
              <w:spacing w:after="0"/>
              <w:rPr>
                <w:sz w:val="24"/>
                <w:szCs w:val="24"/>
                <w:color w:val="auto"/>
              </w:rPr>
            </w:pPr>
          </w:p>
        </w:tc>
        <w:tc>
          <w:tcPr>
            <w:tcW w:w="5340" w:type="dxa"/>
            <w:vAlign w:val="bottom"/>
            <w:shd w:val="clear" w:color="auto" w:fill="FEFEFE"/>
          </w:tcPr>
          <w:p>
            <w:pPr>
              <w:spacing w:after="0"/>
              <w:rPr>
                <w:sz w:val="24"/>
                <w:szCs w:val="24"/>
                <w:color w:val="auto"/>
              </w:rPr>
            </w:pPr>
          </w:p>
        </w:tc>
        <w:tc>
          <w:tcPr>
            <w:tcW w:w="840" w:type="dxa"/>
            <w:vAlign w:val="bottom"/>
            <w:shd w:val="clear" w:color="auto" w:fill="FEFEFE"/>
          </w:tcPr>
          <w:p>
            <w:pPr>
              <w:spacing w:after="0"/>
              <w:rPr>
                <w:sz w:val="24"/>
                <w:szCs w:val="24"/>
                <w:color w:val="auto"/>
              </w:rPr>
            </w:pPr>
          </w:p>
        </w:tc>
        <w:tc>
          <w:tcPr>
            <w:tcW w:w="43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Executive Officer)</w:t>
            </w:r>
          </w:p>
        </w:tc>
      </w:tr>
      <w:tr>
        <w:trPr>
          <w:trHeight w:val="34"/>
        </w:trPr>
        <w:tc>
          <w:tcPr>
            <w:tcW w:w="680" w:type="dxa"/>
            <w:vAlign w:val="bottom"/>
            <w:shd w:val="clear" w:color="auto" w:fill="FEFEFE"/>
          </w:tcPr>
          <w:p>
            <w:pPr>
              <w:spacing w:after="0"/>
              <w:rPr>
                <w:sz w:val="3"/>
                <w:szCs w:val="3"/>
                <w:color w:val="auto"/>
              </w:rPr>
            </w:pPr>
          </w:p>
        </w:tc>
        <w:tc>
          <w:tcPr>
            <w:tcW w:w="5340" w:type="dxa"/>
            <w:vAlign w:val="bottom"/>
            <w:shd w:val="clear" w:color="auto" w:fill="FEFEFE"/>
          </w:tcPr>
          <w:p>
            <w:pPr>
              <w:spacing w:after="0"/>
              <w:rPr>
                <w:sz w:val="3"/>
                <w:szCs w:val="3"/>
                <w:color w:val="auto"/>
              </w:rPr>
            </w:pPr>
          </w:p>
        </w:tc>
        <w:tc>
          <w:tcPr>
            <w:tcW w:w="840" w:type="dxa"/>
            <w:vAlign w:val="bottom"/>
            <w:shd w:val="clear" w:color="auto" w:fill="FEFEFE"/>
          </w:tcPr>
          <w:p>
            <w:pPr>
              <w:spacing w:after="0"/>
              <w:rPr>
                <w:sz w:val="3"/>
                <w:szCs w:val="3"/>
                <w:color w:val="auto"/>
              </w:rPr>
            </w:pPr>
          </w:p>
        </w:tc>
        <w:tc>
          <w:tcPr>
            <w:tcW w:w="4380" w:type="dxa"/>
            <w:vAlign w:val="bottom"/>
            <w:shd w:val="clear" w:color="auto" w:fill="FEFEFE"/>
          </w:tcPr>
          <w:p>
            <w:pPr>
              <w:spacing w:after="0"/>
              <w:rPr>
                <w:sz w:val="3"/>
                <w:szCs w:val="3"/>
                <w:color w:val="auto"/>
              </w:rPr>
            </w:pPr>
          </w:p>
        </w:tc>
      </w:tr>
    </w:tbl>
    <w:p>
      <w:pPr>
        <w:spacing w:after="0" w:line="315"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I, Kevin Rubin, certify, pursuant to 18 U.S.C. Section 1350, as adopted pursuant to Section 906 of the Sarbanes-Oxley Act of 2002, that the Quarterly Report on Form 10-Q of Zscaler, Inc. for the quarterly period ended April 30, 2026 fully complies with the requirements of Section 13(a) or Section 15(d) of the Securities Exchange Act of 1934, as amended and that information contained in such Quarterly Report on Form 10-Q fairly presents, in all material respects, the financial condition and results of operations of Zscaler, Inc.</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8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Date:</w:t>
            </w:r>
          </w:p>
        </w:tc>
        <w:tc>
          <w:tcPr>
            <w:tcW w:w="53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May 26, 2026</w:t>
            </w:r>
          </w:p>
        </w:tc>
        <w:tc>
          <w:tcPr>
            <w:tcW w:w="840" w:type="dxa"/>
            <w:vAlign w:val="bottom"/>
            <w:tcBorders>
              <w:bottom w:val="single" w:sz="8" w:color="FEFEFE"/>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By:</w:t>
            </w:r>
          </w:p>
        </w:tc>
        <w:tc>
          <w:tcPr>
            <w:tcW w:w="4380" w:type="dxa"/>
            <w:vAlign w:val="bottom"/>
            <w:tcBorders>
              <w:bottom w:val="single" w:sz="8" w:color="auto"/>
            </w:tcBorders>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/s/ Kevin Rubin</w:t>
            </w:r>
          </w:p>
        </w:tc>
      </w:tr>
      <w:tr>
        <w:trPr>
          <w:trHeight w:val="250"/>
        </w:trPr>
        <w:tc>
          <w:tcPr>
            <w:tcW w:w="680" w:type="dxa"/>
            <w:vAlign w:val="bottom"/>
            <w:shd w:val="clear" w:color="auto" w:fill="FEFEFE"/>
          </w:tcPr>
          <w:p>
            <w:pPr>
              <w:spacing w:after="0"/>
              <w:rPr>
                <w:sz w:val="21"/>
                <w:szCs w:val="21"/>
                <w:color w:val="auto"/>
              </w:rPr>
            </w:pPr>
          </w:p>
        </w:tc>
        <w:tc>
          <w:tcPr>
            <w:tcW w:w="5340" w:type="dxa"/>
            <w:vAlign w:val="bottom"/>
            <w:shd w:val="clear" w:color="auto" w:fill="FEFEFE"/>
          </w:tcPr>
          <w:p>
            <w:pPr>
              <w:spacing w:after="0"/>
              <w:rPr>
                <w:sz w:val="21"/>
                <w:szCs w:val="21"/>
                <w:color w:val="auto"/>
              </w:rPr>
            </w:pPr>
          </w:p>
        </w:tc>
        <w:tc>
          <w:tcPr>
            <w:tcW w:w="8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Name:</w:t>
            </w:r>
          </w:p>
        </w:tc>
        <w:tc>
          <w:tcPr>
            <w:tcW w:w="43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Kevin Rubin</w:t>
            </w:r>
          </w:p>
        </w:tc>
      </w:tr>
      <w:tr>
        <w:trPr>
          <w:trHeight w:val="256"/>
        </w:trPr>
        <w:tc>
          <w:tcPr>
            <w:tcW w:w="680" w:type="dxa"/>
            <w:vAlign w:val="bottom"/>
            <w:shd w:val="clear" w:color="auto" w:fill="FEFEFE"/>
          </w:tcPr>
          <w:p>
            <w:pPr>
              <w:spacing w:after="0"/>
              <w:rPr>
                <w:sz w:val="22"/>
                <w:szCs w:val="22"/>
                <w:color w:val="auto"/>
              </w:rPr>
            </w:pPr>
          </w:p>
        </w:tc>
        <w:tc>
          <w:tcPr>
            <w:tcW w:w="5340" w:type="dxa"/>
            <w:vAlign w:val="bottom"/>
            <w:shd w:val="clear" w:color="auto" w:fill="FEFEFE"/>
          </w:tcPr>
          <w:p>
            <w:pPr>
              <w:spacing w:after="0"/>
              <w:rPr>
                <w:sz w:val="22"/>
                <w:szCs w:val="22"/>
                <w:color w:val="auto"/>
              </w:rPr>
            </w:pPr>
          </w:p>
        </w:tc>
        <w:tc>
          <w:tcPr>
            <w:tcW w:w="84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Title:</w:t>
            </w:r>
          </w:p>
        </w:tc>
        <w:tc>
          <w:tcPr>
            <w:tcW w:w="43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257"/>
        </w:trPr>
        <w:tc>
          <w:tcPr>
            <w:tcW w:w="680" w:type="dxa"/>
            <w:vAlign w:val="bottom"/>
            <w:shd w:val="clear" w:color="auto" w:fill="FEFEFE"/>
          </w:tcPr>
          <w:p>
            <w:pPr>
              <w:spacing w:after="0"/>
              <w:rPr>
                <w:sz w:val="22"/>
                <w:szCs w:val="22"/>
                <w:color w:val="auto"/>
              </w:rPr>
            </w:pPr>
          </w:p>
        </w:tc>
        <w:tc>
          <w:tcPr>
            <w:tcW w:w="5340" w:type="dxa"/>
            <w:vAlign w:val="bottom"/>
            <w:shd w:val="clear" w:color="auto" w:fill="FEFEFE"/>
          </w:tcPr>
          <w:p>
            <w:pPr>
              <w:spacing w:after="0"/>
              <w:rPr>
                <w:sz w:val="22"/>
                <w:szCs w:val="22"/>
                <w:color w:val="auto"/>
              </w:rPr>
            </w:pPr>
          </w:p>
        </w:tc>
        <w:tc>
          <w:tcPr>
            <w:tcW w:w="840" w:type="dxa"/>
            <w:vAlign w:val="bottom"/>
            <w:shd w:val="clear" w:color="auto" w:fill="FEFEFE"/>
          </w:tcPr>
          <w:p>
            <w:pPr>
              <w:spacing w:after="0"/>
              <w:rPr>
                <w:sz w:val="22"/>
                <w:szCs w:val="22"/>
                <w:color w:val="auto"/>
              </w:rPr>
            </w:pPr>
          </w:p>
        </w:tc>
        <w:tc>
          <w:tcPr>
            <w:tcW w:w="4380" w:type="dxa"/>
            <w:vAlign w:val="bottom"/>
            <w:shd w:val="clear" w:color="auto" w:fill="FEFEFE"/>
          </w:tcPr>
          <w:p>
            <w:pPr>
              <w:ind w:left="20"/>
              <w:spacing w:after="0"/>
              <w:rPr>
                <w:sz w:val="20"/>
                <w:szCs w:val="20"/>
                <w:color w:val="auto"/>
              </w:rPr>
            </w:pPr>
            <w:r>
              <w:rPr>
                <w:rFonts w:ascii="Times New Roman" w:cs="Times New Roman" w:eastAsia="Times New Roman" w:hAnsi="Times New Roman"/>
                <w:sz w:val="20"/>
                <w:szCs w:val="20"/>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0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decimal"/>
      <w:start w:val="1"/>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
      <w:numFmt w:val="bullet"/>
      <w:start w:val="1"/>
    </w:lvl>
  </w:abstractNum>
  <w:abstractNum w:abstractNumId="10">
    <w:nsid w:val="8138641"/>
    <w:multiLevelType w:val="hybridMultilevel"/>
    <w:lvl w:ilvl="0">
      <w:lvlJc w:val="left"/>
      <w:lvlText w:val="(%1)"/>
      <w:numFmt w:val="decimal"/>
      <w:start w:val="1"/>
    </w:lvl>
  </w:abstractNum>
  <w:abstractNum w:abstractNumId="11">
    <w:nsid w:val="1E7FF521"/>
    <w:multiLevelType w:val="hybridMultilevel"/>
    <w:lvl w:ilvl="0">
      <w:lvlJc w:val="left"/>
      <w:lvlText w:val="(%1)"/>
      <w:numFmt w:val="decimal"/>
      <w:start w:val="2"/>
    </w:lvl>
  </w:abstractNum>
  <w:abstractNum w:abstractNumId="12">
    <w:nsid w:val="7C3DBD3D"/>
    <w:multiLevelType w:val="hybridMultilevel"/>
    <w:lvl w:ilvl="0">
      <w:lvlJc w:val="left"/>
      <w:lvlText w:val="(%1)"/>
      <w:numFmt w:val="decimal"/>
      <w:start w:val="3"/>
    </w:lvl>
  </w:abstractNum>
  <w:abstractNum w:abstractNumId="13">
    <w:nsid w:val="737B8DDC"/>
    <w:multiLevelType w:val="hybridMultilevel"/>
    <w:lvl w:ilvl="0">
      <w:lvlJc w:val="left"/>
      <w:lvlText w:val="(%1)"/>
      <w:numFmt w:val="decimal"/>
      <w:start w:val="6"/>
    </w:lvl>
  </w:abstractNum>
  <w:abstractNum w:abstractNumId="14">
    <w:nsid w:val="6CEAF087"/>
    <w:multiLevelType w:val="hybridMultilevel"/>
    <w:lvl w:ilvl="0">
      <w:lvlJc w:val="left"/>
      <w:lvlText w:val="•"/>
      <w:numFmt w:val="bullet"/>
      <w:start w:val="1"/>
    </w:lvl>
  </w:abstractNum>
  <w:abstractNum w:abstractNumId="15">
    <w:nsid w:val="22221A70"/>
    <w:multiLevelType w:val="hybridMultilevel"/>
    <w:lvl w:ilvl="0">
      <w:lvlJc w:val="left"/>
      <w:lvlText w:val="•"/>
      <w:numFmt w:val="bullet"/>
      <w:start w:val="1"/>
    </w:lvl>
  </w:abstractNum>
  <w:abstractNum w:abstractNumId="16">
    <w:nsid w:val="4516DDE9"/>
    <w:multiLevelType w:val="hybridMultilevel"/>
    <w:lvl w:ilvl="0">
      <w:lvlJc w:val="left"/>
      <w:lvlText w:val="•"/>
      <w:numFmt w:val="bullet"/>
      <w:start w:val="1"/>
    </w:lvl>
  </w:abstractNum>
  <w:abstractNum w:abstractNumId="17">
    <w:nsid w:val="3006C83E"/>
    <w:multiLevelType w:val="hybridMultilevel"/>
    <w:lvl w:ilvl="0">
      <w:lvlJc w:val="left"/>
      <w:lvlText w:val="•"/>
      <w:numFmt w:val="bullet"/>
      <w:start w:val="1"/>
    </w:lvl>
  </w:abstractNum>
  <w:abstractNum w:abstractNumId="18">
    <w:nsid w:val="614FD4A1"/>
    <w:multiLevelType w:val="hybridMultilevel"/>
    <w:lvl w:ilvl="0">
      <w:lvlJc w:val="left"/>
      <w:lvlText w:val="•"/>
      <w:numFmt w:val="bullet"/>
      <w:start w:val="1"/>
    </w:lvl>
  </w:abstractNum>
  <w:abstractNum w:abstractNumId="19">
    <w:nsid w:val="419AC241"/>
    <w:multiLevelType w:val="hybridMultilevel"/>
    <w:lvl w:ilvl="0">
      <w:lvlJc w:val="left"/>
      <w:lvlText w:val="•"/>
      <w:numFmt w:val="bullet"/>
      <w:start w:val="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
      <w:numFmt w:val="bullet"/>
      <w:start w:val="1"/>
    </w:lvl>
  </w:abstractNum>
  <w:abstractNum w:abstractNumId="22">
    <w:nsid w:val="5072367"/>
    <w:multiLevelType w:val="hybridMultilevel"/>
    <w:lvl w:ilvl="0">
      <w:lvlJc w:val="left"/>
      <w:lvlText w:val="•"/>
      <w:numFmt w:val="bullet"/>
      <w:start w:val="1"/>
    </w:lvl>
  </w:abstractNum>
  <w:abstractNum w:abstractNumId="23">
    <w:nsid w:val="3804823E"/>
    <w:multiLevelType w:val="hybridMultilevel"/>
    <w:lvl w:ilvl="0">
      <w:lvlJc w:val="left"/>
      <w:lvlText w:val="•"/>
      <w:numFmt w:val="bullet"/>
      <w:start w:val="1"/>
    </w:lvl>
  </w:abstractNum>
  <w:abstractNum w:abstractNumId="24">
    <w:nsid w:val="77465F01"/>
    <w:multiLevelType w:val="hybridMultilevel"/>
    <w:lvl w:ilvl="0">
      <w:lvlJc w:val="left"/>
      <w:lvlText w:val="•"/>
      <w:numFmt w:val="bullet"/>
      <w:start w:val="1"/>
    </w:lvl>
  </w:abstractNum>
  <w:abstractNum w:abstractNumId="25">
    <w:nsid w:val="7724C67E"/>
    <w:multiLevelType w:val="hybridMultilevel"/>
    <w:lvl w:ilvl="0">
      <w:lvlJc w:val="left"/>
      <w:lvlText w:val="•"/>
      <w:numFmt w:val="bullet"/>
      <w:start w:val="1"/>
    </w:lvl>
  </w:abstractNum>
  <w:abstractNum w:abstractNumId="26">
    <w:nsid w:val="5C482A97"/>
    <w:multiLevelType w:val="hybridMultilevel"/>
    <w:lvl w:ilvl="0">
      <w:lvlJc w:val="left"/>
      <w:lvlText w:val="•"/>
      <w:numFmt w:val="bullet"/>
      <w:start w:val="1"/>
    </w:lvl>
  </w:abstractNum>
  <w:abstractNum w:abstractNumId="27">
    <w:nsid w:val="2463B9EA"/>
    <w:multiLevelType w:val="hybridMultilevel"/>
    <w:lvl w:ilvl="0">
      <w:lvlJc w:val="left"/>
      <w:lvlText w:val="•"/>
      <w:numFmt w:val="bullet"/>
      <w:start w:val="1"/>
    </w:lvl>
  </w:abstractNum>
  <w:abstractNum w:abstractNumId="28">
    <w:nsid w:val="5E884ADC"/>
    <w:multiLevelType w:val="hybridMultilevel"/>
    <w:lvl w:ilvl="0">
      <w:lvlJc w:val="left"/>
      <w:lvlText w:val="•"/>
      <w:numFmt w:val="bullet"/>
      <w:start w:val="1"/>
    </w:lvl>
  </w:abstractNum>
  <w:abstractNum w:abstractNumId="29">
    <w:nsid w:val="51EAD36B"/>
    <w:multiLevelType w:val="hybridMultilevel"/>
    <w:lvl w:ilvl="0">
      <w:lvlJc w:val="left"/>
      <w:lvlText w:val="•"/>
      <w:numFmt w:val="bullet"/>
      <w:start w:val="1"/>
    </w:lvl>
  </w:abstractNum>
  <w:abstractNum w:abstractNumId="30">
    <w:nsid w:val="2D517796"/>
    <w:multiLevelType w:val="hybridMultilevel"/>
    <w:lvl w:ilvl="0">
      <w:lvlJc w:val="left"/>
      <w:lvlText w:val="•"/>
      <w:numFmt w:val="bullet"/>
      <w:start w:val="1"/>
    </w:lvl>
  </w:abstractNum>
  <w:abstractNum w:abstractNumId="31">
    <w:nsid w:val="580BD78F"/>
    <w:multiLevelType w:val="hybridMultilevel"/>
    <w:lvl w:ilvl="0">
      <w:lvlJc w:val="left"/>
      <w:lvlText w:val="•"/>
      <w:numFmt w:val="bullet"/>
      <w:start w:val="1"/>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
      <w:numFmt w:val="bullet"/>
      <w:start w:val="1"/>
    </w:lvl>
  </w:abstractNum>
  <w:abstractNum w:abstractNumId="34">
    <w:nsid w:val="70A64E2A"/>
    <w:multiLevelType w:val="hybridMultilevel"/>
    <w:lvl w:ilvl="0">
      <w:lvlJc w:val="left"/>
      <w:lvlText w:val="•"/>
      <w:numFmt w:val="bullet"/>
      <w:start w:val="1"/>
    </w:lvl>
  </w:abstractNum>
  <w:abstractNum w:abstractNumId="35">
    <w:nsid w:val="6A2342EC"/>
    <w:multiLevelType w:val="hybridMultilevel"/>
    <w:lvl w:ilvl="0">
      <w:lvlJc w:val="left"/>
      <w:lvlText w:val="•"/>
      <w:numFmt w:val="bullet"/>
      <w:start w:val="1"/>
    </w:lvl>
  </w:abstractNum>
  <w:abstractNum w:abstractNumId="36">
    <w:nsid w:val="2A487CB0"/>
    <w:multiLevelType w:val="hybridMultilevel"/>
    <w:lvl w:ilvl="0">
      <w:lvlJc w:val="left"/>
      <w:lvlText w:val="•"/>
      <w:numFmt w:val="bullet"/>
      <w:start w:val="1"/>
    </w:lvl>
  </w:abstractNum>
  <w:abstractNum w:abstractNumId="37">
    <w:nsid w:val="1D4ED43B"/>
    <w:multiLevelType w:val="hybridMultilevel"/>
    <w:lvl w:ilvl="0">
      <w:lvlJc w:val="left"/>
      <w:lvlText w:val="•"/>
      <w:numFmt w:val="bullet"/>
      <w:start w:val="1"/>
    </w:lvl>
  </w:abstractNum>
  <w:abstractNum w:abstractNumId="38">
    <w:nsid w:val="725A06FB"/>
    <w:multiLevelType w:val="hybridMultilevel"/>
    <w:lvl w:ilvl="0">
      <w:lvlJc w:val="left"/>
      <w:lvlText w:val="•"/>
      <w:numFmt w:val="bullet"/>
      <w:start w:val="1"/>
    </w:lvl>
  </w:abstractNum>
  <w:abstractNum w:abstractNumId="39">
    <w:nsid w:val="2CD89A32"/>
    <w:multiLevelType w:val="hybridMultilevel"/>
    <w:lvl w:ilvl="0">
      <w:lvlJc w:val="left"/>
      <w:lvlText w:val="•"/>
      <w:numFmt w:val="bullet"/>
      <w:start w:val="1"/>
    </w:lvl>
  </w:abstractNum>
  <w:abstractNum w:abstractNumId="40">
    <w:nsid w:val="57E4CCAF"/>
    <w:multiLevelType w:val="hybridMultilevel"/>
    <w:lvl w:ilvl="0">
      <w:lvlJc w:val="left"/>
      <w:lvlText w:val="*"/>
      <w:numFmt w:val="bullet"/>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decimal"/>
      <w:start w:val="5"/>
    </w:lvl>
  </w:abstractNum>
  <w:abstractNum w:abstractNumId="44">
    <w:nsid w:val="6DE91B18"/>
    <w:multiLevelType w:val="hybridMultilevel"/>
    <w:lvl w:ilvl="0">
      <w:lvlJc w:val="left"/>
      <w:lvlText w:val="(%1)"/>
      <w:numFmt w:val="lowerLetter"/>
      <w:start w:val="1"/>
    </w:lvl>
  </w:abstractNum>
  <w:abstractNum w:abstractNumId="45">
    <w:nsid w:val="38437FDB"/>
    <w:multiLevelType w:val="hybridMultilevel"/>
    <w:lvl w:ilvl="0">
      <w:lvlJc w:val="left"/>
      <w:lvlText w:val="%1."/>
      <w:numFmt w:val="decimal"/>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decimal"/>
      <w:start w:val="5"/>
    </w:lvl>
  </w:abstractNum>
  <w:abstractNum w:abstractNumId="48">
    <w:nsid w:val="684A481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2026-05-26T15:38:03Z</dcterms:created>
  <dcterms:modified xsi:type="dcterms:W3CDTF">2026-05-26T15:38:03Z</dcterms:modified>
</cp:coreProperties>
</file>