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 2026</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Zscaler, Inc.</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971" w:type="dxa"/>
        <w:jc w:val="center"/>
        <w:tblInd w:w="0" w:type="dxa"/>
        <w:tblLayout w:type="fixed"/>
        <w:tblCellMar>
          <w:top w:w="28" w:type="dxa"/>
          <w:left w:w="28" w:type="dxa"/>
          <w:bottom w:w="28" w:type="dxa"/>
          <w:right w:w="28" w:type="dxa"/>
        </w:tblCellMar>
      </w:tblPr>
      <w:tblGrid>
        <w:gridCol w:w="1564"/>
        <w:gridCol w:w="1374"/>
        <w:gridCol w:w="1382"/>
        <w:gridCol w:w="764"/>
        <w:gridCol w:w="764"/>
        <w:gridCol w:w="766"/>
        <w:gridCol w:w="994"/>
        <w:gridCol w:w="994"/>
        <w:gridCol w:w="997"/>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001-38413</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26-1173892</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120 Holger Way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(408) 533-0288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56" w:type="dxa"/>
        <w:jc w:val="center"/>
        <w:tblInd w:w="0" w:type="dxa"/>
        <w:tblLayout w:type="fixed"/>
        <w:tblCellMar>
          <w:top w:w="28" w:type="dxa"/>
          <w:left w:w="28" w:type="dxa"/>
          <w:bottom w:w="28" w:type="dxa"/>
          <w:right w:w="28" w:type="dxa"/>
        </w:tblCellMar>
      </w:tblPr>
      <w:tblGrid>
        <w:gridCol w:w="124"/>
        <w:gridCol w:w="109"/>
        <w:gridCol w:w="109"/>
        <w:gridCol w:w="848"/>
        <w:gridCol w:w="848"/>
        <w:gridCol w:w="853"/>
        <w:gridCol w:w="519"/>
        <w:gridCol w:w="519"/>
        <w:gridCol w:w="521"/>
        <w:gridCol w:w="1143"/>
        <w:gridCol w:w="1143"/>
        <w:gridCol w:w="11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ZS</w:t>
            </w:r>
          </w:p>
        </w:tc>
        <w:tc>
          <w:tcPr>
            <w:tcW w:w="34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345" w:before="0" w:after="0"/>
        <w:jc w:val="both"/>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345" w:before="0" w:after="0"/>
        <w:jc w:val="both"/>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September 3, 2026, Zscaler, Inc. issued a press release announcing its financial results for the fourth fiscal quarter and fiscal year ended July 31, 2026. A copy of the press release is furnished herewith as Exhibit 99.1 and incorporated herein by reference.</w:t>
      </w:r>
    </w:p>
    <w:p>
      <w:pPr>
        <w:pStyle w:val="TextBody"/>
        <w:bidi w:val="0"/>
        <w:spacing w:lineRule="auto" w:line="288" w:before="0" w:after="240"/>
        <w:ind w:left="0" w:right="0" w:firstLine="500"/>
        <w:jc w:val="both"/>
        <w:rPr/>
      </w:pPr>
      <w:r>
        <w:rPr>
          <w:rFonts w:ascii="Times New Roman;serif" w:hAnsi="Times New Roman;serif"/>
          <w:b w:val="false"/>
          <w:color w:val="000000"/>
          <w:sz w:val="20"/>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r>
        <w:rPr>
          <w:color w:val="000000"/>
          <w:shd w:fill="FFFFFF" w:val="clear"/>
        </w:rPr>
        <w:t>    </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 xml:space="preserve">Item 2.05 Costs Associated with Exit or Disposal Activities.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 committed to a plan to restructure and reduce the Company’s workforce, strategically reallocating resources to provide additional capacity to support our AI and growth initiatives. In connection with these actions, we expect to reduce our worldwide headcount by approximately 3% and incur aggregate non-recurring charges of approximately $30.0 million to $33.0 million, consisting primarily of employee severance and benefit costs. We expect to recognize the majority of these charges in the first half of fiscal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charges that the Company expects to incur are subject to a number of assumptions, and actual expenses may differ materially from these estimates. The Company may also incur additional costs not currently contemplated due to unanticipated events that may occur as a result of, or that are associated with, its plan.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This Current Report on Form 8-K contains forward-looking statements that involve risks and uncertainties, including, but not limited to, statements regarding the Company’s expectations regarding the costs, timing and financial impacts of the restructuring and related matters. There are a significant number of factors that could cause actual results to differ materially from statements made in this Current Report on Form 8-K, including, but not limited to, risks related to the Company’s ability to successfully implement its cost-saving initiatives and to capture expected efficiencies; its expectations regarding the impact of such actions on its business, operations and financial condition; the Company’s ability to manage its growth, culture and talent; execution of its plans and strategies; and general economic conditions. Additional risks and uncertainties that could affect the Company’s financial results are included under the captions “Risk Factors” and “Management’s Discussion and Analysis of Financial Condition and Results of Operations” set forth from time to time in the Company’s filings and reports with the Securities and Exchange Commission (“SEC”), including the Quarterly Report on Form 10-Q for the fiscal quarter ended April 30, 2026 filed on May 26, 2026, as well as future filings and reports by the Company, copies of which are available on the Company’s website at </w:t>
      </w:r>
      <w:r>
        <w:rPr>
          <w:rFonts w:ascii="Times New Roman;serif" w:hAnsi="Times New Roman;serif"/>
          <w:b w:val="false"/>
          <w:color w:val="0000FF"/>
          <w:sz w:val="20"/>
        </w:rPr>
        <w:t xml:space="preserve">ir.zscaler.com </w:t>
      </w:r>
      <w:r>
        <w:rPr>
          <w:rFonts w:ascii="Times New Roman;serif" w:hAnsi="Times New Roman;serif"/>
          <w:b w:val="false"/>
          <w:color w:val="000000"/>
          <w:sz w:val="20"/>
        </w:rPr>
        <w:t xml:space="preserve">and on the SEC’s website at </w:t>
      </w:r>
      <w:r>
        <w:rPr>
          <w:rFonts w:ascii="Times New Roman;serif" w:hAnsi="Times New Roman;serif"/>
          <w:b w:val="false"/>
          <w:color w:val="0000FF"/>
          <w:sz w:val="20"/>
        </w:rPr>
        <w:t>www.sec.gov.</w:t>
      </w:r>
      <w:r>
        <w:rPr>
          <w:color w:val="000000"/>
        </w:rPr>
        <w:t xml:space="preserve"> </w:t>
      </w:r>
      <w:r>
        <w:rPr>
          <w:rFonts w:ascii="Times New Roman;serif" w:hAnsi="Times New Roman;serif"/>
          <w:b w:val="false"/>
          <w:color w:val="000000"/>
          <w:sz w:val="20"/>
        </w:rPr>
        <w:t>You should not rely on these forward-looking statements, as actual outcomes and results may differ materially from those contemplated by these forward-looking statements as a result of such risks and uncertainties. Additional information will also be set forth in other filings that the Company makes with the SEC from time to time. All forward-looking statements in this Current Report on Form 8-K are based on information available to the Company as of the date hereof, and the Company does not assume any obligation to update the forward-looking statements provided to reflect events that occur or circumstances that exist after the date on which they were made.</w:t>
      </w:r>
    </w:p>
    <w:p>
      <w:pPr>
        <w:pStyle w:val="TextBody"/>
        <w:bidi w:val="0"/>
        <w:spacing w:before="0" w:after="240"/>
        <w:jc w:val="both"/>
        <w:rPr/>
      </w:pPr>
      <w:r>
        <w:rPr/>
      </w:r>
    </w:p>
    <w:p>
      <w:pPr>
        <w:pStyle w:val="TextBody"/>
        <w:bidi w:val="0"/>
        <w:spacing w:lineRule="auto" w:line="276" w:before="0" w:after="240"/>
        <w:jc w:val="both"/>
        <w:rPr/>
      </w:pPr>
      <w:r>
        <w:rPr>
          <w:rFonts w:ascii="Times New Roman;serif" w:hAnsi="Times New Roman;serif"/>
          <w:b/>
          <w:color w:val="000000"/>
          <w:sz w:val="20"/>
        </w:rPr>
        <w:t>Item 9.01 Financial Statements and Exhibits</w:t>
      </w:r>
      <w:r>
        <w:rPr>
          <w:rFonts w:ascii="Times New Roman;serif" w:hAnsi="Times New Roman;serif"/>
          <w:b/>
          <w:color w:val="000000"/>
          <w:sz w:val="20"/>
          <w:shd w:fill="FFFFFF" w:val="clear"/>
        </w:rPr>
        <w:t>.</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(d) Exhibits.</w:t>
      </w:r>
    </w:p>
    <w:tbl>
      <w:tblPr>
        <w:tblW w:w="7604" w:type="dxa"/>
        <w:jc w:val="left"/>
        <w:tblInd w:w="0" w:type="dxa"/>
        <w:tblLayout w:type="fixed"/>
        <w:tblCellMar>
          <w:top w:w="28" w:type="dxa"/>
          <w:left w:w="28" w:type="dxa"/>
          <w:bottom w:w="28" w:type="dxa"/>
          <w:right w:w="28" w:type="dxa"/>
        </w:tblCellMar>
      </w:tblPr>
      <w:tblGrid>
        <w:gridCol w:w="391"/>
        <w:gridCol w:w="344"/>
        <w:gridCol w:w="345"/>
        <w:gridCol w:w="1906"/>
        <w:gridCol w:w="1906"/>
        <w:gridCol w:w="271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07312026_991.htm">
              <w:r>
                <w:rPr>
                  <w:rStyle w:val="InternetLink"/>
                  <w:rFonts w:ascii="Times New Roman;serif" w:hAnsi="Times New Roman;serif"/>
                  <w:b w:val="false"/>
                  <w:color w:val="000080"/>
                  <w:sz w:val="20"/>
                  <w:u w:val="single"/>
                </w:rPr>
                <w:t xml:space="preserve">Press release dated September </w:t>
              </w:r>
            </w:hyperlink>
            <w:hyperlink w:anchor="zs-07312026_991.htm">
              <w:r>
                <w:rPr>
                  <w:rStyle w:val="InternetLink"/>
                  <w:rFonts w:ascii="Times New Roman;serif" w:hAnsi="Times New Roman;serif"/>
                  <w:b w:val="false"/>
                  <w:color w:val="000080"/>
                  <w:sz w:val="20"/>
                  <w:u w:val="single"/>
                </w:rPr>
                <w:t>3</w:t>
              </w:r>
            </w:hyperlink>
            <w:hyperlink w:anchor="zs-07312026_991.htm">
              <w:r>
                <w:rPr>
                  <w:rStyle w:val="InternetLink"/>
                  <w:rFonts w:ascii="Times New Roman;serif" w:hAnsi="Times New Roman;serif"/>
                  <w:b w:val="false"/>
                  <w:color w:val="000080"/>
                  <w:sz w:val="20"/>
                  <w:u w:val="single"/>
                </w:rPr>
                <w:t>, 202</w:t>
              </w:r>
            </w:hyperlink>
            <w:hyperlink w:anchor="zs-07312026_991.htm">
              <w:r>
                <w:rPr>
                  <w:rStyle w:val="InternetLink"/>
                  <w:rFonts w:ascii="Times New Roman;serif" w:hAnsi="Times New Roman;serif"/>
                  <w:b w:val="false"/>
                  <w:color w:val="000080"/>
                  <w:sz w:val="20"/>
                  <w:u w:val="single"/>
                </w:rPr>
                <w:t>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205" w:type="dxa"/>
        <w:jc w:val="left"/>
        <w:tblInd w:w="0" w:type="dxa"/>
        <w:tblLayout w:type="fixed"/>
        <w:tblCellMar>
          <w:top w:w="28" w:type="dxa"/>
          <w:left w:w="28" w:type="dxa"/>
          <w:bottom w:w="28" w:type="dxa"/>
          <w:right w:w="28" w:type="dxa"/>
        </w:tblCellMar>
      </w:tblPr>
      <w:tblGrid>
        <w:gridCol w:w="591"/>
        <w:gridCol w:w="521"/>
        <w:gridCol w:w="522"/>
        <w:gridCol w:w="187"/>
        <w:gridCol w:w="187"/>
        <w:gridCol w:w="187"/>
        <w:gridCol w:w="587"/>
        <w:gridCol w:w="587"/>
        <w:gridCol w:w="83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Zscaler,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5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542" w:before="0" w:after="0"/>
        <w:jc w:val="center"/>
        <w:rPr>
          <w:rFonts w:ascii="Times New Roman;serif" w:hAnsi="Times New Roman;serif"/>
          <w:b/>
          <w:color w:val="000000"/>
          <w:sz w:val="20"/>
        </w:rPr>
      </w:pPr>
      <w:r>
        <w:rPr>
          <w:rFonts w:ascii="Times New Roman;serif" w:hAnsi="Times New Roman;serif"/>
          <w:b/>
          <w:color w:val="000000"/>
          <w:sz w:val="20"/>
        </w:rPr>
        <w:t>Zscaler Announces Strong Fourth Quarter and Fiscal 2026 Financial Results</w:t>
      </w:r>
    </w:p>
    <w:p>
      <w:pPr>
        <w:pStyle w:val="TextBody"/>
        <w:bidi w:val="0"/>
        <w:spacing w:lineRule="auto" w:line="276" w:before="120" w:after="283"/>
        <w:jc w:val="center"/>
        <w:rPr>
          <w:rFonts w:ascii="Times New Roman;serif" w:hAnsi="Times New Roman;serif"/>
          <w:b/>
          <w:i/>
          <w:color w:val="000000"/>
          <w:sz w:val="20"/>
        </w:rPr>
      </w:pPr>
      <w:r>
        <w:rPr>
          <w:rFonts w:ascii="Times New Roman;serif" w:hAnsi="Times New Roman;serif"/>
          <w:b/>
          <w:i/>
          <w:color w:val="000000"/>
          <w:sz w:val="20"/>
        </w:rPr>
        <w:t>Achieves strong Q4 and FY26 revenue growth of 25% year over year</w:t>
      </w:r>
    </w:p>
    <w:p>
      <w:pPr>
        <w:pStyle w:val="TextBody"/>
        <w:bidi w:val="0"/>
        <w:spacing w:lineRule="auto" w:line="276" w:before="120" w:after="283"/>
        <w:jc w:val="center"/>
        <w:rPr>
          <w:rFonts w:ascii="Times New Roman;serif" w:hAnsi="Times New Roman;serif"/>
          <w:b/>
          <w:i/>
          <w:color w:val="000000"/>
          <w:sz w:val="20"/>
        </w:rPr>
      </w:pPr>
      <w:r>
        <w:rPr>
          <w:rFonts w:ascii="Times New Roman;serif" w:hAnsi="Times New Roman;serif"/>
          <w:b/>
          <w:i/>
          <w:color w:val="000000"/>
          <w:sz w:val="20"/>
        </w:rPr>
        <w:t>Generates Q4 and FY26 ARR growth of 25% year over year</w:t>
      </w:r>
    </w:p>
    <w:p>
      <w:pPr>
        <w:pStyle w:val="TextBody"/>
        <w:bidi w:val="0"/>
        <w:spacing w:lineRule="auto" w:line="288" w:before="240" w:after="283"/>
        <w:ind w:left="0" w:right="0" w:firstLine="500"/>
        <w:jc w:val="both"/>
        <w:rPr/>
      </w:pPr>
      <w:r>
        <w:rPr>
          <w:rFonts w:ascii="Times New Roman;serif" w:hAnsi="Times New Roman;serif"/>
          <w:b/>
          <w:color w:val="000000"/>
          <w:sz w:val="20"/>
          <w:shd w:fill="FFFFFF" w:val="clear"/>
        </w:rPr>
        <w:t>SAN JOSE, California - </w:t>
      </w:r>
      <w:r>
        <w:rPr>
          <w:rFonts w:ascii="Times New Roman;serif" w:hAnsi="Times New Roman;serif"/>
          <w:b w:val="false"/>
          <w:color w:val="000000"/>
          <w:sz w:val="20"/>
          <w:shd w:fill="FFFFFF" w:val="clear"/>
        </w:rPr>
        <w:t>Sept 3, 2026 - Zscaler, Inc. (Nasdaq: ZS), the leader in cloud security, today</w:t>
      </w:r>
      <w:r>
        <w:rPr>
          <w:color w:val="000000"/>
        </w:rPr>
        <w:t xml:space="preserve"> </w:t>
      </w:r>
      <w:r>
        <w:rPr>
          <w:rFonts w:ascii="Times New Roman;serif" w:hAnsi="Times New Roman;serif"/>
          <w:b w:val="false"/>
          <w:color w:val="000000"/>
          <w:sz w:val="20"/>
        </w:rPr>
        <w:t>announced financial results for its fiscal fourth quarter and fiscal year ended July 31, 2026</w:t>
      </w:r>
      <w:r>
        <w:rPr>
          <w:rFonts w:ascii="Arial;sans-serif" w:hAnsi="Arial;sans-serif"/>
          <w:b w:val="false"/>
          <w:color w:val="000000"/>
          <w:sz w:val="24"/>
        </w:rPr>
        <w:t>.</w:t>
      </w:r>
      <w:r>
        <w:rPr>
          <w:color w:val="000000"/>
        </w:rPr>
        <w:t xml:space="preserve"> </w:t>
      </w:r>
    </w:p>
    <w:p>
      <w:pPr>
        <w:pStyle w:val="TextBody"/>
        <w:bidi w:val="0"/>
        <w:spacing w:lineRule="auto" w:line="288" w:before="240" w:after="180"/>
        <w:ind w:left="0" w:right="0" w:firstLine="720"/>
        <w:jc w:val="both"/>
        <w:rPr/>
      </w:pPr>
      <w:r>
        <w:rPr>
          <w:color w:val="000000"/>
        </w:rPr>
        <w:t>“</w:t>
      </w:r>
      <w:r>
        <w:rPr>
          <w:rFonts w:ascii="Times New Roman;serif" w:hAnsi="Times New Roman;serif"/>
          <w:b w:val="false"/>
          <w:color w:val="000000"/>
          <w:sz w:val="20"/>
        </w:rPr>
        <w:t>AI represents one of the most significant opportunities in Zscaler's history. By connecting users, workloads, branches, and now agents directly to the applications they need without placing them on the network, we are uniquely equipped to help companie</w:t>
      </w:r>
      <w:r>
        <w:rPr>
          <w:rFonts w:ascii="Times New Roman;serif" w:hAnsi="Times New Roman;serif"/>
          <w:b w:val="false"/>
          <w:color w:val="000000"/>
          <w:sz w:val="20"/>
          <w:shd w:fill="FFFFFF" w:val="clear"/>
        </w:rPr>
        <w:t>s both combat the threats created by agentic AI and securely deploy AI ag</w:t>
      </w:r>
      <w:r>
        <w:rPr>
          <w:rFonts w:ascii="Times New Roman;serif" w:hAnsi="Times New Roman;serif"/>
          <w:b w:val="false"/>
          <w:color w:val="000000"/>
          <w:sz w:val="20"/>
        </w:rPr>
        <w:t>ents and models,” said Jay Chaudhry, CEO, Chairman and Founder of Zscaler. “Our continued innovation across Zero Trust SASE, Agentic SecOps, Data Security, and Security for AI is driving increased platform adoption and creating new avenues for growth, as reflected in our strong Q4 results. As AI becomes foundational to how organizations operate, we are well positioned to extend our leadership as the cybersecurity platform for the AI era.”</w:t>
      </w:r>
    </w:p>
    <w:p>
      <w:pPr>
        <w:pStyle w:val="TextBody"/>
        <w:bidi w:val="0"/>
        <w:spacing w:lineRule="auto" w:line="288" w:before="240" w:after="180"/>
        <w:ind w:left="0" w:right="0" w:firstLine="720"/>
        <w:jc w:val="both"/>
        <w:rPr>
          <w:color w:val="000000"/>
        </w:rPr>
      </w:pPr>
      <w:r>
        <w:rPr>
          <w:color w:val="000000"/>
        </w:rPr>
        <w:t>“</w:t>
      </w:r>
      <w:r>
        <w:rPr>
          <w:rFonts w:ascii="Times New Roman;serif" w:hAnsi="Times New Roman;serif"/>
          <w:b w:val="false"/>
          <w:color w:val="000000"/>
          <w:sz w:val="20"/>
        </w:rPr>
        <w:t>We delivered a strong fourth quarter, with revenue and ARR both growing 25% year over year, net new ARR growing 24%, and non-GAAP operating margin reaching a record 24%,” said Kevin Rubin, chief financial officer of Zscaler. “Our growth engine continues to broaden beyond users, with a strong contribution from non-seat-based solutions, continued Z-Flex momentum, record large-deal activity, and improving sales productivity. I am excited about our momentum as we enter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Fourth Quarter Fiscal 2026 Results</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Revenue:</w:t>
      </w:r>
      <w:r>
        <w:rPr>
          <w:color w:val="000000"/>
        </w:rPr>
        <w:t> </w:t>
      </w:r>
      <w:r>
        <w:rPr>
          <w:rFonts w:ascii="Times New Roman;serif" w:hAnsi="Times New Roman;serif"/>
          <w:b w:val="false"/>
          <w:color w:val="000000"/>
          <w:sz w:val="20"/>
        </w:rPr>
        <w:t>Grew 25% year over year to $898.2 million.</w:t>
      </w:r>
    </w:p>
    <w:p>
      <w:pPr>
        <w:pStyle w:val="TextBody"/>
        <w:bidi w:val="0"/>
        <w:spacing w:lineRule="auto" w:line="288" w:before="120" w:after="120"/>
        <w:ind w:left="0" w:right="0" w:hanging="180"/>
        <w:jc w:val="both"/>
        <w:rPr/>
      </w:pPr>
      <w:r>
        <w:rPr>
          <w:color w:val="000000"/>
          <w:shd w:fill="FFFFFF" w:val="clear"/>
        </w:rPr>
        <w:t>•</w:t>
      </w:r>
      <w:r>
        <w:rPr>
          <w:rFonts w:ascii="Times New Roman;serif" w:hAnsi="Times New Roman;serif"/>
          <w:b/>
          <w:color w:val="000000"/>
          <w:sz w:val="20"/>
        </w:rPr>
        <w:t>ARR:</w:t>
      </w:r>
      <w:r>
        <w:rPr>
          <w:color w:val="000000"/>
        </w:rPr>
        <w:t xml:space="preserve"> </w:t>
      </w:r>
      <w:r>
        <w:rPr>
          <w:rFonts w:ascii="Times New Roman;serif" w:hAnsi="Times New Roman;serif"/>
          <w:b w:val="false"/>
          <w:color w:val="000000"/>
          <w:sz w:val="20"/>
        </w:rPr>
        <w:t>Grew 25% year over year to $3,771 million, of which $246 million was net new ARR during the fourth quarter of fiscal 2026. Excluding the acquisition of Red Canary, which contributed ARR of $141 million, ARR grew 20% to $3,630 million and net new ARR grew 17%.</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Income (loss) from operations:</w:t>
      </w:r>
      <w:r>
        <w:rPr>
          <w:color w:val="000000"/>
        </w:rPr>
        <w:t xml:space="preserve"> </w:t>
      </w:r>
      <w:r>
        <w:rPr>
          <w:rFonts w:ascii="Times New Roman;serif" w:hAnsi="Times New Roman;serif"/>
          <w:b w:val="false"/>
          <w:color w:val="000000"/>
          <w:sz w:val="20"/>
        </w:rPr>
        <w:t>GAAP loss from operations was $15.5 million, or 2% of revenue, compared to $32.2 million, or 4% of revenue, in the fourth quarter of fiscal 2025. Non-GAAP income from operations was $218.4 million, or a record 24% of revenue, compared to $158.9 million, or 22% of revenue, in the fourth quarter of fiscal 2025.</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Net income (loss):</w:t>
      </w:r>
      <w:r>
        <w:rPr>
          <w:color w:val="000000"/>
        </w:rPr>
        <w:t xml:space="preserve"> </w:t>
      </w:r>
      <w:r>
        <w:rPr>
          <w:rFonts w:ascii="Times New Roman;serif" w:hAnsi="Times New Roman;serif"/>
          <w:b w:val="false"/>
          <w:color w:val="000000"/>
          <w:sz w:val="20"/>
        </w:rPr>
        <w:t xml:space="preserve">GAAP net loss was $3.4 million, compared to $17.6 million in the fourth quarter of fiscal 2025. Non-GAAP net income was $198.2 million, compared to $146.7 million in the fourth quarter of fiscal 2025. </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Net income (loss) per share, diluted:</w:t>
      </w:r>
      <w:r>
        <w:rPr>
          <w:color w:val="000000"/>
        </w:rPr>
        <w:t xml:space="preserve"> </w:t>
      </w:r>
      <w:r>
        <w:rPr>
          <w:rFonts w:ascii="Times New Roman;serif" w:hAnsi="Times New Roman;serif"/>
          <w:b w:val="false"/>
          <w:color w:val="000000"/>
          <w:sz w:val="20"/>
        </w:rPr>
        <w:t>GAAP net loss per share, diluted, was $0.02, compared to $0.11 in the fourth quarter of fiscal 2025. Non-GAAP net income per share was $1.19, compared to $0.89 in the fourth quarter of fiscal 2025.</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Cash flow:</w:t>
      </w:r>
      <w:r>
        <w:rPr>
          <w:color w:val="000000"/>
        </w:rPr>
        <w:t xml:space="preserve"> </w:t>
      </w:r>
      <w:r>
        <w:rPr>
          <w:rFonts w:ascii="Times New Roman;serif" w:hAnsi="Times New Roman;serif"/>
          <w:b w:val="false"/>
          <w:color w:val="000000"/>
          <w:sz w:val="20"/>
        </w:rPr>
        <w:t>Cash provided by operations was $279.3 million, or 31% of revenue, compared to $250.6 million, or 35% of revenue, in the fourth quarter of fiscal 2025. Free cash flow was $60.8 million, or 7% of revenue, compared to $171.9 million, or 24% of revenue, in the fourth quarter of fiscal 2025, reflecting capex and internal use software of $218.5 million in the fourth quarter of fiscal 2026 versus $78.7 million in the fourth quarter of fiscal 2025.</w:t>
      </w:r>
    </w:p>
    <w:p>
      <w:pPr>
        <w:pStyle w:val="TextBody"/>
        <w:bidi w:val="0"/>
        <w:spacing w:lineRule="auto" w:line="288" w:before="120" w:after="120"/>
        <w:ind w:left="0" w:right="0" w:hanging="180"/>
        <w:jc w:val="both"/>
        <w:rPr/>
      </w:pPr>
      <w:r>
        <w:rPr>
          <w:color w:val="000000"/>
          <w:shd w:fill="FFFFFF" w:val="clear"/>
        </w:rPr>
        <w:t>•</w:t>
      </w:r>
      <w:r>
        <w:rPr>
          <w:rFonts w:ascii="Times New Roman;serif" w:hAnsi="Times New Roman;serif"/>
          <w:b/>
          <w:color w:val="000000"/>
          <w:sz w:val="20"/>
          <w:shd w:fill="FFFFFF" w:val="clear"/>
        </w:rPr>
        <w:t>Deferred revenue:</w:t>
      </w:r>
      <w:r>
        <w:rPr>
          <w:color w:val="000000"/>
          <w:shd w:fill="FFFFFF" w:val="clear"/>
        </w:rPr>
        <w:t xml:space="preserve"> </w:t>
      </w:r>
      <w:r>
        <w:rPr>
          <w:rFonts w:ascii="Times New Roman;serif" w:hAnsi="Times New Roman;serif"/>
          <w:b w:val="false"/>
          <w:color w:val="000000"/>
          <w:sz w:val="20"/>
          <w:shd w:fill="FFFFFF" w:val="clear"/>
        </w:rPr>
        <w:t xml:space="preserve">Grew 19% year-over-year to </w:t>
      </w:r>
      <w:r>
        <w:rPr>
          <w:rFonts w:ascii="Times New Roman;serif" w:hAnsi="Times New Roman;serif"/>
          <w:b w:val="false"/>
          <w:color w:val="000000"/>
          <w:sz w:val="20"/>
        </w:rPr>
        <w:t>$2,926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Full Year Fiscal 2026 Results</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 xml:space="preserve">Revenue: </w:t>
      </w:r>
      <w:r>
        <w:rPr>
          <w:rFonts w:ascii="Times New Roman;serif" w:hAnsi="Times New Roman;serif"/>
          <w:b w:val="false"/>
          <w:color w:val="000000"/>
          <w:sz w:val="20"/>
        </w:rPr>
        <w:t xml:space="preserve">Grew 25% year over year to $3,353 million. </w:t>
      </w:r>
      <w:r>
        <w:rPr>
          <w:rFonts w:ascii="Times New Roman;serif" w:hAnsi="Times New Roman;serif"/>
          <w:b w:val="false"/>
          <w:color w:val="000000"/>
          <w:sz w:val="20"/>
          <w:shd w:fill="FFFFFF" w:val="clear"/>
        </w:rPr>
        <w:t xml:space="preserve">Excluding the acquisition of Red Canary, Revenue grew 20% to </w:t>
      </w:r>
      <w:r>
        <w:rPr>
          <w:rFonts w:ascii="Times New Roman;serif" w:hAnsi="Times New Roman;serif"/>
          <w:b w:val="false"/>
          <w:color w:val="000000"/>
          <w:sz w:val="20"/>
        </w:rPr>
        <w:t>$3,209 million</w:t>
      </w:r>
      <w:r>
        <w:rPr>
          <w:rFonts w:ascii="Times New Roman;serif" w:hAnsi="Times New Roman;serif"/>
          <w:b w:val="false"/>
          <w:color w:val="000000"/>
          <w:sz w:val="20"/>
          <w:shd w:fill="FFFFFF" w:val="clear"/>
        </w:rPr>
        <w:t>.</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Income (loss) from operations:</w:t>
      </w:r>
      <w:r>
        <w:rPr>
          <w:color w:val="000000"/>
        </w:rPr>
        <w:t xml:space="preserve"> </w:t>
      </w:r>
      <w:r>
        <w:rPr>
          <w:rFonts w:ascii="Times New Roman;serif" w:hAnsi="Times New Roman;serif"/>
          <w:b w:val="false"/>
          <w:color w:val="000000"/>
          <w:sz w:val="20"/>
        </w:rPr>
        <w:t>GAAP loss from operations was $133.3 million, or 4% of revenue, compared to $128.5 million, or 5% of revenue, in fiscal 2025. Non-GAAP income from operations was $767.1 million, or 23% of revenue, compared to $580.1 million, or 22% of revenue, in fiscal 2025.</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Net income (loss):</w:t>
      </w:r>
      <w:r>
        <w:rPr>
          <w:color w:val="000000"/>
        </w:rPr>
        <w:t xml:space="preserve"> </w:t>
      </w:r>
      <w:r>
        <w:rPr>
          <w:rFonts w:ascii="Times New Roman;serif" w:hAnsi="Times New Roman;serif"/>
          <w:b w:val="false"/>
          <w:color w:val="000000"/>
          <w:sz w:val="20"/>
        </w:rPr>
        <w:t xml:space="preserve">GAAP net loss was $63.2 million, compared to $41.5 million in fiscal 2025. Non-GAAP net income was $704.2 million, compared to $534.8 million in fiscal 2025. </w:t>
      </w:r>
    </w:p>
    <w:p>
      <w:pPr>
        <w:pStyle w:val="TextBody"/>
        <w:bidi w:val="0"/>
        <w:spacing w:lineRule="auto" w:line="288" w:before="120" w:after="120"/>
        <w:ind w:left="0" w:right="0" w:hanging="180"/>
        <w:jc w:val="both"/>
        <w:rPr/>
      </w:pPr>
      <w:r>
        <w:rPr>
          <w:color w:val="000000"/>
        </w:rPr>
        <w:t>•</w:t>
      </w:r>
      <w:r>
        <w:rPr>
          <w:rFonts w:ascii="Times New Roman;serif" w:hAnsi="Times New Roman;serif"/>
          <w:b/>
          <w:color w:val="000000"/>
          <w:sz w:val="20"/>
        </w:rPr>
        <w:t>Net income (loss) per share, diluted:</w:t>
      </w:r>
      <w:r>
        <w:rPr>
          <w:color w:val="000000"/>
        </w:rPr>
        <w:t xml:space="preserve"> </w:t>
      </w:r>
      <w:r>
        <w:rPr>
          <w:rFonts w:ascii="Times New Roman;serif" w:hAnsi="Times New Roman;serif"/>
          <w:b w:val="false"/>
          <w:color w:val="000000"/>
          <w:sz w:val="20"/>
        </w:rPr>
        <w:t>GAAP net loss per share, diluted, was $0.39, compared to $0.27 in fiscal 2025. Non-GAAP net income per share was $4.21, compared to $3.28 in fiscal 2025.</w:t>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0"/>
        </w:rPr>
        <w:t>Cash flow:</w:t>
      </w:r>
      <w:r>
        <w:rPr>
          <w:color w:val="000000"/>
        </w:rPr>
        <w:t xml:space="preserve"> </w:t>
      </w:r>
      <w:r>
        <w:rPr>
          <w:rFonts w:ascii="Times New Roman;serif" w:hAnsi="Times New Roman;serif"/>
          <w:b w:val="false"/>
          <w:color w:val="000000"/>
          <w:sz w:val="20"/>
        </w:rPr>
        <w:t>Cash provided by operations was $1,130 million, or 34% of revenue, compared to $972.5 million, or 36% of revenue, in fiscal 2025. Free cash flow was $779.1 million, or 23% of revenue, compared to $726.7 million, or 27% of revenue, in fiscal 2025.</w:t>
      </w:r>
    </w:p>
    <w:p>
      <w:pPr>
        <w:pStyle w:val="TextBody"/>
        <w:bidi w:val="0"/>
        <w:spacing w:before="0" w:after="0"/>
        <w:ind w:left="0" w:right="0" w:firstLine="180"/>
        <w:jc w:val="left"/>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Change in Non-GAAP Measures Presentation</w:t>
      </w:r>
    </w:p>
    <w:p>
      <w:pPr>
        <w:pStyle w:val="TextBody"/>
        <w:bidi w:val="0"/>
        <w:spacing w:lineRule="auto" w:line="288"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Beginning in fiscal 2026, we adopted a long-term projected non-GAAP tax rate of 21%, reduced from the previous rate of 23% which was applied to all prior periods.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76" w:before="120" w:after="6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For the first quarter of fiscal 2027, the company expects: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Revenue of $935 million to $939 million, approximately 19% year-over-year growth.</w:t>
      </w:r>
    </w:p>
    <w:p>
      <w:pPr>
        <w:pStyle w:val="TextBody"/>
        <w:bidi w:val="0"/>
        <w:spacing w:lineRule="auto" w:line="288" w:before="120" w:after="120"/>
        <w:ind w:left="0" w:right="0" w:hanging="180"/>
        <w:jc w:val="left"/>
        <w:rPr/>
      </w:pPr>
      <w:r>
        <w:rPr>
          <w:color w:val="000000"/>
        </w:rPr>
        <w:t>•</w:t>
      </w:r>
      <w:r>
        <w:rPr>
          <w:rFonts w:ascii="Times New Roman;serif" w:hAnsi="Times New Roman;serif"/>
          <w:b w:val="false"/>
          <w:color w:val="000000"/>
          <w:sz w:val="20"/>
        </w:rPr>
        <w:t>Non-GAAP gross margin of approximately 80%</w:t>
      </w:r>
    </w:p>
    <w:p>
      <w:pPr>
        <w:pStyle w:val="TextBody"/>
        <w:bidi w:val="0"/>
        <w:spacing w:lineRule="auto" w:line="276" w:before="0" w:after="0"/>
        <w:ind w:left="0" w:right="0" w:hanging="180"/>
        <w:jc w:val="both"/>
        <w:rPr/>
      </w:pPr>
      <w:r>
        <w:rPr>
          <w:color w:val="000000"/>
        </w:rPr>
        <w:t>•</w:t>
      </w:r>
      <w:r>
        <w:rPr>
          <w:rFonts w:ascii="Times New Roman;serif" w:hAnsi="Times New Roman;serif"/>
          <w:b w:val="false"/>
          <w:color w:val="000000"/>
          <w:sz w:val="20"/>
        </w:rPr>
        <w:t>Non-GAAP income from operations of $215 million to $217 million, approximately 25% to 26% year-over-year growth, representing a 23% operating margin.</w:t>
      </w:r>
    </w:p>
    <w:p>
      <w:pPr>
        <w:pStyle w:val="TextBody"/>
        <w:bidi w:val="0"/>
        <w:spacing w:lineRule="auto" w:line="288" w:before="120" w:after="300"/>
        <w:ind w:left="0" w:right="0" w:hanging="180"/>
        <w:jc w:val="both"/>
        <w:rPr/>
      </w:pPr>
      <w:r>
        <w:rPr>
          <w:color w:val="000000"/>
        </w:rPr>
        <w:t>•</w:t>
      </w:r>
      <w:r>
        <w:rPr>
          <w:rFonts w:ascii="Times New Roman;serif" w:hAnsi="Times New Roman;serif"/>
          <w:b w:val="false"/>
          <w:color w:val="000000"/>
          <w:sz w:val="20"/>
        </w:rPr>
        <w:t>Non-GAAP net income per share of approximat</w:t>
      </w:r>
      <w:r>
        <w:rPr>
          <w:rFonts w:ascii="Times New Roman;serif" w:hAnsi="Times New Roman;serif"/>
          <w:b w:val="false"/>
          <w:color w:val="000000"/>
          <w:sz w:val="20"/>
          <w:shd w:fill="FFFFFF" w:val="clear"/>
        </w:rPr>
        <w:t>ely $1.15 to $1.16, assuming</w:t>
      </w:r>
      <w:r>
        <w:rPr>
          <w:color w:val="000000"/>
        </w:rPr>
        <w:t> </w:t>
      </w:r>
      <w:r>
        <w:rPr>
          <w:rFonts w:ascii="Times New Roman;serif" w:hAnsi="Times New Roman;serif"/>
          <w:b w:val="false"/>
          <w:color w:val="000000"/>
          <w:sz w:val="20"/>
        </w:rPr>
        <w:t xml:space="preserve">approximately 170 million fully diluted shares outstanding and a non-GAAP tax rate of 21%. </w:t>
      </w:r>
    </w:p>
    <w:p>
      <w:pPr>
        <w:pStyle w:val="TextBody"/>
        <w:bidi w:val="0"/>
        <w:spacing w:lineRule="auto" w:line="276" w:before="120" w:after="6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For the full year fiscal 2027, the company expects:</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ARR of $4.396 billion to $4.426 billion, growth of approximately 16.6% to 17.4%.</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Revenue of approximately $3.908 billion to $3.938 billion, growth of 16.6% to 17.5%.</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Non-GAAP gross margin of approximately 80%</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Non-GAAP income from operations of $924 million to $932 million, </w:t>
      </w:r>
      <w:r>
        <w:rPr>
          <w:rFonts w:ascii="Times New Roman;serif" w:hAnsi="Times New Roman;serif"/>
          <w:b w:val="false"/>
          <w:color w:val="000000"/>
          <w:sz w:val="20"/>
          <w:shd w:fill="FFFFFF" w:val="clear"/>
        </w:rPr>
        <w:t>growth of approximately 21%.</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 xml:space="preserve">Non-GAAP net income per share of $4.86 to $4.90, assuming approximately 173 million fully diluted shares outstanding and a non-GAAP tax rate of 21%. </w:t>
      </w:r>
    </w:p>
    <w:p>
      <w:pPr>
        <w:pStyle w:val="TextBody"/>
        <w:bidi w:val="0"/>
        <w:spacing w:lineRule="auto" w:line="288" w:before="120" w:after="120"/>
        <w:ind w:left="0" w:right="0" w:hanging="180"/>
        <w:jc w:val="both"/>
        <w:rPr/>
      </w:pPr>
      <w:r>
        <w:rPr>
          <w:color w:val="000000"/>
        </w:rPr>
        <w:t>•</w:t>
      </w:r>
      <w:r>
        <w:rPr>
          <w:rFonts w:ascii="Times New Roman;serif" w:hAnsi="Times New Roman;serif"/>
          <w:b w:val="false"/>
          <w:color w:val="000000"/>
          <w:sz w:val="20"/>
        </w:rPr>
        <w:t>Free cash flow margin of approximately 23.0 to 23.5%.</w:t>
      </w:r>
    </w:p>
    <w:p>
      <w:pPr>
        <w:pStyle w:val="TextBody"/>
        <w:bidi w:val="0"/>
        <w:spacing w:lineRule="auto" w:line="288" w:before="1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These statements are forward-looking and actual results may differ materially. Refer to the Forward-Looking Statements safe harbor below for information on the factors that could cause our actual results to differ materially from these forward-looking statements.</w:t>
      </w:r>
    </w:p>
    <w:p>
      <w:pPr>
        <w:pStyle w:val="TextBody"/>
        <w:bidi w:val="0"/>
        <w:spacing w:before="10" w:after="283"/>
        <w:ind w:left="0" w:right="0" w:firstLine="500"/>
        <w:jc w:val="both"/>
        <w:rPr/>
      </w:pPr>
      <w:r>
        <w:rPr/>
      </w:r>
    </w:p>
    <w:p>
      <w:pPr>
        <w:pStyle w:val="TextBody"/>
        <w:bidi w:val="0"/>
        <w:spacing w:lineRule="auto" w:line="268"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Guidance for non-GAAP income from operations and non-GAAP net income per share exclude, as applicable, stock-based compensation expense and related employer payroll taxes, amortization expense of acquired intangible assets and amortization of debt issuance costs. We have not reconciled our expectations of non-GAAP income from operations and non-GAAP net income per share to their most directly comparable GAAP measures because certain items are out of our control or cannot be reasonably predicted. For those reasons, we are also unable to address the probable significance of the unavailable information, the variability of which may have a significant impact on future results. Accordingly, a reconciliation for the guidance for non-GAAP income from operations and non-GAAP net income per share is not available without unreasonable effort.</w:t>
      </w:r>
    </w:p>
    <w:p>
      <w:pPr>
        <w:pStyle w:val="TextBody"/>
        <w:bidi w:val="0"/>
        <w:spacing w:before="0" w:after="0"/>
        <w:ind w:left="0" w:right="0" w:firstLine="500"/>
        <w:jc w:val="both"/>
        <w:rPr/>
      </w:pPr>
      <w:r>
        <w:rPr/>
      </w:r>
    </w:p>
    <w:p>
      <w:pPr>
        <w:pStyle w:val="TextBody"/>
        <w:bidi w:val="0"/>
        <w:spacing w:lineRule="auto" w:line="288" w:before="1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why we believe that these non-GAAP measures provide useful information to investors, the specific manner in which management uses these measures, and some of the limitations associated with the use of these measures, please refer to the "Explanation of Non-GAAP Financial Measures" section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Conference Call and Webcast Information</w:t>
      </w:r>
    </w:p>
    <w:p>
      <w:pPr>
        <w:pStyle w:val="TextBody"/>
        <w:bidi w:val="0"/>
        <w:spacing w:lineRule="auto" w:line="276" w:before="120" w:after="60"/>
        <w:ind w:left="0" w:right="0" w:firstLine="500"/>
        <w:jc w:val="left"/>
        <w:rPr/>
      </w:pPr>
      <w:r>
        <w:rPr>
          <w:rFonts w:ascii="Times New Roman;serif" w:hAnsi="Times New Roman;serif"/>
          <w:b w:val="false"/>
          <w:color w:val="000000"/>
          <w:sz w:val="20"/>
          <w:shd w:fill="FFFFFF" w:val="clear"/>
        </w:rPr>
        <w:t xml:space="preserve">Zscaler will host a conference call for analysts and investors to discuss its </w:t>
      </w:r>
      <w:r>
        <w:rPr>
          <w:rFonts w:ascii="Times New Roman;serif" w:hAnsi="Times New Roman;serif"/>
          <w:b w:val="false"/>
          <w:color w:val="000000"/>
          <w:sz w:val="20"/>
        </w:rPr>
        <w:t>fourth</w:t>
      </w:r>
      <w:r>
        <w:rPr>
          <w:color w:val="000000"/>
          <w:shd w:fill="FFFFFF" w:val="clear"/>
        </w:rPr>
        <w:t xml:space="preserve"> </w:t>
      </w:r>
      <w:r>
        <w:rPr>
          <w:rFonts w:ascii="Times New Roman;serif" w:hAnsi="Times New Roman;serif"/>
          <w:b w:val="false"/>
          <w:color w:val="000000"/>
          <w:sz w:val="20"/>
          <w:shd w:fill="FFFFFF" w:val="clear"/>
        </w:rPr>
        <w:t xml:space="preserve">quarter of fiscal 2026 and outlook for its first quarter of fiscal 2027 </w:t>
      </w:r>
      <w:r>
        <w:rPr>
          <w:rFonts w:ascii="Times New Roman;serif" w:hAnsi="Times New Roman;serif"/>
          <w:b w:val="false"/>
          <w:color w:val="000000"/>
          <w:sz w:val="20"/>
        </w:rPr>
        <w:t xml:space="preserve">and full year fiscal </w:t>
      </w:r>
      <w:r>
        <w:rPr>
          <w:rFonts w:ascii="Times New Roman;serif" w:hAnsi="Times New Roman;serif"/>
          <w:b w:val="false"/>
          <w:color w:val="000000"/>
          <w:sz w:val="20"/>
          <w:shd w:fill="FFFFFF" w:val="clear"/>
        </w:rPr>
        <w:t>2027</w:t>
      </w:r>
      <w:r>
        <w:rPr>
          <w:color w:val="000000"/>
        </w:rPr>
        <w:t xml:space="preserve"> </w:t>
      </w:r>
      <w:r>
        <w:rPr>
          <w:rFonts w:ascii="Times New Roman;serif" w:hAnsi="Times New Roman;serif"/>
          <w:b w:val="false"/>
          <w:color w:val="000000"/>
          <w:sz w:val="20"/>
          <w:shd w:fill="FFFFFF" w:val="clear"/>
        </w:rPr>
        <w:t>today a</w:t>
      </w:r>
      <w:r>
        <w:rPr>
          <w:rFonts w:ascii="Times New Roman;serif" w:hAnsi="Times New Roman;serif"/>
          <w:b w:val="false"/>
          <w:color w:val="000000"/>
          <w:sz w:val="20"/>
        </w:rPr>
        <w:t>t 1:30 p.m. Pacific time (4:30 p.m. Eastern time).</w:t>
      </w:r>
    </w:p>
    <w:tbl>
      <w:tblPr>
        <w:tblW w:w="10205" w:type="dxa"/>
        <w:jc w:val="left"/>
        <w:tblInd w:w="0" w:type="dxa"/>
        <w:tblLayout w:type="fixed"/>
        <w:tblCellMar>
          <w:top w:w="28" w:type="dxa"/>
          <w:left w:w="28" w:type="dxa"/>
          <w:bottom w:w="28" w:type="dxa"/>
          <w:right w:w="28" w:type="dxa"/>
        </w:tblCellMar>
      </w:tblPr>
      <w:tblGrid>
        <w:gridCol w:w="309"/>
        <w:gridCol w:w="271"/>
        <w:gridCol w:w="278"/>
        <w:gridCol w:w="4743"/>
        <w:gridCol w:w="1901"/>
        <w:gridCol w:w="2703"/>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9347"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Thursday, September 3, 2026</w:t>
            </w:r>
          </w:p>
        </w:tc>
      </w:tr>
      <w:tr>
        <w:trPr/>
        <w:tc>
          <w:tcPr>
            <w:tcW w:w="858"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Time:</w:t>
            </w:r>
          </w:p>
        </w:tc>
        <w:tc>
          <w:tcPr>
            <w:tcW w:w="9347"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1:30 p.m. PT</w:t>
            </w:r>
          </w:p>
        </w:tc>
      </w:tr>
      <w:tr>
        <w:trPr/>
        <w:tc>
          <w:tcPr>
            <w:tcW w:w="858"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Webcast:</w:t>
            </w:r>
          </w:p>
        </w:tc>
        <w:tc>
          <w:tcPr>
            <w:tcW w:w="9347" w:type="dxa"/>
            <w:gridSpan w:val="3"/>
            <w:tcBorders/>
            <w:tcMar>
              <w:top w:w="0" w:type="dxa"/>
              <w:left w:w="0" w:type="dxa"/>
              <w:bottom w:w="0" w:type="dxa"/>
              <w:right w:w="0" w:type="dxa"/>
            </w:tcMar>
            <w:vAlign w:val="center"/>
          </w:tcPr>
          <w:p>
            <w:pPr>
              <w:pStyle w:val="TableContents"/>
              <w:bidi w:val="0"/>
              <w:spacing w:lineRule="auto" w:line="228" w:before="0" w:after="0"/>
              <w:jc w:val="left"/>
              <w:rPr>
                <w:rFonts w:ascii="Times New Roman;serif" w:hAnsi="Times New Roman;serif"/>
                <w:b w:val="false"/>
                <w:color w:val="0C60B0"/>
                <w:sz w:val="20"/>
              </w:rPr>
            </w:pPr>
            <w:r>
              <w:rPr>
                <w:rFonts w:ascii="Times New Roman;serif" w:hAnsi="Times New Roman;serif"/>
                <w:b w:val="false"/>
                <w:color w:val="0C60B0"/>
                <w:sz w:val="20"/>
              </w:rPr>
              <w:t>https://ir.zscaler.com</w:t>
            </w:r>
          </w:p>
        </w:tc>
      </w:tr>
      <w:tr>
        <w:trPr/>
        <w:tc>
          <w:tcPr>
            <w:tcW w:w="858"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Dial-in:</w:t>
            </w:r>
          </w:p>
        </w:tc>
        <w:tc>
          <w:tcPr>
            <w:tcW w:w="9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191C1F"/>
                <w:sz w:val="20"/>
                <w:shd w:fill="FFFFFF" w:val="clear"/>
              </w:rPr>
              <w:t>To join by phone, register at the following link: (</w:t>
            </w:r>
            <w:r>
              <w:rPr>
                <w:rFonts w:ascii="Times New Roman;serif" w:hAnsi="Times New Roman;serif"/>
                <w:b w:val="false"/>
                <w:color w:val="000000"/>
                <w:sz w:val="20"/>
                <w:shd w:fill="FFFFFF" w:val="clear"/>
              </w:rPr>
              <w:t>https://register-conf.media-server.com/register/BIe3de1626252546889d2ba4abdf070825</w:t>
            </w:r>
            <w:r>
              <w:rPr>
                <w:rFonts w:ascii="Times New Roman;serif" w:hAnsi="Times New Roman;serif"/>
                <w:b w:val="false"/>
                <w:color w:val="191C1F"/>
                <w:sz w:val="20"/>
                <w:shd w:fill="FFFFFF" w:val="clear"/>
              </w:rPr>
              <w:t>). After registering, you will be provided with a dial-in number and a personal PIN that you will need to join the call.</w:t>
            </w:r>
          </w:p>
        </w:tc>
      </w:tr>
    </w:tbl>
    <w:p>
      <w:pPr>
        <w:pStyle w:val="TextBody"/>
        <w:bidi w:val="0"/>
        <w:spacing w:before="0" w:after="0"/>
        <w:ind w:left="0" w:right="0" w:firstLine="5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500"/>
        <w:jc w:val="both"/>
        <w:rPr/>
      </w:pPr>
      <w:r>
        <w:rPr>
          <w:rFonts w:ascii="Times New Roman;serif" w:hAnsi="Times New Roman;serif"/>
          <w:b w:val="false"/>
          <w:color w:val="000000"/>
          <w:sz w:val="20"/>
          <w:shd w:fill="FFFFFF" w:val="clear"/>
        </w:rPr>
        <w:t xml:space="preserve">This press release contains forward-looking statements that involve risks and uncertainties, including, but not limited to, statements regarding our future financial and operating performance, including our financial outlook for the first quarter of fiscal 2027 and </w:t>
      </w:r>
      <w:r>
        <w:rPr>
          <w:rFonts w:ascii="Times New Roman;serif" w:hAnsi="Times New Roman;serif"/>
          <w:b w:val="false"/>
          <w:color w:val="000000"/>
          <w:sz w:val="20"/>
        </w:rPr>
        <w:t xml:space="preserve">full year fiscal </w:t>
      </w:r>
      <w:r>
        <w:rPr>
          <w:rFonts w:ascii="Times New Roman;serif" w:hAnsi="Times New Roman;serif"/>
          <w:b w:val="false"/>
          <w:color w:val="000000"/>
          <w:sz w:val="20"/>
          <w:shd w:fill="FFFFFF" w:val="clear"/>
        </w:rPr>
        <w:t>2027</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There are a significant number of factors that could cause actual results to differ materially from statements made in this press release, including but not limited to: </w:t>
      </w:r>
      <w:r>
        <w:rPr>
          <w:rFonts w:ascii="Times New Roman;serif" w:hAnsi="Times New Roman;serif"/>
          <w:b w:val="false"/>
          <w:color w:val="000000"/>
          <w:sz w:val="20"/>
        </w:rPr>
        <w:t>macroeconomic influences and instability, geopolitical events</w:t>
      </w:r>
      <w:r>
        <w:rPr>
          <w:rFonts w:ascii="Times New Roman;serif" w:hAnsi="Times New Roman;serif"/>
          <w:b w:val="false"/>
          <w:color w:val="000000"/>
          <w:sz w:val="20"/>
          <w:shd w:fill="FFFFFF" w:val="clear"/>
        </w:rPr>
        <w:t>, operations and financial results and the economy in general; risks related to the use of AI in our platform; our ability to identify and effectively implement the necessary changes to address execution challenges; risks associated with managing our rapid growth, including fluctuations from period to period; our limited experience with new products and subscription and support introductions and the risks associated with new products and subscription and support offerings, including the discovery of software bugs; our ability to attract and retain new customers; the failure to timely develop and achieve market acceptance of new products and subscriptions as well as existing products and subscriptions and support; rapidly evolving technological developments in the market for network security products and subscription and support offerings and our ability to remain competitive; length of sales cycles; useful lives of our assets and other estimates; and general market, political, economic and business conditions.</w:t>
      </w:r>
    </w:p>
    <w:p>
      <w:pPr>
        <w:pStyle w:val="TextBody"/>
        <w:bidi w:val="0"/>
        <w:spacing w:lineRule="auto" w:line="288" w:before="240" w:after="283"/>
        <w:ind w:left="0" w:right="0" w:firstLine="500"/>
        <w:jc w:val="both"/>
        <w:rPr/>
      </w:pPr>
      <w:r>
        <w:rPr>
          <w:rFonts w:ascii="Times New Roman;serif" w:hAnsi="Times New Roman;serif"/>
          <w:b w:val="false"/>
          <w:color w:val="000000"/>
          <w:sz w:val="20"/>
          <w:shd w:fill="FFFFFF" w:val="clear"/>
        </w:rPr>
        <w:t>Additional risks and uncertainties that could affect our financial results are included under the captions “Risk Factors” and “Management’s Discussion and Analysis of Financial Condition and Results of Operations” set forth from time to time in our filings and reports with the Securities and Exchange Commission ("SEC"), including our Quarterly Report on Form 10-Q for the fiscal quarter ended April</w:t>
      </w:r>
      <w:r>
        <w:rPr>
          <w:color w:val="000000"/>
        </w:rPr>
        <w:t xml:space="preserve"> </w:t>
      </w:r>
      <w:r>
        <w:rPr>
          <w:rFonts w:ascii="Times New Roman;serif" w:hAnsi="Times New Roman;serif"/>
          <w:b w:val="false"/>
          <w:color w:val="000000"/>
          <w:sz w:val="20"/>
        </w:rPr>
        <w:t xml:space="preserve">30,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filed on May</w:t>
      </w:r>
      <w:r>
        <w:rPr>
          <w:color w:val="000000"/>
        </w:rPr>
        <w:t xml:space="preserve"> </w:t>
      </w:r>
      <w:r>
        <w:rPr>
          <w:rFonts w:ascii="Times New Roman;serif" w:hAnsi="Times New Roman;serif"/>
          <w:b w:val="false"/>
          <w:color w:val="000000"/>
          <w:sz w:val="20"/>
        </w:rPr>
        <w:t xml:space="preserve">26,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as well as future filings and reports by us, copies of which are available on our website at ir.zscaler.com and on the SEC’s website at www.sec.gov. You should not rely on these forward-looking statements, as actual outcomes and results may differ materially from those contemplated by these forward-looking statements as a result of such risks and uncertainties. Additional information will also be set forth in other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w:t>
      </w:r>
    </w:p>
    <w:p>
      <w:pPr>
        <w:pStyle w:val="TextBody"/>
        <w:bidi w:val="0"/>
        <w:spacing w:before="0" w:after="0"/>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Use of Non-GAAP Financial Information</w:t>
      </w:r>
    </w:p>
    <w:p>
      <w:pPr>
        <w:pStyle w:val="TextBody"/>
        <w:bidi w:val="0"/>
        <w:spacing w:lineRule="auto" w:line="268" w:before="0" w:after="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presentation of non-GAAP financial information provides important supplemental information to management and investors regarding financial and business trends relating to our financial condition and results of operations. For further information regarding why we believe that these non-GAAP measures provide useful information to investors, the specific manner in which management uses these measures, and some of the limitations associated with the use of these measures, please refer to the “Explanation of Non-GAAP Financial Measures” section of this press release.</w:t>
      </w:r>
    </w:p>
    <w:p>
      <w:pPr>
        <w:pStyle w:val="TextBody"/>
        <w:bidi w:val="0"/>
        <w:spacing w:before="0" w:after="0"/>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About Zscaler</w:t>
      </w:r>
    </w:p>
    <w:p>
      <w:pPr>
        <w:pStyle w:val="TextBody"/>
        <w:bidi w:val="0"/>
        <w:spacing w:lineRule="auto" w:line="288" w:before="300" w:after="283"/>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Zscaler (NASDAQ: ZS) accelerates digital transformation so customers can be more agile, efficient, resilient, and secure. The Zscaler Zero Trust Exchange™ platform protects thousands of customers from cyberattacks and data loss by securely connecting users, devices, and applications in any location. Distributed across over 200 public data centers globally and thousands of private sites at the edge, the SASE-based Zero Trust Exchange is the world’s largest in-line cloud security platform.</w:t>
      </w:r>
    </w:p>
    <w:p>
      <w:pPr>
        <w:pStyle w:val="TextBody"/>
        <w:bidi w:val="0"/>
        <w:spacing w:lineRule="auto" w:line="288" w:before="240" w:after="283"/>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Zscaler™ and the other trademarks listed at https://www.zscaler.com/legal/trademarks are either (i) registered trademarks or service marks or (ii) trademarks or service marks of Zscaler, Inc. in the United States and/or other countries. Any other trademarks are the properties of their respective owners.</w:t>
      </w:r>
    </w:p>
    <w:p>
      <w:pPr>
        <w:pStyle w:val="TextBody"/>
        <w:bidi w:val="0"/>
        <w:spacing w:before="0" w:after="60"/>
        <w:jc w:val="left"/>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Kim Watkins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SVP, Investor Relations &amp; Strategic Finance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ir@zscaler.com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Nick Gonzalez</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Media Relations Contact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press@zscaler.com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15"/>
        <w:gridCol w:w="1459"/>
        <w:gridCol w:w="146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2,673,115 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 (2)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 (2)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 (2)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 (3)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2,183,397 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w:t>
            </w:r>
            <w:r>
              <w:rPr>
                <w:rFonts w:ascii="Times New Roman;serif" w:hAnsi="Times New Roman;serif"/>
                <w:b w:val="false"/>
                <w:color w:val="000000"/>
                <w:sz w:val="12"/>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loss per share, basic and diluted</w:t>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161,872 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156,496 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154,404 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Includes stock-based compensation expense and related payroll taxes:</w:t>
      </w:r>
    </w:p>
    <w:tbl>
      <w:tblPr>
        <w:tblW w:w="7199" w:type="dxa"/>
        <w:jc w:val="left"/>
        <w:tblInd w:w="0" w:type="dxa"/>
        <w:tblLayout w:type="fixed"/>
        <w:tblCellMar>
          <w:top w:w="28" w:type="dxa"/>
          <w:left w:w="28" w:type="dxa"/>
          <w:bottom w:w="28" w:type="dxa"/>
          <w:right w:w="28" w:type="dxa"/>
        </w:tblCellMar>
      </w:tblPr>
      <w:tblGrid>
        <w:gridCol w:w="728"/>
        <w:gridCol w:w="639"/>
        <w:gridCol w:w="64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8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Includes amortization expense of acquired intangible assets:</w:t>
      </w:r>
    </w:p>
    <w:tbl>
      <w:tblPr>
        <w:tblW w:w="6749" w:type="dxa"/>
        <w:jc w:val="left"/>
        <w:tblInd w:w="0" w:type="dxa"/>
        <w:tblLayout w:type="fixed"/>
        <w:tblCellMar>
          <w:top w:w="28" w:type="dxa"/>
          <w:left w:w="28" w:type="dxa"/>
          <w:bottom w:w="28" w:type="dxa"/>
          <w:right w:w="28" w:type="dxa"/>
        </w:tblCellMar>
      </w:tblPr>
      <w:tblGrid>
        <w:gridCol w:w="728"/>
        <w:gridCol w:w="639"/>
        <w:gridCol w:w="642"/>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4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Includes restructuring and other charges:</w:t>
      </w:r>
    </w:p>
    <w:tbl>
      <w:tblPr>
        <w:tblW w:w="6569" w:type="dxa"/>
        <w:jc w:val="left"/>
        <w:tblInd w:w="0" w:type="dxa"/>
        <w:tblLayout w:type="fixed"/>
        <w:tblCellMar>
          <w:top w:w="28" w:type="dxa"/>
          <w:left w:w="28" w:type="dxa"/>
          <w:bottom w:w="28" w:type="dxa"/>
          <w:right w:w="28" w:type="dxa"/>
        </w:tblCellMar>
      </w:tblPr>
      <w:tblGrid>
        <w:gridCol w:w="728"/>
        <w:gridCol w:w="639"/>
        <w:gridCol w:w="64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34" w:type="dxa"/>
        <w:jc w:val="left"/>
        <w:tblInd w:w="0" w:type="dxa"/>
        <w:tblLayout w:type="fixed"/>
        <w:tblCellMar>
          <w:top w:w="28" w:type="dxa"/>
          <w:left w:w="28" w:type="dxa"/>
          <w:bottom w:w="28" w:type="dxa"/>
          <w:right w:w="28" w:type="dxa"/>
        </w:tblCellMar>
      </w:tblPr>
      <w:tblGrid>
        <w:gridCol w:w="1086"/>
        <w:gridCol w:w="954"/>
        <w:gridCol w:w="95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Includes acquisition-related expenses: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19" w:type="dxa"/>
        <w:jc w:val="left"/>
        <w:tblInd w:w="0" w:type="dxa"/>
        <w:tblLayout w:type="fixed"/>
        <w:tblCellMar>
          <w:top w:w="28" w:type="dxa"/>
          <w:left w:w="28" w:type="dxa"/>
          <w:bottom w:w="28" w:type="dxa"/>
          <w:right w:w="28" w:type="dxa"/>
        </w:tblCellMar>
      </w:tblPr>
      <w:tblGrid>
        <w:gridCol w:w="1250"/>
        <w:gridCol w:w="1096"/>
        <w:gridCol w:w="110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(5) </w:t>
            </w:r>
            <w:r>
              <w:rPr>
                <w:rFonts w:ascii="Times New Roman;serif" w:hAnsi="Times New Roman;serif"/>
                <w:b w:val="false"/>
                <w:color w:val="000000"/>
                <w:sz w:val="18"/>
              </w:rPr>
              <w:t>Includes amortization of debt issuance costs: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6708" w:type="dxa"/>
        <w:jc w:val="center"/>
        <w:tblInd w:w="0" w:type="dxa"/>
        <w:tblLayout w:type="fixed"/>
        <w:tblCellMar>
          <w:top w:w="28" w:type="dxa"/>
          <w:left w:w="28" w:type="dxa"/>
          <w:bottom w:w="28" w:type="dxa"/>
          <w:right w:w="28" w:type="dxa"/>
        </w:tblCellMar>
      </w:tblPr>
      <w:tblGrid>
        <w:gridCol w:w="1285"/>
        <w:gridCol w:w="1134"/>
        <w:gridCol w:w="1150"/>
        <w:gridCol w:w="226"/>
        <w:gridCol w:w="1005"/>
        <w:gridCol w:w="125"/>
        <w:gridCol w:w="125"/>
        <w:gridCol w:w="125"/>
        <w:gridCol w:w="125"/>
        <w:gridCol w:w="226"/>
        <w:gridCol w:w="1005"/>
        <w:gridCol w:w="177"/>
      </w:tblGrid>
      <w:tr>
        <w:trPr/>
        <w:tc>
          <w:tcPr>
            <w:tcW w:w="128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67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67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67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1,183,386 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5,031,233 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4,894,290 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noncurrent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1,218,098 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7,866,714 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2,480,501 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2,054,417 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2,961,311 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2,429,611 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1,700,727 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5,268,453 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4,620,615 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3,874,379 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(1,252,737)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2,598,261 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1,799,273 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7,866,714 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57"/>
        <w:gridCol w:w="1485"/>
        <w:gridCol w:w="1492"/>
        <w:gridCol w:w="196"/>
        <w:gridCol w:w="736"/>
        <w:gridCol w:w="109"/>
        <w:gridCol w:w="109"/>
        <w:gridCol w:w="109"/>
        <w:gridCol w:w="109"/>
        <w:gridCol w:w="196"/>
        <w:gridCol w:w="871"/>
        <w:gridCol w:w="109"/>
        <w:gridCol w:w="109"/>
        <w:gridCol w:w="109"/>
        <w:gridCol w:w="109"/>
        <w:gridCol w:w="197"/>
        <w:gridCol w:w="744"/>
        <w:gridCol w:w="109"/>
        <w:gridCol w:w="109"/>
        <w:gridCol w:w="109"/>
        <w:gridCol w:w="109"/>
        <w:gridCol w:w="196"/>
        <w:gridCol w:w="871"/>
        <w:gridCol w:w="156"/>
      </w:tblGrid>
      <w:tr>
        <w:trPr/>
        <w:tc>
          <w:tcPr>
            <w:tcW w:w="175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investments purchased at a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hedging transactions,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other current and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other current and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business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strategic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(427,022)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holdback amounts related to a business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the 2028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issuance costs related to the 2028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capped calls related to the 2028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settlement of the 2025 convertible senior notes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965,943 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90"/>
        <w:gridCol w:w="1272"/>
        <w:gridCol w:w="1293"/>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303"/>
      </w:tblGrid>
      <w:tr>
        <w:trPr/>
        <w:tc>
          <w:tcPr>
            <w:tcW w:w="159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2,673,115 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 and Non-GAAP Gross Margin</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2,574,894 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2,054,937 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expense and related payroll taxes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720,785 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570,103 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2,691,551 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2,141,048 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margin</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 and Non-GAAP Operating Margin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(128,460)</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expense and related payroll taxes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685,534 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767,109 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580,131 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acquisition-related stock-based compensation expense and related payroll taxes of $0.1 million for the fourth quarter of fiscal 2025, and $0.1 million and $0.2 million for fiscal 2026 and fiscal 2025, respectively. Acquisition-related stock-based compensation includes deferred merger consideration subject to post-combination service vesting conditions, performance stock awards, and acquisition replacement awards.</w:t>
      </w:r>
    </w:p>
    <w:p>
      <w:pPr>
        <w:pStyle w:val="TextBody"/>
        <w:bidi w:val="0"/>
        <w:spacing w:lineRule="auto" w:line="268" w:before="120" w:after="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Includes acquisition-related stock-based compensation expense and related payroll taxes of $19.8 million and $8.2 million for the fourth quarter of fiscal 2026 and fiscal 2025, respectively, and $57.4 million and $33.1 million for fiscal 2026 and fiscal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3"/>
        <w:gridCol w:w="1353"/>
        <w:gridCol w:w="1360"/>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71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Diluted</w:t>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 GAAP provision for income taxes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expense and related payroll taxes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685,534 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expense of acquired intangible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250,879 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891,403 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694,593 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provision for income taxes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159,757 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198,195 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704,210 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534,836 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Income tax and other tax adjustments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136,570 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provision for income taxes </w:t>
            </w:r>
            <w:r>
              <w:rPr>
                <w:rFonts w:ascii="Times New Roman;serif" w:hAnsi="Times New Roman;serif"/>
                <w:b w:val="false"/>
                <w:color w:val="000000"/>
                <w:sz w:val="12"/>
              </w:rPr>
              <w:t>(2)</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187,193 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159,757 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effective tax rate </w:t>
            </w:r>
            <w:r>
              <w:rPr>
                <w:rFonts w:ascii="Times New Roman;serif" w:hAnsi="Times New Roman;serif"/>
                <w:b w:val="false"/>
                <w:color w:val="000000"/>
                <w:sz w:val="12"/>
              </w:rPr>
              <w:t>(2)</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Non-GAAP interest expense, net of tax related to the</w:t>
              <w:br/>
              <w:t>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used in computing non-GAAP net income per share, diluted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146,908 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704,210 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535,847 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loss per share,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expense and related payroll taxes </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debt issuance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tax and other tax adjustments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interest expense, net of tax related to the</w:t>
              <w:br/>
              <w:t>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Adjustment to total fully diluted earnings per share </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GAAP net</w:t>
              <w:br/>
              <w:t>loss per share,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 Outstanding potentially dilutive equity incentive awards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Antidilutive impact of capped call transactions </w:t>
            </w:r>
            <w:r>
              <w:rPr>
                <w:rFonts w:ascii="Times New Roman;serif" w:hAnsi="Times New Roman;serif"/>
                <w:b w:val="false"/>
                <w:color w:val="000000"/>
                <w:sz w:val="12"/>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non-GAAP net income per share, diluted</w:t>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165,584 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163,412 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acquisition-related stock-based compensation expense and related payroll taxes of $19.8 million and $8.2 million for the fourth quarter of fiscal 2026 and fiscal 2025, respectively, and $57.4 million and $33.1 million for fiscal 2026 and fiscal 2025, respectively.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Beginning in fiscal 2026, we adopted a long-term projected non-GAAP tax rate of 21%, reduced from the previous rate of 23%, which was applied to all prior periods.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0"/>
          <w:shd w:fill="FFFFFF" w:val="clear"/>
        </w:rPr>
        <w:t xml:space="preserve">(3) </w:t>
      </w:r>
      <w:r>
        <w:rPr>
          <w:rFonts w:ascii="Times New Roman;serif" w:hAnsi="Times New Roman;serif"/>
          <w:b w:val="false"/>
          <w:color w:val="000000"/>
          <w:sz w:val="16"/>
          <w:shd w:fill="FFFFFF" w:val="clear"/>
        </w:rPr>
        <w:t>The dilutive impact of acquisition-related stock-based compensation expense and related payroll taxes was $0.12 and $0.05 per share for the fourth quarter of fiscal 2026 and fiscal 2025, respectively, and $0.34 and $0.20 per share for fiscal 2026 and fiscal 2025, respectively.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The sum of the fully diluted earnings per share impact of individual reconciling items may not total to fully diluted non-GAAP net income per share due to the weighted-average shares used in computing the GAAP net loss per share differs from the weighted-average shares used in computing the non-GAAP net income per share, and due to rounding of the individual reconciling items. The GAAP net loss per share calculation uses a lower share count as it excludes potentially dilutive shares, which are included in calculating the non-GAAP net income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We exclude the in-the-money portion of the convertible senior notes for non-GAAP weighted-average diluted shares as they are covered by our capped call transactions. Our outstanding capped call transactions are antidilutive under GAAP but are expected to mitigate the dilutive effect of the convertible senior notes, and therefore are included in the calculation of non-GAAP diluted shares outstanding. The capped calls have an antidilutive impact when the average stock price of our common stock in a given period is higher than their exercise price.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9"/>
        <w:gridCol w:w="1328"/>
        <w:gridCol w:w="1334"/>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302"/>
      </w:tblGrid>
      <w:tr>
        <w:trPr/>
        <w:tc>
          <w:tcPr>
            <w:tcW w:w="162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ZSCALER,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1,129,654 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972,453 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(164,252)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779,143 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726,693 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as a percentage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 as a percentage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Explanation of Non-GAAP and Other Financial Measures</w:t>
      </w:r>
    </w:p>
    <w:p>
      <w:pPr>
        <w:pStyle w:val="TextBody"/>
        <w:bidi w:val="0"/>
        <w:spacing w:lineRule="auto" w:line="288" w:before="120" w:after="6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generally accepted accounting principles in the United States of America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as it has limitations as an analytical tool and should not be considered in isolation or as a substitute for financial information presented in accordance with GAAP. In particular, free cash flow is not a substitute for cash provided by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of our historical non-GAAP financial measures to their most directly comparable financial measures stated in accordance with GAAP has been included in this press release. There is no GAAP measure that is comparable to ARR, so we have not reconciled the ARR data included to any GAAP measure. Investors are cautioned that there are a number of limitations associated with the use of non-GAAP financial measures and key metrics as analytical tools. Investors are encouraged to review these reconciliations, and not to rely on any single financial measure to evaluate our business.</w:t>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Expenses Excluded from Non-GAAP Measures</w:t>
      </w:r>
    </w:p>
    <w:p>
      <w:pPr>
        <w:pStyle w:val="TextBody"/>
        <w:bidi w:val="0"/>
        <w:spacing w:lineRule="auto" w:line="288" w:before="120" w:after="60"/>
        <w:ind w:left="0" w:right="0" w:firstLine="500"/>
        <w:jc w:val="both"/>
        <w:rPr/>
      </w:pPr>
      <w:r>
        <w:rPr>
          <w:rFonts w:ascii="Times New Roman;serif" w:hAnsi="Times New Roman;serif"/>
          <w:b w:val="false"/>
          <w:color w:val="000000"/>
          <w:sz w:val="20"/>
        </w:rPr>
        <w:t>Stock-based compensation expense is excluded primarily because it is a non-cash expense that management believes is not reflective of our ongoing operational performance. Employer payroll taxes related to stock-based compensation, which is a cash expense, are excluded because these are tied to the timing and size of the exercise or vesting of the underlying equity incentive awards and the price of our common stock at the time of vesting or exercise, which may vary from period to period independent of the operating performance of our business. Amortization expense of acquired intangible assets and amortization of debt issuance costs from the convertible senior notes are excluded because these are non-cash expenses and are not reflective of our ongoing operational performance. Acquisition-related expenses incurred with b</w:t>
      </w:r>
      <w:r>
        <w:rPr>
          <w:rFonts w:ascii="Times New Roman;serif" w:hAnsi="Times New Roman;serif"/>
          <w:b w:val="false"/>
          <w:color w:val="000000"/>
          <w:sz w:val="20"/>
          <w:shd w:fill="FFFFFF" w:val="clear"/>
        </w:rPr>
        <w:t>usiness acquisitions are excluded because these are not reflective of our ongoing operational performance</w:t>
      </w:r>
      <w:r>
        <w:rPr>
          <w:rFonts w:ascii="Times New Roman;serif" w:hAnsi="Times New Roman;serif"/>
          <w:b w:val="false"/>
          <w:color w:val="000000"/>
          <w:sz w:val="20"/>
        </w:rPr>
        <w:t>. Restructuring and other charges includes severance and termination benefits in connection with a restructuring plan to streamline operations and to align people, roles and projects to our strategic priorities. These expenses are excluded because they fluctuate in amount and frequency and are not reflective of our core business operating performance.</w:t>
      </w:r>
    </w:p>
    <w:p>
      <w:pPr>
        <w:pStyle w:val="TextBody"/>
        <w:bidi w:val="0"/>
        <w:spacing w:lineRule="auto" w:line="288" w:before="120" w:after="6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Beginning in fiscal 2026, we adopted a long-term projected non-GAAP tax rate of 21%, reduced from the previous rate of 23% which was applied to all prior periods.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pStyle w:val="TextBody"/>
        <w:bidi w:val="0"/>
        <w:spacing w:before="120" w:after="60"/>
        <w:ind w:left="0" w:right="0" w:firstLine="500"/>
        <w:jc w:val="both"/>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Non-GAAP and Other Financial Measures</w:t>
      </w:r>
    </w:p>
    <w:p>
      <w:pPr>
        <w:pStyle w:val="TextBody"/>
        <w:bidi w:val="0"/>
        <w:spacing w:lineRule="auto" w:line="288" w:before="120" w:after="60"/>
        <w:ind w:left="0" w:right="0" w:firstLine="500"/>
        <w:jc w:val="both"/>
        <w:rPr/>
      </w:pPr>
      <w:r>
        <w:rPr>
          <w:rFonts w:ascii="Times New Roman;serif" w:hAnsi="Times New Roman;serif"/>
          <w:b/>
          <w:i/>
          <w:color w:val="000000"/>
          <w:sz w:val="20"/>
        </w:rPr>
        <w:t>Non-GAAP Gross Profit and Non-GAAP Gross Margin</w:t>
      </w:r>
      <w:r>
        <w:rPr>
          <w:rFonts w:ascii="Times New Roman;serif" w:hAnsi="Times New Roman;serif"/>
          <w:b w:val="false"/>
          <w:color w:val="000000"/>
          <w:sz w:val="20"/>
        </w:rPr>
        <w:t xml:space="preserve">. We define non-GAAP gross profit as GAAP gross profit excluding stock-based compensation expense and related employer payroll taxes, amortization expense of acquired intangible assets and restructuring and other charges. We define non-GAAP gross margin as non-GAAP gross profit as a percentage of revenue. </w:t>
      </w:r>
    </w:p>
    <w:p>
      <w:pPr>
        <w:pStyle w:val="TextBody"/>
        <w:bidi w:val="0"/>
        <w:spacing w:lineRule="auto" w:line="288" w:before="120" w:after="60"/>
        <w:ind w:left="0" w:right="0" w:firstLine="500"/>
        <w:jc w:val="both"/>
        <w:rPr/>
      </w:pPr>
      <w:r>
        <w:rPr>
          <w:rFonts w:ascii="Times New Roman;serif" w:hAnsi="Times New Roman;serif"/>
          <w:b/>
          <w:i/>
          <w:color w:val="000000"/>
          <w:sz w:val="20"/>
        </w:rPr>
        <w:t>Non-GAAP Income from Operations and Non-GAAP Operating Margin</w:t>
      </w:r>
      <w:r>
        <w:rPr>
          <w:rFonts w:ascii="Times New Roman;serif" w:hAnsi="Times New Roman;serif"/>
          <w:b w:val="false"/>
          <w:color w:val="000000"/>
          <w:sz w:val="20"/>
        </w:rPr>
        <w:t>. We define non-GAAP income from operations as GAAP loss from operations excluding stock-based compensation expense and related employer payroll taxes, amortization expense of acquired intangible assets, restructuring and other charges an</w:t>
      </w:r>
      <w:r>
        <w:rPr>
          <w:rFonts w:ascii="Times New Roman;serif" w:hAnsi="Times New Roman;serif"/>
          <w:b w:val="false"/>
          <w:color w:val="000000"/>
          <w:sz w:val="20"/>
          <w:shd w:fill="FFFFFF" w:val="clear"/>
        </w:rPr>
        <w:t>d acquisition-related expenses. W</w:t>
      </w:r>
      <w:r>
        <w:rPr>
          <w:rFonts w:ascii="Times New Roman;serif" w:hAnsi="Times New Roman;serif"/>
          <w:b w:val="false"/>
          <w:color w:val="000000"/>
          <w:sz w:val="20"/>
        </w:rPr>
        <w:t>e define non-GAAP operating margin as non-GAAP income from operations as a percentage of revenue.</w:t>
      </w:r>
    </w:p>
    <w:p>
      <w:pPr>
        <w:pStyle w:val="TextBody"/>
        <w:bidi w:val="0"/>
        <w:spacing w:lineRule="auto" w:line="288" w:before="120" w:after="60"/>
        <w:ind w:left="0" w:right="0" w:firstLine="500"/>
        <w:jc w:val="both"/>
        <w:rPr/>
      </w:pPr>
      <w:r>
        <w:rPr>
          <w:rFonts w:ascii="Times New Roman;serif" w:hAnsi="Times New Roman;serif"/>
          <w:b/>
          <w:i/>
          <w:color w:val="000000"/>
          <w:sz w:val="20"/>
        </w:rPr>
        <w:t>Non-GAAP Net Income per Share, Diluted</w:t>
      </w:r>
      <w:r>
        <w:rPr>
          <w:rFonts w:ascii="Times New Roman;serif" w:hAnsi="Times New Roman;serif"/>
          <w:b w:val="false"/>
          <w:color w:val="000000"/>
          <w:sz w:val="20"/>
        </w:rPr>
        <w:t>. We define non-GAAP net income as GAAP net loss excluding stock-based compensation expense and related employer payroll taxes, amortization expense of acquired intangible assets, restructuring and other charges, amortization of debt issuance costs, acquisition-related expenses and the non-GAAP provision for income taxes adjustment. We define non-GAAP net income per share, diluted, as non-GAAP net income plus the applicable non-GAAP interest expense related to the convertible senior notes divided by the weighted-average diluted shares outstanding. The weighted-average diluted shares outstanding includes the effect of potentially diluted common stock equivalents outstanding during the period and the anti-dilutive impact of the capped call transactions entered into in connection with the convertible senior notes.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60"/>
        <w:ind w:left="0" w:right="0" w:firstLine="500"/>
        <w:jc w:val="both"/>
        <w:rPr/>
      </w:pPr>
      <w:r>
        <w:rPr>
          <w:rFonts w:ascii="Times New Roman;serif" w:hAnsi="Times New Roman;serif"/>
          <w:b/>
          <w:i/>
          <w:color w:val="000000"/>
          <w:sz w:val="20"/>
        </w:rPr>
        <w:t>Annual Recurring Revenue.</w:t>
      </w:r>
      <w:r>
        <w:rPr>
          <w:color w:val="000000"/>
        </w:rPr>
        <w:t xml:space="preserve"> </w:t>
      </w:r>
      <w:r>
        <w:rPr>
          <w:rFonts w:ascii="Times New Roman;serif" w:hAnsi="Times New Roman;serif"/>
          <w:b w:val="false"/>
          <w:color w:val="000000"/>
          <w:sz w:val="20"/>
        </w:rPr>
        <w:t xml:space="preserve">ARR refers to the next 12 months of revenue from subscription contracts as of the measurement date. To establish ARR for a customer, we assume that any contract expiring during the next 12 months will be renewed under the existing terms. </w:t>
      </w:r>
    </w:p>
    <w:p>
      <w:pPr>
        <w:pStyle w:val="TextBody"/>
        <w:bidi w:val="0"/>
        <w:spacing w:lineRule="auto" w:line="288" w:before="0" w:after="0"/>
        <w:ind w:left="0" w:right="0" w:firstLine="500"/>
        <w:jc w:val="both"/>
        <w:rPr/>
      </w:pPr>
      <w:r>
        <w:rPr>
          <w:rFonts w:ascii="Times New Roman;serif" w:hAnsi="Times New Roman;serif"/>
          <w:b/>
          <w:i/>
          <w:color w:val="000000"/>
          <w:sz w:val="20"/>
        </w:rPr>
        <w:t xml:space="preserve">Bookings. </w:t>
      </w:r>
      <w:r>
        <w:rPr>
          <w:rFonts w:ascii="Times New Roman;serif" w:hAnsi="Times New Roman;serif"/>
          <w:b w:val="false"/>
          <w:color w:val="000000"/>
          <w:sz w:val="20"/>
        </w:rPr>
        <w:t>We define bookings as the total customer contract value over the entire duration of each such customer contract. This includes all recurring subscription fees committed for the full term of each such customer contract.</w:t>
      </w:r>
    </w:p>
    <w:p>
      <w:pPr>
        <w:pStyle w:val="TextBody"/>
        <w:bidi w:val="0"/>
        <w:spacing w:lineRule="auto" w:line="288" w:before="120" w:after="60"/>
        <w:ind w:left="0" w:right="0" w:firstLine="500"/>
        <w:jc w:val="both"/>
        <w:rPr/>
      </w:pPr>
      <w:r>
        <w:rPr>
          <w:rFonts w:ascii="Times New Roman;serif" w:hAnsi="Times New Roman;serif"/>
          <w:b/>
          <w:i/>
          <w:color w:val="000000"/>
          <w:sz w:val="20"/>
        </w:rPr>
        <w:t>Free Cash Flow and Free Cash Flow Margin</w:t>
      </w:r>
      <w:r>
        <w:rPr>
          <w:rFonts w:ascii="Times New Roman;serif" w:hAnsi="Times New Roman;serif"/>
          <w:b w:val="false"/>
          <w:color w:val="000000"/>
          <w:sz w:val="20"/>
        </w:rPr>
        <w:t>. We define free cash flow as net cash provided by operating activities less purchases of property, equipment and other assets and capitalized internal-use software. We define free cash flow margin as free cash flow divided by revenue. We believe that free cash flow and free cash flow margin are useful indicators of liquidity that provide information to management and investors about the amount of cash generated from our operations that, after the investments in property, equipment and other assets and capitalized internal-use software, can be used for strategic initiatives.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6116</Words>
  <Characters>34701</Characters>
  <CharactersWithSpaces>40165</CharactersWithSpaces>
  <Paragraphs>1148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