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3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May 26, 2026</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Zscaler, Inc.</w:t>
      </w:r>
    </w:p>
    <w:p>
      <w:pPr>
        <w:spacing w:after="0" w:line="1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52"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3180" w:type="dxa"/>
            <w:vAlign w:val="bottom"/>
          </w:tcPr>
          <w:p>
            <w:pPr>
              <w:jc w:val="center"/>
              <w:ind w:right="116"/>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2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9"/>
              </w:rPr>
              <w:t>001-38413</w:t>
            </w:r>
          </w:p>
        </w:tc>
        <w:tc>
          <w:tcPr>
            <w:tcW w:w="2920" w:type="dxa"/>
            <w:vAlign w:val="bottom"/>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26-1173892</w:t>
            </w:r>
          </w:p>
        </w:tc>
        <w:tc>
          <w:tcPr>
            <w:tcW w:w="0" w:type="dxa"/>
            <w:vAlign w:val="bottom"/>
          </w:tcPr>
          <w:p>
            <w:pPr>
              <w:spacing w:after="0"/>
              <w:rPr>
                <w:sz w:val="1"/>
                <w:szCs w:val="1"/>
                <w:color w:val="auto"/>
              </w:rPr>
            </w:pPr>
          </w:p>
        </w:tc>
      </w:tr>
      <w:tr>
        <w:trPr>
          <w:trHeight w:val="175"/>
        </w:trPr>
        <w:tc>
          <w:tcPr>
            <w:tcW w:w="3180" w:type="dxa"/>
            <w:vAlign w:val="bottom"/>
          </w:tcPr>
          <w:p>
            <w:pPr>
              <w:jc w:val="center"/>
              <w:ind w:right="116"/>
              <w:spacing w:after="0" w:line="175" w:lineRule="exact"/>
              <w:rPr>
                <w:sz w:val="20"/>
                <w:szCs w:val="20"/>
                <w:color w:val="auto"/>
              </w:rPr>
            </w:pPr>
            <w:r>
              <w:rPr>
                <w:rFonts w:ascii="Times New Roman" w:cs="Times New Roman" w:eastAsia="Times New Roman" w:hAnsi="Times New Roman"/>
                <w:sz w:val="16"/>
                <w:szCs w:val="16"/>
                <w:color w:val="auto"/>
              </w:rPr>
              <w:t>(State or other jurisdiction of incorporation or</w:t>
            </w:r>
          </w:p>
        </w:tc>
        <w:tc>
          <w:tcPr>
            <w:tcW w:w="4120" w:type="dxa"/>
            <w:vAlign w:val="bottom"/>
          </w:tcPr>
          <w:p>
            <w:pPr>
              <w:jc w:val="center"/>
              <w:ind w:right="13"/>
              <w:spacing w:after="0" w:line="176"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920" w:type="dxa"/>
            <w:vAlign w:val="bottom"/>
          </w:tcPr>
          <w:p>
            <w:pPr>
              <w:jc w:val="center"/>
              <w:ind w:left="195"/>
              <w:spacing w:after="0" w:line="175" w:lineRule="exact"/>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210"/>
        </w:trPr>
        <w:tc>
          <w:tcPr>
            <w:tcW w:w="318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rPr>
              <w:t>organization)</w:t>
            </w:r>
          </w:p>
        </w:tc>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 Holger Way</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8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Jose, California 95134</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and zip code)</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(408) 533-0288</w:t>
            </w: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18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3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780" w:hanging="475"/>
        <w:spacing w:after="0"/>
        <w:tabs>
          <w:tab w:leader="none" w:pos="7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0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5" w:lineRule="exact"/>
        <w:rPr>
          <w:sz w:val="24"/>
          <w:szCs w:val="24"/>
          <w:color w:val="auto"/>
        </w:rPr>
      </w:pPr>
    </w:p>
    <w:tbl>
      <w:tblPr>
        <w:tblLayout w:type="fixed"/>
        <w:tblInd w:w="550" w:type="dxa"/>
        <w:tblCellMar>
          <w:top w:w="0" w:type="dxa"/>
          <w:left w:w="0" w:type="dxa"/>
          <w:bottom w:w="0" w:type="dxa"/>
          <w:right w:w="0" w:type="dxa"/>
        </w:tblCellMar>
      </w:tblPr>
      <w:tr>
        <w:trPr>
          <w:trHeight w:val="228"/>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of which registered</w:t>
            </w:r>
          </w:p>
        </w:tc>
      </w:tr>
      <w:tr>
        <w:trPr>
          <w:trHeight w:val="208"/>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ZS</w:t>
            </w:r>
          </w:p>
        </w:tc>
        <w:tc>
          <w:tcPr>
            <w:tcW w:w="4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10" w:lineRule="exact"/>
        <w:rPr>
          <w:sz w:val="24"/>
          <w:szCs w:val="24"/>
          <w:color w:val="auto"/>
        </w:rPr>
      </w:pPr>
    </w:p>
    <w:p>
      <w:pPr>
        <w:ind w:firstLine="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68" w:lineRule="exact"/>
        <w:rPr>
          <w:sz w:val="24"/>
          <w:szCs w:val="24"/>
          <w:color w:val="auto"/>
        </w:rPr>
      </w:pPr>
    </w:p>
    <w:p>
      <w:pPr>
        <w:ind w:right="56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On May 26, 2026, Zscaler, Inc. issued a press release announcing its financial results for the third fiscal quarter ended April 30, 2026. A copy of the press release is furnished herewith as Exhibit 99.1 and incorporated herein by reference.</w:t>
      </w:r>
    </w:p>
    <w:p>
      <w:pPr>
        <w:spacing w:after="0" w:line="16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Item 9.01 in this Current Report on Form 8-K, including the accompanying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1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8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26, 2026</w:t>
            </w:r>
          </w:p>
        </w:tc>
      </w:tr>
      <w:tr>
        <w:trPr>
          <w:trHeight w:val="20"/>
        </w:trPr>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5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1"/>
                <w:szCs w:val="21"/>
                <w:color w:val="auto"/>
              </w:rPr>
            </w:pPr>
          </w:p>
        </w:tc>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5233670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left="3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Zscaler, Inc.</w:t>
            </w:r>
          </w:p>
        </w:tc>
      </w:tr>
      <w:tr>
        <w:trPr>
          <w:trHeight w:val="45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Kevin Rubin</w:t>
            </w:r>
          </w:p>
        </w:tc>
      </w:tr>
      <w:tr>
        <w:trPr>
          <w:trHeight w:val="218"/>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Kevin Rubin</w:t>
            </w:r>
          </w:p>
        </w:tc>
      </w:tr>
      <w:tr>
        <w:trPr>
          <w:trHeight w:val="234"/>
        </w:trPr>
        <w:tc>
          <w:tcPr>
            <w:tcW w:w="5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80"/>
          </w:cols>
          <w:pgMar w:left="320" w:top="1116"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Zscaler Announces Strong Third-Quarter Fiscal 2026 Results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Achieves record operating margin and strong revenue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229" w:lineRule="exact"/>
        <w:rPr>
          <w:sz w:val="20"/>
          <w:szCs w:val="20"/>
          <w:color w:val="auto"/>
        </w:rPr>
      </w:pPr>
    </w:p>
    <w:p>
      <w:pPr>
        <w:ind w:left="660" w:hanging="16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grew 25% year-over-year to $850.5 million</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(ARR) grew 25% year-over-year to $3,525 million</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of $198.0 million, compared to $211.1 million a year ago</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$136.0 million, compared to $119.5 million a year ago, grew 14% year-over-year</w:t>
      </w:r>
    </w:p>
    <w:p>
      <w:pPr>
        <w:spacing w:after="0" w:line="221" w:lineRule="exact"/>
        <w:rPr>
          <w:sz w:val="20"/>
          <w:szCs w:val="20"/>
          <w:color w:val="auto"/>
        </w:rPr>
      </w:pPr>
    </w:p>
    <w:p>
      <w:pPr>
        <w:jc w:val="both"/>
        <w:ind w:right="20" w:firstLine="45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JOSE, California - May 26, 2026 </w:t>
      </w:r>
      <w:r>
        <w:rPr>
          <w:rFonts w:ascii="Times New Roman" w:cs="Times New Roman" w:eastAsia="Times New Roman" w:hAnsi="Times New Roman"/>
          <w:sz w:val="18"/>
          <w:szCs w:val="18"/>
          <w:color w:val="auto"/>
        </w:rPr>
        <w:t>- Zscaler, Inc. (Nasdaq: ZS), the leader in cloud security, today announced financial results for its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fiscal year 2026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ended April 30, 2026.</w:t>
      </w:r>
    </w:p>
    <w:p>
      <w:pPr>
        <w:spacing w:after="0" w:line="145" w:lineRule="exact"/>
        <w:rPr>
          <w:sz w:val="20"/>
          <w:szCs w:val="20"/>
          <w:color w:val="auto"/>
        </w:rPr>
      </w:pPr>
    </w:p>
    <w:p>
      <w:pPr>
        <w:jc w:val="both"/>
        <w:ind w:firstLine="450"/>
        <w:spacing w:after="0" w:line="245" w:lineRule="auto"/>
        <w:rPr>
          <w:sz w:val="20"/>
          <w:szCs w:val="20"/>
          <w:color w:val="auto"/>
        </w:rPr>
      </w:pPr>
      <w:r>
        <w:rPr>
          <w:rFonts w:ascii="Times New Roman" w:cs="Times New Roman" w:eastAsia="Times New Roman" w:hAnsi="Times New Roman"/>
          <w:sz w:val="18"/>
          <w:szCs w:val="18"/>
          <w:color w:val="auto"/>
        </w:rPr>
        <w:t>“Zscaler is ideally positioned as the cybersecurity platform for the AI era. Our differentiated Zero Trust SASE architecture, which hides applications from attackers and eliminates lateral movement, has never been more essential in securing against threats exposed by frontier models and compromised AI agents,” said Jay Chaudhry, CEO, Chairman and Founder of Zscaler. “Our results demonstrate that our approach is resonating as we attract new customers and expand with our existing customers, and we see ample runway for long-term growth.”</w:t>
      </w:r>
    </w:p>
    <w:p>
      <w:pPr>
        <w:spacing w:after="0" w:line="208" w:lineRule="exact"/>
        <w:rPr>
          <w:sz w:val="20"/>
          <w:szCs w:val="20"/>
          <w:color w:val="auto"/>
        </w:rPr>
      </w:pPr>
    </w:p>
    <w:p>
      <w:pPr>
        <w:jc w:val="both"/>
        <w:ind w:firstLine="450"/>
        <w:spacing w:after="0" w:line="250" w:lineRule="auto"/>
        <w:rPr>
          <w:sz w:val="20"/>
          <w:szCs w:val="20"/>
          <w:color w:val="auto"/>
        </w:rPr>
      </w:pPr>
      <w:r>
        <w:rPr>
          <w:rFonts w:ascii="Times New Roman" w:cs="Times New Roman" w:eastAsia="Times New Roman" w:hAnsi="Times New Roman"/>
          <w:sz w:val="18"/>
          <w:szCs w:val="18"/>
          <w:color w:val="auto"/>
        </w:rPr>
        <w:t>“We delivered strong Q3 fiscal 2026 results with record profitability. ARR grew 25%, or 21%, excluding the contribution from the Red Canary acquisition, and non-GAAP operating margin reached an all-time high of 23%,” said Kevin Rubin, chief financial officer of Zscaler. “Looking ahead, we remain focused on driving profitable growth across multiple vectors, including product innovation, go-to-market, and customer expansion.”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Fiscal 2026 Financial Highlights</w:t>
      </w:r>
    </w:p>
    <w:p>
      <w:pPr>
        <w:spacing w:after="0" w:line="225" w:lineRule="exact"/>
        <w:rPr>
          <w:sz w:val="20"/>
          <w:szCs w:val="20"/>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Grew 25% year-over-year to $850.5 million.</w:t>
      </w:r>
    </w:p>
    <w:p>
      <w:pPr>
        <w:spacing w:after="0" w:line="117" w:lineRule="exact"/>
        <w:rPr>
          <w:rFonts w:ascii="Times New Roman" w:cs="Times New Roman" w:eastAsia="Times New Roman" w:hAnsi="Times New Roman"/>
          <w:sz w:val="18"/>
          <w:szCs w:val="18"/>
          <w:color w:val="auto"/>
        </w:rPr>
      </w:pPr>
    </w:p>
    <w:p>
      <w:pPr>
        <w:ind w:left="660" w:hanging="166"/>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ARR: </w:t>
      </w:r>
      <w:r>
        <w:rPr>
          <w:rFonts w:ascii="Times New Roman" w:cs="Times New Roman" w:eastAsia="Times New Roman" w:hAnsi="Times New Roman"/>
          <w:sz w:val="18"/>
          <w:szCs w:val="18"/>
          <w:color w:val="auto"/>
        </w:rPr>
        <w:t>Grew 25% year-over-year to $3,525 million, of which $166 million was net new ARR during the third quarter of fiscal 2026. Excluding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Red Canary, which contributed ARR of $127 million, ARR grew 21% to $3,398 million and net new ARR grew 14%.</w:t>
      </w:r>
    </w:p>
    <w:p>
      <w:pPr>
        <w:spacing w:after="0" w:line="46" w:lineRule="exact"/>
        <w:rPr>
          <w:rFonts w:ascii="Times New Roman" w:cs="Times New Roman" w:eastAsia="Times New Roman" w:hAnsi="Times New Roman"/>
          <w:sz w:val="18"/>
          <w:szCs w:val="18"/>
          <w:color w:val="auto"/>
        </w:rPr>
      </w:pPr>
    </w:p>
    <w:p>
      <w:pPr>
        <w:jc w:val="both"/>
        <w:ind w:left="660" w:hanging="166"/>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(loss) from operations: </w:t>
      </w:r>
      <w:r>
        <w:rPr>
          <w:rFonts w:ascii="Times New Roman" w:cs="Times New Roman" w:eastAsia="Times New Roman" w:hAnsi="Times New Roman"/>
          <w:sz w:val="18"/>
          <w:szCs w:val="18"/>
          <w:color w:val="auto"/>
        </w:rPr>
        <w:t>GAAP loss from operations was $29.6 million, or 3% of revenue, compared to a loss of $25.4 million, or 4%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in the third quarter of fiscal 2025. Non-GAAP income from operations was $195.8 million, or 23% of revenue, compared to $146.7 million, or 22% of revenue, in the third quarter of fiscal 2025.</w:t>
      </w:r>
    </w:p>
    <w:p>
      <w:pPr>
        <w:spacing w:after="0" w:line="62" w:lineRule="exact"/>
        <w:rPr>
          <w:rFonts w:ascii="Times New Roman" w:cs="Times New Roman" w:eastAsia="Times New Roman" w:hAnsi="Times New Roman"/>
          <w:sz w:val="18"/>
          <w:szCs w:val="18"/>
          <w:color w:val="auto"/>
        </w:rPr>
      </w:pPr>
    </w:p>
    <w:p>
      <w:pPr>
        <w:ind w:left="660" w:right="20" w:hanging="166"/>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(loss): </w:t>
      </w:r>
      <w:r>
        <w:rPr>
          <w:rFonts w:ascii="Times New Roman" w:cs="Times New Roman" w:eastAsia="Times New Roman" w:hAnsi="Times New Roman"/>
          <w:sz w:val="18"/>
          <w:szCs w:val="18"/>
          <w:color w:val="auto"/>
        </w:rPr>
        <w:t>GAAP net loss was $13.9 million, compared to $4.1 million in the third quarter of fiscal 2025. Non-GAAP net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$177.9 million, compared to $136.8 million in the third quarter of fiscal 2025.</w:t>
      </w:r>
    </w:p>
    <w:p>
      <w:pPr>
        <w:spacing w:after="0" w:line="46" w:lineRule="exact"/>
        <w:rPr>
          <w:rFonts w:ascii="Times New Roman" w:cs="Times New Roman" w:eastAsia="Times New Roman" w:hAnsi="Times New Roman"/>
          <w:sz w:val="18"/>
          <w:szCs w:val="18"/>
          <w:color w:val="auto"/>
        </w:rPr>
      </w:pPr>
    </w:p>
    <w:p>
      <w:pPr>
        <w:ind w:left="660" w:hanging="166"/>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(loss) per share, diluted: </w:t>
      </w:r>
      <w:r>
        <w:rPr>
          <w:rFonts w:ascii="Times New Roman" w:cs="Times New Roman" w:eastAsia="Times New Roman" w:hAnsi="Times New Roman"/>
          <w:sz w:val="18"/>
          <w:szCs w:val="18"/>
          <w:color w:val="auto"/>
        </w:rPr>
        <w:t>GAAP net loss per share was $0.09, compared to $0.03 in the third quarter of fiscal 2025. Non-GAAP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per share was $1.08, compared to $0.84 in the third quarter of fiscal 2025.</w:t>
      </w:r>
    </w:p>
    <w:p>
      <w:pPr>
        <w:spacing w:after="0" w:line="46" w:lineRule="exact"/>
        <w:rPr>
          <w:rFonts w:ascii="Times New Roman" w:cs="Times New Roman" w:eastAsia="Times New Roman" w:hAnsi="Times New Roman"/>
          <w:sz w:val="18"/>
          <w:szCs w:val="18"/>
          <w:color w:val="auto"/>
        </w:rPr>
      </w:pPr>
    </w:p>
    <w:p>
      <w:pPr>
        <w:ind w:left="660" w:right="100" w:hanging="166"/>
        <w:spacing w:after="0" w:line="25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flow: </w:t>
      </w:r>
      <w:r>
        <w:rPr>
          <w:rFonts w:ascii="Times New Roman" w:cs="Times New Roman" w:eastAsia="Times New Roman" w:hAnsi="Times New Roman"/>
          <w:sz w:val="18"/>
          <w:szCs w:val="18"/>
          <w:color w:val="auto"/>
        </w:rPr>
        <w:t>Cash provided by operations was $198.0 million, or 23% of revenue, compared to $211.1 million, or 31% of revenue, in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fiscal 2025. Free cash flow was $136.0 million, or 16% of revenue, compared to $119.5 million, or 18% of revenue, in the third quarter of fiscal 2025.</w:t>
      </w:r>
    </w:p>
    <w:p>
      <w:pPr>
        <w:spacing w:after="0" w:line="7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Deferred revenue: </w:t>
      </w:r>
      <w:r>
        <w:rPr>
          <w:rFonts w:ascii="Times New Roman" w:cs="Times New Roman" w:eastAsia="Times New Roman" w:hAnsi="Times New Roman"/>
          <w:sz w:val="18"/>
          <w:szCs w:val="18"/>
          <w:color w:val="auto"/>
        </w:rPr>
        <w:t>$2,477.2 million as of April 30, 2026, grew 25% year-over-year.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12" w:lineRule="exact"/>
        <w:rPr>
          <w:sz w:val="20"/>
          <w:szCs w:val="20"/>
          <w:color w:val="auto"/>
        </w:rPr>
      </w:pPr>
    </w:p>
    <w:p>
      <w:pPr>
        <w:ind w:left="660" w:right="20" w:hanging="166"/>
        <w:spacing w:after="0" w:line="22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Announced the intent to acquire Symmetry Systems</w:t>
      </w:r>
      <w:r>
        <w:rPr>
          <w:rFonts w:ascii="Times New Roman" w:cs="Times New Roman" w:eastAsia="Times New Roman" w:hAnsi="Times New Roman"/>
          <w:sz w:val="18"/>
          <w:szCs w:val="18"/>
          <w:color w:val="auto"/>
        </w:rPr>
        <w:t>, which would combine Zscaler’s Zero Trust Exchange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and Symmetry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graph technology to govern AI agent communication at scale. Symmetry Systems’ access graph maps how human and non-human identities, applications, and data connect across the enterprise.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84" w:right="339" w:bottom="1440" w:gutter="0" w:footer="0" w:header="0"/>
        </w:sectPr>
      </w:pPr>
    </w:p>
    <w:bookmarkStart w:id="4" w:name="page5"/>
    <w:bookmarkEnd w:id="4"/>
    <w:p>
      <w:pPr>
        <w:ind w:left="660" w:right="20" w:hanging="166"/>
        <w:spacing w:after="0" w:line="252"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Joined Anthropic’s Project Glasswing to revolutionize AI-driven defense, </w:t>
      </w:r>
      <w:r>
        <w:rPr>
          <w:rFonts w:ascii="Times New Roman" w:cs="Times New Roman" w:eastAsia="Times New Roman" w:hAnsi="Times New Roman"/>
          <w:sz w:val="18"/>
          <w:szCs w:val="18"/>
          <w:color w:val="auto"/>
        </w:rPr>
        <w:t>gaining access to the Claude Mythos Preview model. Zscaler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integrated this frontier AI model into its secure software development lifecycle (SDLC) to rapidly identify and remediate vulnerabilities within the Zero Trust Exchange platform.</w:t>
      </w:r>
    </w:p>
    <w:p>
      <w:pPr>
        <w:spacing w:after="0" w:line="198" w:lineRule="exact"/>
        <w:rPr>
          <w:rFonts w:ascii="Times New Roman" w:cs="Times New Roman" w:eastAsia="Times New Roman" w:hAnsi="Times New Roman"/>
          <w:sz w:val="18"/>
          <w:szCs w:val="18"/>
          <w:b w:val="1"/>
          <w:bCs w:val="1"/>
          <w:color w:val="auto"/>
        </w:rPr>
      </w:pPr>
    </w:p>
    <w:p>
      <w:pPr>
        <w:ind w:left="660" w:right="140" w:hanging="166"/>
        <w:spacing w:after="0" w:line="24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Partnered with OpenAI via DayBreak, the evolution of the Trusted Access for Cyber (TAC) program, </w:t>
      </w:r>
      <w:r>
        <w:rPr>
          <w:rFonts w:ascii="Times New Roman" w:cs="Times New Roman" w:eastAsia="Times New Roman" w:hAnsi="Times New Roman"/>
          <w:sz w:val="18"/>
          <w:szCs w:val="18"/>
          <w:color w:val="auto"/>
        </w:rPr>
        <w:t>integrating the specialized GPT 5.5-Cyber model and Codex Security into Zscaler’s internal multi-agent security architecture. This partnership enables Zscaler to embed Security-as-a-Service throughout its SDLC workflows, accelerating vulnerability detection, triaging, and patching, while further enhancing its AI Red Teaming suite and Red Canary Managed Detection and Response capabilities to counter AI-based attacks.</w:t>
      </w:r>
    </w:p>
    <w:p>
      <w:pPr>
        <w:spacing w:after="0" w:line="190" w:lineRule="exact"/>
        <w:rPr>
          <w:rFonts w:ascii="Times New Roman" w:cs="Times New Roman" w:eastAsia="Times New Roman" w:hAnsi="Times New Roman"/>
          <w:sz w:val="18"/>
          <w:szCs w:val="18"/>
          <w:color w:val="auto"/>
        </w:rPr>
      </w:pPr>
    </w:p>
    <w:p>
      <w:pPr>
        <w:jc w:val="both"/>
        <w:ind w:left="660" w:right="40" w:hanging="166"/>
        <w:spacing w:after="0" w:line="25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Launched Project AI-Guardian, </w:t>
      </w:r>
      <w:r>
        <w:rPr>
          <w:rFonts w:ascii="Times New Roman" w:cs="Times New Roman" w:eastAsia="Times New Roman" w:hAnsi="Times New Roman"/>
          <w:sz w:val="18"/>
          <w:szCs w:val="18"/>
          <w:color w:val="auto"/>
        </w:rPr>
        <w:t>combining Zscaler’s advanced AI security platform with global system integrator (GSI) consulting expertise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 enterprises navigate the complexities of the AI-driven landscape. This strategic collaboration is expected to enable organizations to accelerate AI initiatives while helping to maintain robust protection, regulatory compliance, and total visibility over their data.</w:t>
      </w:r>
    </w:p>
    <w:p>
      <w:pPr>
        <w:spacing w:after="0" w:line="198" w:lineRule="exact"/>
        <w:rPr>
          <w:rFonts w:ascii="Times New Roman" w:cs="Times New Roman" w:eastAsia="Times New Roman" w:hAnsi="Times New Roman"/>
          <w:sz w:val="18"/>
          <w:szCs w:val="18"/>
          <w:color w:val="auto"/>
        </w:rPr>
      </w:pPr>
    </w:p>
    <w:p>
      <w:pPr>
        <w:ind w:left="660" w:right="260" w:hanging="166"/>
        <w:spacing w:after="0" w:line="252"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Won the 2026 Google Cloud Partner of the Year Award </w:t>
      </w:r>
      <w:r>
        <w:rPr>
          <w:rFonts w:ascii="Times New Roman" w:cs="Times New Roman" w:eastAsia="Times New Roman" w:hAnsi="Times New Roman"/>
          <w:sz w:val="18"/>
          <w:szCs w:val="18"/>
          <w:color w:val="auto"/>
        </w:rPr>
        <w:t>for Security in the Application category, recognizing Zscaler’s industry-leading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approach to protecting modern applications, and its continued commitment to delivering seamless, secure integrations within the Google Cloud ecosystem.</w:t>
      </w:r>
    </w:p>
    <w:p>
      <w:pPr>
        <w:spacing w:after="0" w:line="239" w:lineRule="exact"/>
        <w:rPr>
          <w:rFonts w:ascii="Times New Roman" w:cs="Times New Roman" w:eastAsia="Times New Roman" w:hAnsi="Times New Roman"/>
          <w:sz w:val="18"/>
          <w:szCs w:val="18"/>
          <w:b w:val="1"/>
          <w:bCs w:val="1"/>
          <w:color w:val="auto"/>
        </w:rPr>
      </w:pPr>
    </w:p>
    <w:p>
      <w:pPr>
        <w:ind w:left="660" w:right="140" w:hanging="166"/>
        <w:spacing w:after="0" w:line="229" w:lineRule="auto"/>
        <w:tabs>
          <w:tab w:leader="none" w:pos="628"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Achieved Provisional Authorization at Impact Level 5 (IL5) from the Department of War (DoW) </w:t>
      </w:r>
      <w:r>
        <w:rPr>
          <w:rFonts w:ascii="Times New Roman" w:cs="Times New Roman" w:eastAsia="Times New Roman" w:hAnsi="Times New Roman"/>
          <w:sz w:val="18"/>
          <w:szCs w:val="18"/>
          <w:color w:val="auto"/>
        </w:rPr>
        <w:t>for Zscaler Internet Access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This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sector milestone enables U.S. warfighters, national security systems, defense agencies and mission partners to operate at mission speed while securely managing highly sensitive and unclassified workloads with a cloud-native Zero Trust architecture built for the demands of modern warfare.</w:t>
      </w:r>
    </w:p>
    <w:p>
      <w:pPr>
        <w:spacing w:after="0" w:line="208" w:lineRule="exact"/>
        <w:rPr>
          <w:rFonts w:ascii="Arial" w:cs="Arial" w:eastAsia="Arial" w:hAnsi="Arial"/>
          <w:sz w:val="22"/>
          <w:szCs w:val="22"/>
          <w:color w:val="auto"/>
        </w:rPr>
      </w:pPr>
    </w:p>
    <w:p>
      <w:pPr>
        <w:ind w:left="660" w:right="120" w:hanging="166"/>
        <w:spacing w:after="0" w:line="25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Significantly expanded global sovereignty on the Zero Trust Exchange platform, </w:t>
      </w:r>
      <w:r>
        <w:rPr>
          <w:rFonts w:ascii="Times New Roman" w:cs="Times New Roman" w:eastAsia="Times New Roman" w:hAnsi="Times New Roman"/>
          <w:sz w:val="18"/>
          <w:szCs w:val="18"/>
          <w:color w:val="auto"/>
        </w:rPr>
        <w:t>allowing global enterprises and government entities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precise control over their digital assets and privacy, while complying with local laws. This expansion helps customers meet increasingly stringent global compliance and localized regulatory requirements without sacrificing security posture.</w:t>
      </w:r>
    </w:p>
    <w:p>
      <w:pPr>
        <w:spacing w:after="0" w:line="185" w:lineRule="exact"/>
        <w:rPr>
          <w:rFonts w:ascii="Times New Roman" w:cs="Times New Roman" w:eastAsia="Times New Roman" w:hAnsi="Times New Roman"/>
          <w:sz w:val="18"/>
          <w:szCs w:val="18"/>
          <w:color w:val="auto"/>
        </w:rPr>
      </w:pPr>
    </w:p>
    <w:p>
      <w:pPr>
        <w:ind w:left="660" w:right="80" w:hanging="166"/>
        <w:spacing w:after="0" w:line="25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Partnered with Singtel Singapore to bring Zero Trust security to cellular </w:t>
      </w:r>
      <w:r>
        <w:rPr>
          <w:rFonts w:ascii="Times New Roman" w:cs="Times New Roman" w:eastAsia="Times New Roman" w:hAnsi="Times New Roman"/>
          <w:sz w:val="18"/>
          <w:szCs w:val="18"/>
          <w:color w:val="auto"/>
        </w:rPr>
        <w:t>internet of things (IoT) and operational technology (OT)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Southeast Asia. By leveraging Zscaler Cellular, the partnership enables enterprises to seamlessly and securely connect their highly distributed IoT and OT infrastructure directly to the Zero Trust Exchange.</w:t>
      </w:r>
    </w:p>
    <w:p>
      <w:pPr>
        <w:spacing w:after="0" w:line="238" w:lineRule="exact"/>
        <w:rPr>
          <w:rFonts w:ascii="Times New Roman" w:cs="Times New Roman" w:eastAsia="Times New Roman" w:hAnsi="Times New Roman"/>
          <w:sz w:val="18"/>
          <w:szCs w:val="18"/>
          <w:color w:val="auto"/>
        </w:rPr>
      </w:pPr>
    </w:p>
    <w:p>
      <w:pPr>
        <w:ind w:left="660" w:right="120" w:hanging="166"/>
        <w:spacing w:after="0" w:line="232"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Launched the India AI &amp; Cyber Threat Research Center in partnership with Bharti Airtel </w:t>
      </w:r>
      <w:r>
        <w:rPr>
          <w:rFonts w:ascii="Times New Roman" w:cs="Times New Roman" w:eastAsia="Times New Roman" w:hAnsi="Times New Roman"/>
          <w:sz w:val="18"/>
          <w:szCs w:val="18"/>
          <w:color w:val="auto"/>
        </w:rPr>
        <w:t>at the India AI Impact Summit to promote cyber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resilience and secure AI adoption for critical infrastructure and government. The joint initiative will produce comprehensive threat intelligence research targeting Indian infrastructure, recommend proactive cyber defense strategies, and educate organizations on evolving cyber threats confronting AI adoption. Center partners will develop new cybersecurity curriculum with local educational institutions to prepare India's next generation of cyber professionals. Additional organizations will affiliate with the Research Center in the coming months.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Non-GAAP Measures Presentation</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Effective August 1, 2025, the beginning of our fiscal 2026, we have adopted a long-term projected non-GAAP tax rate of 21%, reduced from the previous rate of 23%. This adjustment aligns with the enactment of the One Big Beautiful Bill Act. The revised tax rate will apply prospectively. We will continue to assess the appropriate non-GAAP tax rate on a regular basis, which could be subject to changes for a variety of reasons, including the rapidly evolving global tax environment, significant changes in our geographic earnings mix, or other changes to our strategy or business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fourth quarter of fiscal 2026, the company expects:</w:t>
      </w:r>
    </w:p>
    <w:p>
      <w:pPr>
        <w:spacing w:after="0" w:line="104" w:lineRule="exact"/>
        <w:rPr>
          <w:sz w:val="20"/>
          <w:szCs w:val="20"/>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$875 million to $878 million, growth of approximately 22%.</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of approximately 80%.</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income from operations of $206 million to $208 million, growth of 30 to 31%.</w:t>
      </w:r>
    </w:p>
    <w:p>
      <w:pPr>
        <w:spacing w:after="0" w:line="103" w:lineRule="exact"/>
        <w:rPr>
          <w:rFonts w:ascii="Times New Roman" w:cs="Times New Roman" w:eastAsia="Times New Roman" w:hAnsi="Times New Roman"/>
          <w:sz w:val="18"/>
          <w:szCs w:val="18"/>
          <w:color w:val="auto"/>
        </w:rPr>
      </w:pPr>
    </w:p>
    <w:p>
      <w:pPr>
        <w:ind w:left="660" w:right="360" w:hanging="166"/>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per share of approximately $1.08 to $1.09, assuming approximately 168 million fully diluted shares outstanding and a non-GAAP tax rate of 21%. This represents growth of 21 to 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73" w:right="339"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color w:val="auto"/>
        </w:rPr>
        <w:t>For the full year of fiscal 2026, the company expects:</w:t>
      </w:r>
    </w:p>
    <w:p>
      <w:pPr>
        <w:spacing w:after="0" w:line="104" w:lineRule="exact"/>
        <w:rPr>
          <w:sz w:val="20"/>
          <w:szCs w:val="20"/>
          <w:color w:val="auto"/>
        </w:rPr>
      </w:pPr>
    </w:p>
    <w:p>
      <w:pPr>
        <w:ind w:left="660" w:right="420" w:hanging="166"/>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 of $3.740 billion to $3.749 billion, growth of approximately 24%, up from previous guidance of $3.730 billion to $3.745 billion, or growth of 24%.</w:t>
      </w:r>
    </w:p>
    <w:p>
      <w:pPr>
        <w:spacing w:after="0" w:line="40" w:lineRule="exact"/>
        <w:rPr>
          <w:rFonts w:ascii="Times New Roman" w:cs="Times New Roman" w:eastAsia="Times New Roman" w:hAnsi="Times New Roman"/>
          <w:sz w:val="18"/>
          <w:szCs w:val="18"/>
          <w:color w:val="auto"/>
        </w:rPr>
      </w:pPr>
    </w:p>
    <w:p>
      <w:pPr>
        <w:ind w:left="660" w:right="60" w:hanging="166"/>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approximately $3.3295 billion to $3.3325 billion, growth of 24.6 to 24.7%, up from prior guidance of $3.309 billion to $3.322 billion, or growth of 24%.</w:t>
      </w:r>
    </w:p>
    <w:p>
      <w:pPr>
        <w:spacing w:after="0" w:line="53" w:lineRule="exact"/>
        <w:rPr>
          <w:rFonts w:ascii="Times New Roman" w:cs="Times New Roman" w:eastAsia="Times New Roman" w:hAnsi="Times New Roman"/>
          <w:sz w:val="18"/>
          <w:szCs w:val="18"/>
          <w:color w:val="auto"/>
        </w:rPr>
      </w:pPr>
    </w:p>
    <w:p>
      <w:pPr>
        <w:ind w:left="660" w:right="280" w:hanging="166"/>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income from operations of $755 million to $757 million, growth of approximately 30%, up from prior guidance of $742 million to $748 million, or growth of 28 to 29%.</w:t>
      </w:r>
    </w:p>
    <w:p>
      <w:pPr>
        <w:spacing w:after="0" w:line="53" w:lineRule="exact"/>
        <w:rPr>
          <w:rFonts w:ascii="Times New Roman" w:cs="Times New Roman" w:eastAsia="Times New Roman" w:hAnsi="Times New Roman"/>
          <w:sz w:val="18"/>
          <w:szCs w:val="18"/>
          <w:color w:val="auto"/>
        </w:rPr>
      </w:pPr>
    </w:p>
    <w:p>
      <w:pPr>
        <w:ind w:left="660" w:right="40" w:hanging="166"/>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per share of $4.10 to $4.11, growth of 25%. This assumes approximately 168 million fully diluted shares outstanding and a non-GAAP tax rate of 21%. This is up from previous guidance for non-GAAP net income per share of $3.99 to $4.02 million, or growth of 22 to 23%.</w:t>
      </w:r>
    </w:p>
    <w:p>
      <w:pPr>
        <w:spacing w:after="0" w:line="67" w:lineRule="exact"/>
        <w:rPr>
          <w:rFonts w:ascii="Times New Roman" w:cs="Times New Roman" w:eastAsia="Times New Roman" w:hAnsi="Times New Roman"/>
          <w:sz w:val="18"/>
          <w:szCs w:val="18"/>
          <w:color w:val="auto"/>
        </w:rPr>
      </w:pPr>
    </w:p>
    <w:p>
      <w:pPr>
        <w:ind w:left="660" w:right="100" w:hanging="166"/>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margin of approximately 22.8 to 23.3%, down from our prior expectation of 26.5 to 27%, reflecting capex in the high single-digits as a percent of revenue.</w:t>
      </w:r>
    </w:p>
    <w:p>
      <w:pPr>
        <w:spacing w:after="0" w:line="31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These statements are forward-looking and actual results may differ materially. Refer to the Forward-Looking Statements safe harbor below for information on the factors that could cause our actual results to differ materially from these forward-looking statements.</w:t>
      </w:r>
    </w:p>
    <w:p>
      <w:pPr>
        <w:spacing w:after="0" w:line="283" w:lineRule="exact"/>
        <w:rPr>
          <w:sz w:val="20"/>
          <w:szCs w:val="20"/>
          <w:color w:val="auto"/>
        </w:rPr>
      </w:pPr>
    </w:p>
    <w:p>
      <w:pPr>
        <w:jc w:val="both"/>
        <w:ind w:firstLine="450"/>
        <w:spacing w:after="0" w:line="238" w:lineRule="auto"/>
        <w:rPr>
          <w:sz w:val="20"/>
          <w:szCs w:val="20"/>
          <w:color w:val="auto"/>
        </w:rPr>
      </w:pPr>
      <w:r>
        <w:rPr>
          <w:rFonts w:ascii="Times New Roman" w:cs="Times New Roman" w:eastAsia="Times New Roman" w:hAnsi="Times New Roman"/>
          <w:sz w:val="18"/>
          <w:szCs w:val="18"/>
          <w:color w:val="auto"/>
        </w:rPr>
        <w:t>Guidance for non-GAAP income from operations and non-GAAP net income per share exclude, as applicable, stock-based compensation expense and related employer payroll taxes, amortization expense of acquired intangible assets and amortization of debt issuance costs. We have not reconciled our expectations of non-GAAP income from operations and non-GAAP net income per share to their most directly comparable GAAP measures because certain items are out of our control or cannot be reasonably predicted. For those reasons, we are also unable to address the probable significance of the unavailable information, the variability of which may have a significant impact on future results. Accordingly, a reconciliation for the guidance for non-GAAP income from operations and non-GAAP net income per share is not available without unreasonable effort.</w:t>
      </w:r>
    </w:p>
    <w:p>
      <w:pPr>
        <w:spacing w:after="0" w:line="24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why we believe that these non-GAAP measures provide useful information to investors, the specific manner in which management uses these measures, and some of the limitations associated with the use of these measures, please refer to the "Explanation of Non-GAAP Financial Measures" section of this press release.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29"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Zscaler will host a conference call for analysts and investors to discuss its third quarter of fiscal 2026 and outlook for its fourth quarter of fiscal 2026 and full year fiscal 2026 today at 1:30 p.m. Pacific time (4:30 p.m. Eastern time).</w:t>
      </w:r>
    </w:p>
    <w:p>
      <w:pPr>
        <w:sectPr>
          <w:pgSz w:w="11900" w:h="16838" w:orient="portrait"/>
          <w:cols w:equalWidth="0" w:num="1">
            <w:col w:w="11240"/>
          </w:cols>
          <w:pgMar w:left="320" w:top="999" w:right="339" w:bottom="1440" w:gutter="0" w:footer="0" w:header="0"/>
        </w:sectPr>
      </w:pP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Time:</w:t>
      </w:r>
    </w:p>
    <w:p>
      <w:pPr>
        <w:ind w:left="480"/>
        <w:spacing w:after="0"/>
        <w:rPr>
          <w:sz w:val="20"/>
          <w:szCs w:val="20"/>
          <w:color w:val="auto"/>
        </w:rPr>
      </w:pPr>
      <w:r>
        <w:rPr>
          <w:rFonts w:ascii="Times New Roman" w:cs="Times New Roman" w:eastAsia="Times New Roman" w:hAnsi="Times New Roman"/>
          <w:sz w:val="17"/>
          <w:szCs w:val="17"/>
          <w:b w:val="1"/>
          <w:bCs w:val="1"/>
          <w:color w:val="auto"/>
        </w:rPr>
        <w:t>Webcast: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Tuesday, May 26,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 p.m. PT</w:t>
      </w:r>
    </w:p>
    <w:p>
      <w:pPr>
        <w:spacing w:after="0"/>
        <w:rPr>
          <w:sz w:val="20"/>
          <w:szCs w:val="20"/>
          <w:color w:val="auto"/>
        </w:rPr>
      </w:pPr>
      <w:r>
        <w:rPr>
          <w:rFonts w:ascii="Times New Roman" w:cs="Times New Roman" w:eastAsia="Times New Roman" w:hAnsi="Times New Roman"/>
          <w:sz w:val="18"/>
          <w:szCs w:val="18"/>
          <w:color w:val="0C60B0"/>
        </w:rPr>
        <w:t>https://ir.zscaler.com</w:t>
      </w:r>
    </w:p>
    <w:p>
      <w:pPr>
        <w:spacing w:after="0" w:line="7" w:lineRule="exact"/>
        <w:rPr>
          <w:sz w:val="20"/>
          <w:szCs w:val="20"/>
          <w:color w:val="auto"/>
        </w:rPr>
      </w:pPr>
    </w:p>
    <w:p>
      <w:pPr>
        <w:sectPr>
          <w:pgSz w:w="11900" w:h="16838" w:orient="portrait"/>
          <w:cols w:equalWidth="0" w:num="2">
            <w:col w:w="1680" w:space="720"/>
            <w:col w:w="8840"/>
          </w:cols>
          <w:pgMar w:left="320" w:top="999" w:right="3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b w:val="1"/>
          <w:bCs w:val="1"/>
          <w:color w:val="auto"/>
        </w:rPr>
        <w:t>Dial-in:</w:t>
      </w:r>
    </w:p>
    <w:p>
      <w:pPr>
        <w:spacing w:after="0" w:line="20" w:lineRule="exact"/>
        <w:rPr>
          <w:sz w:val="20"/>
          <w:szCs w:val="20"/>
          <w:color w:val="auto"/>
        </w:rPr>
      </w:pPr>
      <w:r>
        <w:rPr>
          <w:sz w:val="20"/>
          <w:szCs w:val="20"/>
          <w:color w:val="auto"/>
        </w:rPr>
        <w:br w:type="column"/>
      </w:r>
    </w:p>
    <w:p>
      <w:pPr>
        <w:ind w:right="1100"/>
        <w:spacing w:after="0" w:line="231" w:lineRule="auto"/>
        <w:rPr>
          <w:sz w:val="20"/>
          <w:szCs w:val="20"/>
          <w:color w:val="auto"/>
        </w:rPr>
      </w:pPr>
      <w:r>
        <w:rPr>
          <w:rFonts w:ascii="Times New Roman" w:cs="Times New Roman" w:eastAsia="Times New Roman" w:hAnsi="Times New Roman"/>
          <w:sz w:val="18"/>
          <w:szCs w:val="18"/>
          <w:color w:val="auto"/>
        </w:rPr>
        <w:t>To join by phone, register at the following link: (https://register-conf.media-server.com/register/BI08b44d6462ad4047b150db602b995c9a). After registering, you will be provided with a dial-in number and a personal PIN that you will need to join the call.</w:t>
      </w:r>
    </w:p>
    <w:p>
      <w:pPr>
        <w:spacing w:after="0" w:line="181" w:lineRule="exact"/>
        <w:rPr>
          <w:sz w:val="20"/>
          <w:szCs w:val="20"/>
          <w:color w:val="auto"/>
        </w:rPr>
      </w:pPr>
    </w:p>
    <w:p>
      <w:pPr>
        <w:sectPr>
          <w:pgSz w:w="11900" w:h="16838" w:orient="portrait"/>
          <w:cols w:equalWidth="0" w:num="2">
            <w:col w:w="1680" w:space="720"/>
            <w:col w:w="8840"/>
          </w:cols>
          <w:pgMar w:left="320" w:top="99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Upcoming Conferences</w:t>
      </w:r>
    </w:p>
    <w:p>
      <w:pPr>
        <w:sectPr>
          <w:pgSz w:w="11900" w:h="16838" w:orient="portrait"/>
          <w:cols w:equalWidth="0" w:num="1">
            <w:col w:w="11240"/>
          </w:cols>
          <w:pgMar w:left="320" w:top="999" w:right="339" w:bottom="1440" w:gutter="0" w:footer="0" w:header="0"/>
          <w:type w:val="continuous"/>
        </w:sectPr>
      </w:pP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Fourth quarter of fiscal 2026 investor conference participation schedule:</w:t>
      </w:r>
    </w:p>
    <w:p>
      <w:pPr>
        <w:spacing w:after="0" w:line="212" w:lineRule="exact"/>
        <w:rPr>
          <w:sz w:val="20"/>
          <w:szCs w:val="20"/>
          <w:color w:val="auto"/>
        </w:rPr>
      </w:pPr>
    </w:p>
    <w:p>
      <w:pPr>
        <w:ind w:left="660" w:hanging="20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Baird Global Consumer, Technology &amp; Services Conference, Tuesday, June 2, 2026</w:t>
      </w:r>
    </w:p>
    <w:p>
      <w:pPr>
        <w:spacing w:after="0" w:line="211" w:lineRule="exact"/>
        <w:rPr>
          <w:rFonts w:ascii="Times New Roman" w:cs="Times New Roman" w:eastAsia="Times New Roman" w:hAnsi="Times New Roman"/>
          <w:sz w:val="18"/>
          <w:szCs w:val="18"/>
          <w:color w:val="auto"/>
        </w:rPr>
      </w:pPr>
    </w:p>
    <w:p>
      <w:pPr>
        <w:ind w:left="660" w:hanging="20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America Global Technology Conference, Wednesday, June 3, 2026</w:t>
      </w:r>
    </w:p>
    <w:p>
      <w:pPr>
        <w:spacing w:after="0" w:line="198" w:lineRule="exact"/>
        <w:rPr>
          <w:rFonts w:ascii="Times New Roman" w:cs="Times New Roman" w:eastAsia="Times New Roman" w:hAnsi="Times New Roman"/>
          <w:sz w:val="18"/>
          <w:szCs w:val="18"/>
          <w:color w:val="auto"/>
        </w:rPr>
      </w:pPr>
    </w:p>
    <w:p>
      <w:pPr>
        <w:ind w:left="660" w:hanging="20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FBN Virtual Technology Conference, Monday, June 15, 2026</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Sessions that offer a webcast will be available on the Investor Relations section of the Zscaler website at https://ir.zscaler.com/.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9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including, but not limited to, statements regarding our future financial and operating performance, including our financial outlook for the fourth quarter of fiscal 2026 and full year fiscal 2026. There are a significant number of factors that could cause actual results to differ materially from statements made in this press release, including but not limited to: macroeconomic influences and instability, geopolitical events, operations and financial results and the economy in general; risks related to the use of AI in our platform; our ability to identify and effectively implement the necessary changes to address execution challenges; risks associated with managing our rapid growth, including fluctuations from period to period; our limited experience with new products and subscription and support introductions and the risks associated with new products and subscription and support offerings, including the discovery of software bugs; our ability to attract and retain new customers; the failure to timely develop and achieve market acceptance of new products and subscription as well as existing products and subscription and support; rapidly evolving technological developments in the market for network security products and subscription and support offerings and our ability to remain competitive; length of sales cycles; useful lives of our assets and other estimates; and general market, political, economic and business conditions.</w:t>
      </w:r>
    </w:p>
    <w:p>
      <w:pPr>
        <w:spacing w:after="0" w:line="194"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Additional risks and uncertainties that could affect our financial results are included under the captions “Risk Factors” and “Management’s Discussion and Analysis of Financial Condition and Results of Operations” set forth from time to time in our filings and reports with the Securities and Exchange Commission (SEC), including our Quarterly Report on Form 10-Q for the fiscal quarter ended January 31, 2026 filed on February 26, 2026 and our Annual Report on Form 10-K for the fiscal year ended July 31, 2025 filed on September 11, 2025, as well as future filings and reports by us, copies of which are available on our website at ir.zscaler.com and on the SEC’s website at www.sec.gov. You should not rely on these forward-looking statements, as actual outcomes and results may differ materially from those contemplated by these forward-looking statements as a result of such risks and uncertainties. Additional information will also be set forth in other filings that we make with the SEC from time to time. All forward-looking statements in this press release are based on information available to us as of the date hereof, and we do not assume any obligation to update the forward-looking statements provided to reflect events that occur or circumstances that exist after the date on which they were made.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16" w:lineRule="exact"/>
        <w:rPr>
          <w:sz w:val="20"/>
          <w:szCs w:val="20"/>
          <w:color w:val="auto"/>
        </w:rPr>
      </w:pPr>
    </w:p>
    <w:p>
      <w:pPr>
        <w:jc w:val="both"/>
        <w:ind w:firstLine="450"/>
        <w:spacing w:after="0" w:line="245" w:lineRule="auto"/>
        <w:rPr>
          <w:sz w:val="20"/>
          <w:szCs w:val="20"/>
          <w:color w:val="auto"/>
        </w:rPr>
      </w:pPr>
      <w:r>
        <w:rPr>
          <w:rFonts w:ascii="Times New Roman" w:cs="Times New Roman" w:eastAsia="Times New Roman" w:hAnsi="Times New Roman"/>
          <w:sz w:val="18"/>
          <w:szCs w:val="18"/>
          <w:color w:val="auto"/>
        </w:rPr>
        <w:t>We believe that the presentation of non-GAAP financial information provides important supplemental information to management and investors regarding financial and business trends relating to our financial condition and results of operations. For further information regarding why we believe that these non-GAAP measures provide useful information to investors, the specific manner in which management uses these measures, and some of the limitations associated with the use of these measures, please refer to the “Explanation of Non-GAAP Financial Measures” section of this press release.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9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Zscaler</w:t>
      </w:r>
    </w:p>
    <w:p>
      <w:pPr>
        <w:spacing w:after="0" w:line="2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Zscaler (NASDAQ: ZS) is a pioneer and global leader in zero trust security. The world’s largest businesses, critical infrastructure organizations, and government agencies rely on Zscaler to secure users, branches, applications, data &amp; devices, and to accelerate digital transformation initiatives. Distributed across more than 160 data centers globally, the Zscaler Zero Trust Exchange™ platform combined with advanced AI combats billions of cyber threats and policy violations every day and unlocks productivity gains for modern enterprises by reducing costs and complexity.</w:t>
      </w:r>
    </w:p>
    <w:p>
      <w:pPr>
        <w:spacing w:after="0" w:line="180"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Zscaler™ and the other trademarks listed at https://www.zscaler.com/legal/trademarks are either (i) registered trademarks or service marks or (ii) trademarks or service marks of Zscaler, Inc. in the United States and/or other countries. Any other trademarks are the properties of their respective owners.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 Watkins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 &amp; Strategic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ir@zscaler.com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Pavel Radda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press@zscaler.com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5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850,475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2,454,338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1,953,889</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1"/>
                <w:szCs w:val="21"/>
                <w:color w:val="auto"/>
                <w:vertAlign w:val="superscript"/>
              </w:rPr>
              <w:t>(1) (2) (3)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192,652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568,665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445,938</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657,823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1,507,951</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1"/>
                <w:szCs w:val="21"/>
                <w:color w:val="auto"/>
                <w:vertAlign w:val="superscript"/>
              </w:rPr>
              <w:t>(1) (2) (3)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1,114,449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928,564</w:t>
            </w:r>
          </w:p>
        </w:tc>
        <w:tc>
          <w:tcPr>
            <w:tcW w:w="0" w:type="dxa"/>
            <w:vAlign w:val="bottom"/>
          </w:tcPr>
          <w:p>
            <w:pPr>
              <w:spacing w:after="0"/>
              <w:rPr>
                <w:sz w:val="1"/>
                <w:szCs w:val="1"/>
                <w:color w:val="auto"/>
              </w:rPr>
            </w:pPr>
          </w:p>
        </w:tc>
      </w:tr>
      <w:tr>
        <w:trPr>
          <w:trHeight w:val="216"/>
        </w:trPr>
        <w:tc>
          <w:tcPr>
            <w:tcW w:w="51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1"/>
                <w:szCs w:val="21"/>
                <w:color w:val="auto"/>
                <w:vertAlign w:val="superscript"/>
              </w:rPr>
              <w:t>(1) (2) (3)</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661,916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494,879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 (4)</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83,241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227,083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180,726</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687,463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547,467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2,003,448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1,604,169</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(96,218)</w:t>
            </w:r>
          </w:p>
        </w:tc>
        <w:tc>
          <w:tcPr>
            <w:tcW w:w="0" w:type="dxa"/>
            <w:vAlign w:val="bottom"/>
          </w:tcPr>
          <w:p>
            <w:pPr>
              <w:spacing w:after="0"/>
              <w:rPr>
                <w:sz w:val="1"/>
                <w:szCs w:val="1"/>
                <w:color w:val="auto"/>
              </w:rPr>
            </w:pP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92,189</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Interest expense </w:t>
            </w:r>
            <w:r>
              <w:rPr>
                <w:rFonts w:ascii="Times New Roman" w:cs="Times New Roman" w:eastAsia="Times New Roman" w:hAnsi="Times New Roman"/>
                <w:sz w:val="21"/>
                <w:szCs w:val="21"/>
                <w:color w:val="auto"/>
                <w:vertAlign w:val="superscript"/>
              </w:rPr>
              <w:t>(5)</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(16,388)</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Provision for income taxes </w:t>
            </w:r>
            <w:r>
              <w:rPr>
                <w:rFonts w:ascii="Times New Roman" w:cs="Times New Roman" w:eastAsia="Times New Roman" w:hAnsi="Times New Roman"/>
                <w:sz w:val="21"/>
                <w:szCs w:val="21"/>
                <w:color w:val="auto"/>
                <w:vertAlign w:val="superscript"/>
              </w:rPr>
              <w:t>(6)</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27,767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7,512</w:t>
            </w:r>
          </w:p>
        </w:tc>
        <w:tc>
          <w:tcPr>
            <w:tcW w:w="0" w:type="dxa"/>
            <w:vAlign w:val="bottom"/>
          </w:tcPr>
          <w:p>
            <w:pPr>
              <w:spacing w:after="0"/>
              <w:rPr>
                <w:sz w:val="1"/>
                <w:szCs w:val="1"/>
                <w:color w:val="auto"/>
              </w:rPr>
            </w:pPr>
          </w:p>
        </w:tc>
      </w:tr>
      <w:tr>
        <w:trPr>
          <w:trHeight w:val="23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16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5"/>
                <w:szCs w:val="15"/>
                <w:color w:val="auto"/>
              </w:rPr>
              <w:t>Weighted-average shares used in computing net loss per share, basic and</w:t>
            </w:r>
          </w:p>
        </w:tc>
        <w:tc>
          <w:tcPr>
            <w:tcW w:w="3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160,741</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154,909</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159,662</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153,699</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stock-based compensation expense and related payroll taxes: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64,491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51,674</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72,206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225,421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198,782</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188,514</w:t>
            </w: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21,857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65,769</w:t>
            </w:r>
          </w:p>
        </w:tc>
      </w:tr>
      <w:tr>
        <w:trPr>
          <w:trHeight w:val="235"/>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212,266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167,809</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626,440</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504,739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amortization expense of acquired intangible assets: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07"/>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11,441</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2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12,740</w:t>
            </w:r>
          </w:p>
        </w:tc>
      </w:tr>
      <w:tr>
        <w:trPr>
          <w:trHeight w:val="23"/>
        </w:trPr>
        <w:tc>
          <w:tcPr>
            <w:tcW w:w="5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8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restructuring and other charges: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600" w:type="dxa"/>
            <w:vAlign w:val="bottom"/>
            <w:gridSpan w:val="3"/>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5"/>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4"/>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160" w:type="dxa"/>
            <w:vAlign w:val="bottom"/>
          </w:tcPr>
          <w:p>
            <w:pPr>
              <w:spacing w:after="0"/>
              <w:rPr>
                <w:sz w:val="17"/>
                <w:szCs w:val="17"/>
                <w:color w:val="auto"/>
              </w:rPr>
            </w:pPr>
          </w:p>
        </w:tc>
        <w:tc>
          <w:tcPr>
            <w:tcW w:w="49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58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1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16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80" w:type="dxa"/>
            <w:vAlign w:val="bottom"/>
            <w:gridSpan w:val="2"/>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gridSpan w:val="2"/>
          </w:tcPr>
          <w:p>
            <w:pPr>
              <w:spacing w:after="0"/>
              <w:rPr>
                <w:sz w:val="22"/>
                <w:szCs w:val="22"/>
                <w:color w:val="auto"/>
              </w:rPr>
            </w:pPr>
          </w:p>
        </w:tc>
        <w:tc>
          <w:tcPr>
            <w:tcW w:w="880" w:type="dxa"/>
            <w:vAlign w:val="bottom"/>
          </w:tcPr>
          <w:p>
            <w:pPr>
              <w:spacing w:after="0"/>
              <w:rPr>
                <w:sz w:val="22"/>
                <w:szCs w:val="22"/>
                <w:color w:val="auto"/>
              </w:rPr>
            </w:pPr>
          </w:p>
        </w:tc>
      </w:tr>
      <w:tr>
        <w:trPr>
          <w:trHeight w:val="236"/>
        </w:trPr>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3"/>
              </w:rPr>
              <w:t>(4)</w:t>
            </w:r>
          </w:p>
        </w:tc>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Includes acquisition-related expenses:</w:t>
            </w: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3"/>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1"/>
        </w:trPr>
        <w:tc>
          <w:tcPr>
            <w:tcW w:w="1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00" w:type="dxa"/>
            <w:vAlign w:val="bottom"/>
            <w:gridSpan w:val="3"/>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62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58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3"/>
          </w:tcPr>
          <w:p>
            <w:pPr>
              <w:spacing w:after="0"/>
              <w:rPr>
                <w:sz w:val="20"/>
                <w:szCs w:val="20"/>
                <w:color w:val="auto"/>
              </w:rPr>
            </w:pPr>
          </w:p>
        </w:tc>
        <w:tc>
          <w:tcPr>
            <w:tcW w:w="880" w:type="dxa"/>
            <w:vAlign w:val="bottom"/>
          </w:tcPr>
          <w:p>
            <w:pPr>
              <w:spacing w:after="0"/>
              <w:rPr>
                <w:sz w:val="20"/>
                <w:szCs w:val="20"/>
                <w:color w:val="auto"/>
              </w:rPr>
            </w:pPr>
          </w:p>
        </w:tc>
      </w:tr>
      <w:tr>
        <w:trPr>
          <w:trHeight w:val="236"/>
        </w:trPr>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3"/>
              </w:rPr>
              <w:t>(5)</w:t>
            </w: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Includes amortization of debt issuance costs:</w:t>
            </w:r>
          </w:p>
        </w:tc>
        <w:tc>
          <w:tcPr>
            <w:tcW w:w="600" w:type="dxa"/>
            <w:vAlign w:val="bottom"/>
            <w:gridSpan w:val="3"/>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20" w:type="dxa"/>
            <w:vAlign w:val="bottom"/>
            <w:shd w:val="clear" w:color="auto" w:fill="CCEEFF"/>
          </w:tcPr>
          <w:p>
            <w:pPr>
              <w:spacing w:after="0"/>
              <w:rPr>
                <w:sz w:val="20"/>
                <w:szCs w:val="20"/>
                <w:color w:val="auto"/>
              </w:rPr>
            </w:pPr>
          </w:p>
        </w:tc>
        <w:tc>
          <w:tcPr>
            <w:tcW w:w="700" w:type="dxa"/>
            <w:vAlign w:val="bottom"/>
            <w:gridSpan w:val="5"/>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984</w:t>
            </w:r>
          </w:p>
        </w:tc>
        <w:tc>
          <w:tcPr>
            <w:tcW w:w="2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20" w:type="dxa"/>
            <w:vAlign w:val="bottom"/>
            <w:shd w:val="clear" w:color="auto" w:fill="CCEEFF"/>
          </w:tcPr>
          <w:p>
            <w:pPr>
              <w:spacing w:after="0"/>
              <w:rPr>
                <w:sz w:val="20"/>
                <w:szCs w:val="20"/>
                <w:color w:val="auto"/>
              </w:rPr>
            </w:pPr>
          </w:p>
        </w:tc>
        <w:tc>
          <w:tcPr>
            <w:tcW w:w="680" w:type="dxa"/>
            <w:vAlign w:val="bottom"/>
            <w:gridSpan w:val="4"/>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w:t>
            </w: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440" w:firstLine="8"/>
        <w:spacing w:after="0" w:line="270" w:lineRule="auto"/>
        <w:tabs>
          <w:tab w:leader="none" w:pos="161"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During the three and nine months ended April 30, 2025, we recognized a tax benefit of $0.2 million and $17.4 million, respectively, attributable to the release of the valuation allowance on United Kingdom (U.K.) deferred tax assets.</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17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280" w:type="dxa"/>
            <w:vAlign w:val="bottom"/>
          </w:tcPr>
          <w:p>
            <w:pPr>
              <w:spacing w:after="0"/>
              <w:rPr>
                <w:sz w:val="18"/>
                <w:szCs w:val="18"/>
                <w:color w:val="auto"/>
              </w:rPr>
            </w:pPr>
          </w:p>
        </w:tc>
        <w:tc>
          <w:tcPr>
            <w:tcW w:w="11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July 31,</w:t>
            </w:r>
          </w:p>
        </w:tc>
      </w:tr>
      <w:tr>
        <w:trPr>
          <w:trHeight w:val="214"/>
        </w:trPr>
        <w:tc>
          <w:tcPr>
            <w:tcW w:w="8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2,389,023</w:t>
            </w: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2,556,995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1,183,386</w:t>
            </w: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992,181</w:t>
            </w: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180,819</w:t>
            </w: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148,881</w:t>
            </w:r>
          </w:p>
        </w:tc>
      </w:tr>
      <w:tr>
        <w:trPr>
          <w:trHeight w:val="207"/>
        </w:trPr>
        <w:tc>
          <w:tcPr>
            <w:tcW w:w="8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4,654,185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4,894,290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543,377</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89,772</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328,722</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intangible assets, net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47,323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417,730</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98,674</w:t>
            </w:r>
          </w:p>
        </w:tc>
      </w:tr>
      <w:tr>
        <w:trPr>
          <w:trHeight w:val="234"/>
        </w:trPr>
        <w:tc>
          <w:tcPr>
            <w:tcW w:w="82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7,098,079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6,419,888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46,906</w:t>
            </w: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93,984</w:t>
            </w: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181,807</w:t>
            </w:r>
          </w:p>
        </w:tc>
      </w:tr>
      <w:tr>
        <w:trPr>
          <w:trHeight w:val="213"/>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2,054,417</w:t>
            </w: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52,497</w:t>
            </w:r>
          </w:p>
        </w:tc>
      </w:tr>
      <w:tr>
        <w:trPr>
          <w:trHeight w:val="207"/>
        </w:trPr>
        <w:tc>
          <w:tcPr>
            <w:tcW w:w="8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2,500,942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2,429,611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senior notes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1,700,727</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380,063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413,609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43,352</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33,316</w:t>
            </w:r>
          </w:p>
        </w:tc>
      </w:tr>
      <w:tr>
        <w:trPr>
          <w:trHeight w:val="212"/>
        </w:trPr>
        <w:tc>
          <w:tcPr>
            <w:tcW w:w="8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4,731,484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4,620,615</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3,623,519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2,980,591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8,081</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(1,249,368)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(1,189,558)</w:t>
            </w:r>
          </w:p>
        </w:tc>
      </w:tr>
      <w:tr>
        <w:trPr>
          <w:trHeight w:val="212"/>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2,366,595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1,799,273</w:t>
            </w:r>
          </w:p>
        </w:tc>
      </w:tr>
      <w:tr>
        <w:trPr>
          <w:trHeight w:val="207"/>
        </w:trPr>
        <w:tc>
          <w:tcPr>
            <w:tcW w:w="82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7,098,079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6,419,888</w:t>
            </w: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7"/>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102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cash provided by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74,101</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expense of acquired 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12,740</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121,499</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47,896</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610,332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488,696</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Accretion of investments purchased at a 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(13,862)</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Unrealized gains on hedging transactions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(17,841)</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business acquisitions: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120,506</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(139,986)</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other current and noncurrent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(12,182)</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28,947</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other current and noncurrent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(7,033)</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(5,693)</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90,011</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(45,194)</w:t>
            </w:r>
          </w:p>
        </w:tc>
      </w:tr>
      <w:tr>
        <w:trPr>
          <w:trHeight w:val="207"/>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850,369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721,849</w:t>
            </w: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property, equipment and 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(104,206)</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(62,871)</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business acquisitions, net of cash acquired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 of strategic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(1,971,715)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(886,636)</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875,893</w:t>
            </w:r>
          </w:p>
        </w:tc>
      </w:tr>
      <w:tr>
        <w:trPr>
          <w:trHeight w:val="21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Proceeds from sale of short-term investments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177,568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(2,281,779)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(179,440)</w:t>
            </w: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from issuance of common stock under the employee stock purchase plan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22,344</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Payment of holdback amounts related to a business acquisition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issuance costs related to the 2028 convertible senior notes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Purchases of capped calls related to the 2028 convertible senior notes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25,401</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(1,406,911)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567,810</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1,423,080</w:t>
            </w:r>
          </w:p>
        </w:tc>
      </w:tr>
      <w:tr>
        <w:trPr>
          <w:trHeight w:val="23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982,112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1,990,890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9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00"/>
          </w:cols>
          <w:pgMar w:left="340" w:top="927" w:right="35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4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850,475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678,034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2,454,338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1,953,889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Non-GAAP Gross Profit and Non-GAAP Gross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657,823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522,056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1,885,673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1,507,951</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18,262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51,674</w:t>
            </w:r>
          </w:p>
        </w:tc>
        <w:tc>
          <w:tcPr>
            <w:tcW w:w="0" w:type="dxa"/>
            <w:vAlign w:val="bottom"/>
          </w:tcPr>
          <w:p>
            <w:pPr>
              <w:spacing w:after="0"/>
              <w:rPr>
                <w:sz w:val="1"/>
                <w:szCs w:val="1"/>
                <w:color w:val="auto"/>
              </w:rPr>
            </w:pPr>
          </w:p>
        </w:tc>
      </w:tr>
      <w:tr>
        <w:trPr>
          <w:trHeight w:val="213"/>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expense of acquired intangible assets</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11,320</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686,695</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544,148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1,970,766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1,570,945</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gross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0" w:type="dxa"/>
            <w:vAlign w:val="bottom"/>
          </w:tcPr>
          <w:p>
            <w:pPr>
              <w:spacing w:after="0"/>
              <w:rPr>
                <w:sz w:val="1"/>
                <w:szCs w:val="1"/>
                <w:color w:val="auto"/>
              </w:rPr>
            </w:pP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margin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0" w:type="dxa"/>
            <w:vAlign w:val="bottom"/>
          </w:tcPr>
          <w:p>
            <w:pPr>
              <w:spacing w:after="0"/>
              <w:rPr>
                <w:sz w:val="1"/>
                <w:szCs w:val="1"/>
                <w:color w:val="auto"/>
              </w:rPr>
            </w:pPr>
          </w:p>
        </w:tc>
      </w:tr>
      <w:tr>
        <w:trPr>
          <w:trHeight w:val="435"/>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 and Non-GAAP Operating Margin</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loss from operations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(29,640)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(25,411)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(117,775)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(96,218)</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167,809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626,440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504,739</w:t>
            </w:r>
          </w:p>
        </w:tc>
        <w:tc>
          <w:tcPr>
            <w:tcW w:w="0" w:type="dxa"/>
            <w:vAlign w:val="bottom"/>
          </w:tcPr>
          <w:p>
            <w:pPr>
              <w:spacing w:after="0"/>
              <w:rPr>
                <w:sz w:val="1"/>
                <w:szCs w:val="1"/>
                <w:color w:val="auto"/>
              </w:rPr>
            </w:pPr>
          </w:p>
        </w:tc>
      </w:tr>
      <w:tr>
        <w:trPr>
          <w:trHeight w:val="213"/>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expense of acquired intangible assets</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12,740</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from operations</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146,653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548,671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421,261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GAAP 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operating margin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2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24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60" w:type="dxa"/>
            <w:vAlign w:val="bottom"/>
            <w:tcBorders>
              <w:bottom w:val="single" w:sz="8" w:color="auto"/>
            </w:tcBorders>
          </w:tcPr>
          <w:p>
            <w:pPr>
              <w:spacing w:after="0"/>
              <w:rPr>
                <w:sz w:val="19"/>
                <w:szCs w:val="19"/>
                <w:color w:val="auto"/>
              </w:rPr>
            </w:pPr>
          </w:p>
        </w:tc>
      </w:tr>
      <w:tr>
        <w:trPr>
          <w:trHeight w:val="209"/>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per Share, Diluted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loss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(13,883)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(4,125)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(59,810)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(23,900)</w:t>
            </w:r>
          </w:p>
        </w:tc>
      </w:tr>
      <w:tr>
        <w:trPr>
          <w:trHeight w:val="216"/>
        </w:trPr>
        <w:tc>
          <w:tcPr>
            <w:tcW w:w="5580" w:type="dxa"/>
            <w:vAlign w:val="bottom"/>
            <w:tcBorders>
              <w:bottom w:val="single" w:sz="8" w:color="CCEEFF"/>
            </w:tcBorders>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Add: GAAP provision for income taxes </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8,688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27,767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7,512</w:t>
            </w: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income (loss) before income taxes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(32,043)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(16,388)</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 and related payroll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212,266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167,809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626,440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504,739</w:t>
            </w:r>
          </w:p>
        </w:tc>
      </w:tr>
      <w:tr>
        <w:trPr>
          <w:trHeight w:val="213"/>
        </w:trPr>
        <w:tc>
          <w:tcPr>
            <w:tcW w:w="5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expense of acquired intangible assets</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31,188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12,740</w:t>
            </w:r>
          </w:p>
        </w:tc>
      </w:tr>
      <w:tr>
        <w:trPr>
          <w:trHeight w:val="21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984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6,121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2,947</w:t>
            </w:r>
          </w:p>
        </w:tc>
      </w:tr>
      <w:tr>
        <w:trPr>
          <w:trHeight w:val="20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before income taxes</w:t>
            </w:r>
          </w:p>
        </w:tc>
        <w:tc>
          <w:tcPr>
            <w:tcW w:w="30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225,161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177,611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640,524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504,038</w:t>
            </w:r>
          </w:p>
        </w:tc>
      </w:tr>
      <w:tr>
        <w:trPr>
          <w:trHeight w:val="219"/>
        </w:trPr>
        <w:tc>
          <w:tcPr>
            <w:tcW w:w="558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Non-GAAP provision for income taxes </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47,284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40,844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134,509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115,927</w:t>
            </w:r>
          </w:p>
        </w:tc>
      </w:tr>
      <w:tr>
        <w:trPr>
          <w:trHeight w:val="20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177,877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136,767</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506,015</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388,111</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0"/>
        </w:trPr>
        <w:tc>
          <w:tcPr>
            <w:tcW w:w="5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provision for income taxes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11,512</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8,688</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27,767</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7,512</w:t>
            </w:r>
          </w:p>
        </w:tc>
      </w:tr>
      <w:tr>
        <w:trPr>
          <w:trHeight w:val="219"/>
        </w:trPr>
        <w:tc>
          <w:tcPr>
            <w:tcW w:w="55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Add: Income tax and other tax adjustments </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35,772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32,156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106,742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108,415</w:t>
            </w:r>
          </w:p>
        </w:tc>
      </w:tr>
      <w:tr>
        <w:trPr>
          <w:trHeight w:val="210"/>
        </w:trPr>
        <w:tc>
          <w:tcPr>
            <w:tcW w:w="55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Non-GAAP provision for income taxes </w:t>
            </w:r>
            <w:r>
              <w:rPr>
                <w:rFonts w:ascii="Times New Roman" w:cs="Times New Roman" w:eastAsia="Times New Roman" w:hAnsi="Times New Roman"/>
                <w:sz w:val="21"/>
                <w:szCs w:val="21"/>
                <w:color w:val="auto"/>
                <w:vertAlign w:val="superscript"/>
              </w:rPr>
              <w:t>(2)</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47,284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40,844</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134,509</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115,927</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55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Non-GAAP effective tax rate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70"/>
        </w:trPr>
        <w:tc>
          <w:tcPr>
            <w:tcW w:w="5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177,877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136,767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506,015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388,111</w:t>
            </w:r>
          </w:p>
        </w:tc>
      </w:tr>
      <w:tr>
        <w:trPr>
          <w:trHeight w:val="21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Non-GAAP interest expense, net of tax related to the convertible senior notes</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828</w:t>
            </w:r>
          </w:p>
        </w:tc>
      </w:tr>
      <w:tr>
        <w:trPr>
          <w:trHeight w:val="235"/>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used in computing non-GAAP net income per share, diluted</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177,877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137,043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506,015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388,939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loss per share, 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(0.16)</w:t>
            </w:r>
          </w:p>
        </w:tc>
      </w:tr>
      <w:tr>
        <w:trPr>
          <w:trHeight w:val="213"/>
        </w:trPr>
        <w:tc>
          <w:tcPr>
            <w:tcW w:w="5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 and related payroll taxes</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3.10</w:t>
            </w:r>
          </w:p>
        </w:tc>
      </w:tr>
      <w:tr>
        <w:trPr>
          <w:trHeight w:val="21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expense of acquired intangible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r>
      <w:tr>
        <w:trPr>
          <w:trHeight w:val="213"/>
        </w:trPr>
        <w:tc>
          <w:tcPr>
            <w:tcW w:w="5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0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r>
      <w:tr>
        <w:trPr>
          <w:trHeight w:val="219"/>
        </w:trPr>
        <w:tc>
          <w:tcPr>
            <w:tcW w:w="558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Income tax and other tax adjustments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(0.67)</w:t>
            </w:r>
          </w:p>
        </w:tc>
      </w:tr>
      <w:tr>
        <w:trPr>
          <w:trHeight w:val="213"/>
        </w:trPr>
        <w:tc>
          <w:tcPr>
            <w:tcW w:w="5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Non-GAAP interest expense, net of tax related to the convertible senior notes</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558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Adjustment to total fully diluted earnings per share </w:t>
            </w:r>
            <w:r>
              <w:rPr>
                <w:rFonts w:ascii="Times New Roman" w:cs="Times New Roman" w:eastAsia="Times New Roman" w:hAnsi="Times New Roman"/>
                <w:sz w:val="21"/>
                <w:szCs w:val="21"/>
                <w:color w:val="auto"/>
                <w:vertAlign w:val="superscript"/>
              </w:rPr>
              <w:t>(3)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r>
      <w:tr>
        <w:trPr>
          <w:trHeight w:val="207"/>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per share, diluted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0.84</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2.39</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5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927" w:right="339" w:bottom="1440" w:gutter="0" w:footer="0" w:header="0"/>
        </w:sectPr>
      </w:pPr>
    </w:p>
    <w:p>
      <w:pPr>
        <w:ind w:left="360" w:right="20" w:hanging="323"/>
        <w:spacing w:after="0" w:line="281" w:lineRule="auto"/>
        <w:rPr>
          <w:sz w:val="20"/>
          <w:szCs w:val="20"/>
          <w:color w:val="auto"/>
        </w:rPr>
      </w:pPr>
      <w:r>
        <w:rPr>
          <w:rFonts w:ascii="Times New Roman" w:cs="Times New Roman" w:eastAsia="Times New Roman" w:hAnsi="Times New Roman"/>
          <w:sz w:val="16"/>
          <w:szCs w:val="16"/>
          <w:color w:val="auto"/>
        </w:rPr>
        <w:t>Weighted-average shares used in computing GAAP net loss per share, diluted Add: Outstanding potentially dilutive equity incentive awards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Add: Convertible senior notes</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Less: Antidilutive impact of capped call transactions </w:t>
      </w:r>
      <w:r>
        <w:rPr>
          <w:rFonts w:ascii="Times New Roman" w:cs="Times New Roman" w:eastAsia="Times New Roman" w:hAnsi="Times New Roman"/>
          <w:sz w:val="21"/>
          <w:szCs w:val="21"/>
          <w:color w:val="auto"/>
          <w:vertAlign w:val="superscript"/>
        </w:rPr>
        <w:t>(4)</w:t>
      </w:r>
    </w:p>
    <w:p>
      <w:pPr>
        <w:ind w:left="20"/>
        <w:spacing w:after="0" w:line="231" w:lineRule="auto"/>
        <w:rPr>
          <w:sz w:val="20"/>
          <w:szCs w:val="20"/>
          <w:color w:val="auto"/>
        </w:rPr>
      </w:pPr>
      <w:r>
        <w:rPr>
          <w:rFonts w:ascii="Times New Roman" w:cs="Times New Roman" w:eastAsia="Times New Roman" w:hAnsi="Times New Roman"/>
          <w:sz w:val="16"/>
          <w:szCs w:val="16"/>
          <w:color w:val="auto"/>
        </w:rPr>
        <w:t>Weighted-average shares used in computing non-GAAP net income per share,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160,741</w:t>
            </w:r>
          </w:p>
        </w:tc>
        <w:tc>
          <w:tcPr>
            <w:tcW w:w="1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154,909</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159,662</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153,699</w:t>
            </w:r>
          </w:p>
        </w:tc>
      </w:tr>
      <w:tr>
        <w:trPr>
          <w:trHeight w:val="216"/>
        </w:trPr>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2,812</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3,316</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3,113</w:t>
            </w:r>
          </w:p>
        </w:tc>
      </w:tr>
      <w:tr>
        <w:trPr>
          <w:trHeight w:val="216"/>
        </w:trPr>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3,925</w:t>
            </w:r>
          </w:p>
        </w:tc>
        <w:tc>
          <w:tcPr>
            <w:tcW w:w="1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7,626</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3,925</w:t>
            </w:r>
          </w:p>
        </w:tc>
        <w:tc>
          <w:tcPr>
            <w:tcW w:w="8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7,626</w:t>
            </w:r>
          </w:p>
        </w:tc>
      </w:tr>
      <w:tr>
        <w:trPr>
          <w:trHeight w:val="219"/>
        </w:trPr>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(1,946)</w:t>
            </w:r>
          </w:p>
        </w:tc>
        <w:tc>
          <w:tcPr>
            <w:tcW w:w="8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(1,656)</w:t>
            </w:r>
          </w:p>
        </w:tc>
      </w:tr>
      <w:tr>
        <w:trPr>
          <w:trHeight w:val="261"/>
        </w:trPr>
        <w:tc>
          <w:tcPr>
            <w:tcW w:w="13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165,346</w:t>
            </w:r>
          </w:p>
        </w:tc>
        <w:tc>
          <w:tcPr>
            <w:tcW w:w="100" w:type="dxa"/>
            <w:vAlign w:val="bottom"/>
          </w:tcPr>
          <w:p>
            <w:pPr>
              <w:spacing w:after="0"/>
              <w:rPr>
                <w:sz w:val="22"/>
                <w:szCs w:val="22"/>
                <w:color w:val="auto"/>
              </w:rPr>
            </w:pPr>
          </w:p>
        </w:tc>
        <w:tc>
          <w:tcPr>
            <w:tcW w:w="1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163,401</w:t>
            </w:r>
          </w:p>
        </w:tc>
        <w:tc>
          <w:tcPr>
            <w:tcW w:w="80" w:type="dxa"/>
            <w:vAlign w:val="bottom"/>
          </w:tcPr>
          <w:p>
            <w:pPr>
              <w:spacing w:after="0"/>
              <w:rPr>
                <w:sz w:val="22"/>
                <w:szCs w:val="22"/>
                <w:color w:val="auto"/>
              </w:rPr>
            </w:pPr>
          </w:p>
        </w:tc>
        <w:tc>
          <w:tcPr>
            <w:tcW w:w="1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166,903</w:t>
            </w:r>
          </w:p>
        </w:tc>
        <w:tc>
          <w:tcPr>
            <w:tcW w:w="80" w:type="dxa"/>
            <w:vAlign w:val="bottom"/>
          </w:tcPr>
          <w:p>
            <w:pPr>
              <w:spacing w:after="0"/>
              <w:rPr>
                <w:sz w:val="22"/>
                <w:szCs w:val="22"/>
                <w:color w:val="auto"/>
              </w:rPr>
            </w:pPr>
          </w:p>
        </w:tc>
        <w:tc>
          <w:tcPr>
            <w:tcW w:w="13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162,782</w:t>
            </w:r>
          </w:p>
        </w:tc>
      </w:tr>
      <w:tr>
        <w:trPr>
          <w:trHeight w:val="73"/>
        </w:trPr>
        <w:tc>
          <w:tcPr>
            <w:tcW w:w="13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1"/>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-668020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-393700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5080" w:space="500"/>
            <w:col w:w="5660"/>
          </w:cols>
          <w:pgMar w:left="32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27" w:right="339" w:bottom="1440" w:gutter="0" w:footer="0" w:header="0"/>
          <w:type w:val="continuous"/>
        </w:sectPr>
      </w:pPr>
    </w:p>
    <w:bookmarkStart w:id="13" w:name="page14"/>
    <w:bookmarkEnd w:id="13"/>
    <w:p>
      <w:pPr>
        <w:ind w:firstLine="8"/>
        <w:spacing w:after="0" w:line="228" w:lineRule="auto"/>
        <w:tabs>
          <w:tab w:leader="none" w:pos="154"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three and nine months ended April 30, 2025, we recognized a tax benefit of $0.2 million and $17.4 million, respectively, attributable to the release of the valuation allowance on U.K. deferred tax assets.</w:t>
      </w:r>
    </w:p>
    <w:p>
      <w:pPr>
        <w:spacing w:after="0" w:line="217" w:lineRule="exact"/>
        <w:rPr>
          <w:rFonts w:ascii="Times New Roman" w:cs="Times New Roman" w:eastAsia="Times New Roman" w:hAnsi="Times New Roman"/>
          <w:sz w:val="18"/>
          <w:szCs w:val="18"/>
          <w:color w:val="auto"/>
          <w:vertAlign w:val="superscript"/>
        </w:rPr>
      </w:pPr>
    </w:p>
    <w:p>
      <w:pPr>
        <w:jc w:val="both"/>
        <w:ind w:firstLine="8"/>
        <w:spacing w:after="0" w:line="334" w:lineRule="auto"/>
        <w:tabs>
          <w:tab w:leader="none" w:pos="149"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August 1, 2025, the beginning of our fiscal 2026, we have adopted a long-term projected non-GAAP tax rate of 21%, reduced from the previous rate of 23%. This adjustment aligns with the enactment of the One Big Beautiful Bill Act. The revised tax rate will apply prospectively. We will continue to assess the appropriate non-GAAP tax rate on a regular basis, which could be subject to changes for a variety of reasons, including the rapidly evolving global tax environment, significant changes in our geographic earnings mix, or other changes to our strategy or business operations.</w:t>
      </w:r>
    </w:p>
    <w:p>
      <w:pPr>
        <w:spacing w:after="0" w:line="154" w:lineRule="exact"/>
        <w:rPr>
          <w:rFonts w:ascii="Times New Roman" w:cs="Times New Roman" w:eastAsia="Times New Roman" w:hAnsi="Times New Roman"/>
          <w:sz w:val="18"/>
          <w:szCs w:val="18"/>
          <w:color w:val="auto"/>
          <w:vertAlign w:val="superscript"/>
        </w:rPr>
      </w:pPr>
    </w:p>
    <w:p>
      <w:pPr>
        <w:jc w:val="both"/>
        <w:ind w:firstLine="8"/>
        <w:spacing w:after="0" w:line="309" w:lineRule="auto"/>
        <w:tabs>
          <w:tab w:leader="none" w:pos="132"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sum of the fully diluted earnings per share impact of individual reconciling items may not total to fully diluted non-GAAP net income per share due to the weighted-average shares used in computing the GAAP net loss per share differs from the weighted-average shares used in computing the non-GAAP net income per share, and due to rounding of the individual reconciling items. The GAAP net loss per share calculation uses a lower share count as it excludes potentially dilutive shares, which are included in calculating the non-GAAP net income per share.</w:t>
      </w:r>
    </w:p>
    <w:p>
      <w:pPr>
        <w:spacing w:after="0" w:line="167" w:lineRule="exact"/>
        <w:rPr>
          <w:rFonts w:ascii="Times New Roman" w:cs="Times New Roman" w:eastAsia="Times New Roman" w:hAnsi="Times New Roman"/>
          <w:sz w:val="15"/>
          <w:szCs w:val="15"/>
          <w:color w:val="auto"/>
          <w:vertAlign w:val="superscript"/>
        </w:rPr>
      </w:pPr>
    </w:p>
    <w:p>
      <w:pPr>
        <w:jc w:val="both"/>
        <w:ind w:firstLine="8"/>
        <w:spacing w:after="0" w:line="261" w:lineRule="auto"/>
        <w:tabs>
          <w:tab w:leader="none" w:pos="146"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exclude the in-the-money portion of the convertible senior notes for non-GAAP weighted-average diluted shares as they are covered by our capped call transactions. Our outstanding capped call transactions are antidilutive under GAAP but are expected to mitigate the dilutive effect of the convertible senior notes and therefore are included in the calculation of non-GAAP diluted shares outstanding. The capped calls have an antidilutive impact when the average stock price of our common stock in a given period is higher than their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2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80" w:type="dxa"/>
            <w:vAlign w:val="bottom"/>
            <w:tcBorders>
              <w:bottom w:val="single" w:sz="8" w:color="auto"/>
            </w:tcBorders>
          </w:tcPr>
          <w:p>
            <w:pPr>
              <w:spacing w:after="0"/>
              <w:rPr>
                <w:sz w:val="19"/>
                <w:szCs w:val="19"/>
                <w:color w:val="auto"/>
              </w:rPr>
            </w:pPr>
          </w:p>
        </w:tc>
      </w:tr>
      <w:tr>
        <w:trPr>
          <w:trHeight w:val="209"/>
        </w:trPr>
        <w:tc>
          <w:tcPr>
            <w:tcW w:w="5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198,016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211,081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850,369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721,849</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equipment and other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(42,401)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(72,163)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(77,467)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(104,206)</w:t>
            </w:r>
          </w:p>
        </w:tc>
      </w:tr>
      <w:tr>
        <w:trPr>
          <w:trHeight w:val="213"/>
        </w:trPr>
        <w:tc>
          <w:tcPr>
            <w:tcW w:w="5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(19,661)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(19,455)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(54,523)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(62,871)</w:t>
            </w:r>
          </w:p>
        </w:tc>
      </w:tr>
      <w:tr>
        <w:trPr>
          <w:trHeight w:val="23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135,954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119,463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718,379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554,772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 Margin</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 as a percentage of 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equipment and other assets, as a percentage of 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Capitalized internal-use software, as a percentage of revenue</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margin</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7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Explanation of Non-GAAP and Other Financial Measures</w:t>
      </w:r>
    </w:p>
    <w:p>
      <w:pPr>
        <w:spacing w:after="0" w:line="99"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In addition to our results determined in accordance with generally accepted accounting principles in the United States of America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as it has limitations as an analytical tool and should not be considered in isolation or as a substitute for financial information presented in accordance with GAAP. In particular, free cash flow is not a substitute for cash provided by operating activities. Additionally, the utility of free cash flow as a measure of our liquidity is further limited as it does not represent the total increase or decrease in our cash balance for a given period. In addition, other companies, including companies in our industry, may calculate similarly titled non-GAAP measures differently or may use other measures to evaluate their performance, all of which could reduce the usefulness of our non-GAAP financial measures as tools for comparison. A reconciliation of our historical non-GAAP financial measures to their most directly comparable financial measures stated in accordance with GAAP has been included in this press release. There is no GAAP measure that is comparable to ARR, so we have not reconciled the ARR data included to any GAAP measure. Investors are cautioned that there are a number of limitations associated with the use of non-GAAP financial measures and key metrics as analytical tools. Investors are encouraged to review these reconciliations, and not to rely on any single financial measure to evaluate 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Excluded from Non-GAAP Measures</w:t>
      </w:r>
    </w:p>
    <w:p>
      <w:pPr>
        <w:spacing w:after="0" w:line="6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Stock-based compensation expense is excluded primarily because it is a non-cash expense that management believes is not reflective of our ongoing operational performance. Employer payroll taxes related to stock-based compensation, which is a cash expense, are excluded because these are tied to the timing and size of the exercise or vesting of the underlying equity incentive awards and the price of our common stock at the time of vesting or exercise, which may vary from period to period independent of the operating performance of our business. Amortization expense of acquired intangible assets and amortization of debt issuance costs from the convertible senior notes are excluded because these are non-cash expenses and are not reflective of our ongoing operational performance. Acquisition-related expenses incurred with business acquisitions are excluded because these are not reflective of our ongoing operational performance. Restructuring and other charges includes severance and termination benefits in connection with a restructuring plan to streamline operations and to align people, roles and projects to our strategic priorities. These expenses are excluded because they fluctuate in amount and frequency and are not reflective of our core business operating performance.</w:t>
      </w:r>
    </w:p>
    <w:p>
      <w:pPr>
        <w:spacing w:after="0" w:line="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Effective August 1, 2025, the beginning of our fiscal 2026, we have adopted a long-term projected non-GAAP tax rate of 21%, reduced from the previous rate of 23%. This adjustment aligns with the enactment of the One Big Beautiful Bill Act. The revised tax rate will apply prospectively. We will continue to assess the appropriate non-GAAP tax rate on a regular basis, which could be subject to changes for a variety of reasons, including the rapidly evolving global tax environment, significant changes in our geographic earnings mix, or other changes to our strategy or business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and Other Financial Measures</w:t>
      </w:r>
    </w:p>
    <w:p>
      <w:pPr>
        <w:spacing w:after="0" w:line="117"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r>
        <w:rPr>
          <w:rFonts w:ascii="Times New Roman" w:cs="Times New Roman" w:eastAsia="Times New Roman" w:hAnsi="Times New Roman"/>
          <w:sz w:val="18"/>
          <w:szCs w:val="18"/>
          <w:color w:val="auto"/>
        </w:rPr>
        <w:t>. We define non-GAAP gross profit as GAAP gross profit excluding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expense and related employer payroll taxes, amortization expense of acquired intangible assets and restructuring and other charges. We define non-GAAP gross margin as non-GAAP gross profit as a percentage of revenue.</w:t>
      </w:r>
    </w:p>
    <w:p>
      <w:pPr>
        <w:jc w:val="both"/>
        <w:ind w:firstLine="45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Non -GAAP Income from Operations and Non-GAAP Operating Margin</w:t>
      </w:r>
      <w:r>
        <w:rPr>
          <w:rFonts w:ascii="Times New Roman" w:cs="Times New Roman" w:eastAsia="Times New Roman" w:hAnsi="Times New Roman"/>
          <w:sz w:val="18"/>
          <w:szCs w:val="18"/>
          <w:color w:val="auto"/>
        </w:rPr>
        <w:t>. We define non-GAAP income from operations as GAAP loss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excluding stock-based compensation expense and related employer payroll taxes, amortization expense of acquired intangible assets, restructuring and other charges and acquisition-related expenses. We define non-GAAP operating margin as non-GAAP income from operations as a percentage of revenue.</w:t>
      </w:r>
    </w:p>
    <w:p>
      <w:pPr>
        <w:spacing w:after="0" w:line="83"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Non-GAAP Net Income per Share, Diluted</w:t>
      </w:r>
      <w:r>
        <w:rPr>
          <w:rFonts w:ascii="Times New Roman" w:cs="Times New Roman" w:eastAsia="Times New Roman" w:hAnsi="Times New Roman"/>
          <w:sz w:val="18"/>
          <w:szCs w:val="18"/>
          <w:color w:val="auto"/>
        </w:rPr>
        <w:t>. We define non-GAAP net income as GAAP net loss excluding stock-based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employer payroll taxes, amortization expense of acquired intangible assets, restructuring and other charges, amortization of debt issuance costs, acquisition-related expenses and the non-GAAP provision for income taxes adjustment. We define non-GAAP net income per share, diluted, as non-GAAP net income plus the applicable non-GAAP interest expense related to the convertible senior notes divided by the weighted-average diluted shares outstanding. The weighted-average diluted shares outstanding includes the effect of potentially diluted common stock equivalents outstanding during the period and the anti-dilutive impact of the capped call transactions entered into in connection with the convertible senior notes.</w:t>
      </w:r>
    </w:p>
    <w:p>
      <w:pPr>
        <w:spacing w:after="0" w:line="74"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Annual Recurring Revenue. </w:t>
      </w:r>
      <w:r>
        <w:rPr>
          <w:rFonts w:ascii="Times New Roman" w:cs="Times New Roman" w:eastAsia="Times New Roman" w:hAnsi="Times New Roman"/>
          <w:sz w:val="18"/>
          <w:szCs w:val="18"/>
          <w:color w:val="auto"/>
        </w:rPr>
        <w:t>ARR refers to the next 12 months of revenue from subscription contracts as of the measurement date. To establish ARR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customer, we assume that any contract expiring during the next 12 months will be renewed under the existing terms, excluding Red Canary’s subscription contracts expiring in fiscal year 2026.</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482" w:right="339" w:bottom="1440" w:gutter="0" w:footer="0" w:header="0"/>
        </w:sectPr>
      </w:pPr>
    </w:p>
    <w:bookmarkStart w:id="16" w:name="page17"/>
    <w:bookmarkEnd w:id="16"/>
    <w:p>
      <w:pPr>
        <w:jc w:val="both"/>
        <w:ind w:firstLine="45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Bookings. </w:t>
      </w:r>
      <w:r>
        <w:rPr>
          <w:rFonts w:ascii="Times New Roman" w:cs="Times New Roman" w:eastAsia="Times New Roman" w:hAnsi="Times New Roman"/>
          <w:sz w:val="18"/>
          <w:szCs w:val="18"/>
          <w:color w:val="auto"/>
        </w:rPr>
        <w:t>We define bookings as the total customer contract value over the entire duration of each such customer contract. This includes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recurring subscription fees committed for the full term of each such customer contract.</w:t>
      </w:r>
    </w:p>
    <w:p>
      <w:pPr>
        <w:spacing w:after="0" w:line="47" w:lineRule="exact"/>
        <w:rPr>
          <w:sz w:val="20"/>
          <w:szCs w:val="20"/>
          <w:color w:val="auto"/>
        </w:rPr>
      </w:pPr>
    </w:p>
    <w:p>
      <w:pPr>
        <w:jc w:val="both"/>
        <w:ind w:firstLine="45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r>
        <w:rPr>
          <w:rFonts w:ascii="Times New Roman" w:cs="Times New Roman" w:eastAsia="Times New Roman" w:hAnsi="Times New Roman"/>
          <w:sz w:val="18"/>
          <w:szCs w:val="18"/>
          <w:color w:val="auto"/>
        </w:rPr>
        <w:t>. We define free cash flow as net cash provided by operating activities less purchases of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and other assets and capitalized internal-use software. We define free cash flow margin as free cash flow divided by revenue. We believe that free cash flow and free cash flow margin are useful indicators of liquidity that provide information to management and investors about the amount of cash generated from our operations that, after the investments in property, equipment and other assets and capitalized internal-use software, can be used for strategic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40"/>
      </w:cols>
      <w:pgMar w:left="320" w:top="5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2"/>
    </w:lvl>
  </w:abstractNum>
  <w:abstractNum w:abstractNumId="10">
    <w:nsid w:val="66EF438D"/>
    <w:multiLevelType w:val="hybridMultilevel"/>
    <w:lvl w:ilvl="0">
      <w:lvlJc w:val="left"/>
      <w:lvlText w:val="(%1)"/>
      <w:numFmt w:val="decimal"/>
      <w:start w:val="3"/>
    </w:lvl>
  </w:abstractNum>
  <w:abstractNum w:abstractNumId="11">
    <w:nsid w:val="140E0F76"/>
    <w:multiLevelType w:val="hybridMultilevel"/>
    <w:lvl w:ilvl="0">
      <w:lvlJc w:val="left"/>
      <w:lvlText w:val="(%1)"/>
      <w:numFmt w:val="decimal"/>
      <w:start w:val="6"/>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2026-05-26T15:24:02Z</dcterms:created>
  <dcterms:modified xsi:type="dcterms:W3CDTF">2026-05-26T15:24:02Z</dcterms:modified>
</cp:coreProperties>
</file>